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33D8" w:rsidP="006833D8">
      <w:pPr>
        <w:pStyle w:val="Title"/>
      </w:pPr>
      <w:bookmarkStart w:id="0" w:name="_GoBack"/>
      <w:bookmarkEnd w:id="0"/>
      <w:r>
        <w:fldChar w:fldCharType="begin"/>
      </w:r>
      <w:r>
        <w:instrText xml:space="preserve"> TITLE   \* MERGEFORMAT </w:instrText>
      </w:r>
      <w:r>
        <w:fldChar w:fldCharType="separate"/>
      </w:r>
      <w:r>
        <w:t>UEPOPS424B Coordinate local H.V. networks</w:t>
      </w:r>
      <w:r>
        <w:fldChar w:fldCharType="end"/>
      </w:r>
    </w:p>
    <w:p w:rsidR="006833D8" w:rsidP="006833D8">
      <w:pPr>
        <w:pStyle w:val="Version"/>
        <w:sectPr w:rsidSect="00BB35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352C" w:rsidP="00BB352C">
      <w:pPr>
        <w:pStyle w:val="SuperHeading"/>
      </w:pPr>
      <w:r w:rsidRPr="00BB352C">
        <w:t>UEPOPS424B Coordinate local H.V. networks</w:t>
      </w:r>
    </w:p>
    <w:p w:rsidR="00000000" w:rsidRPr="00BB352C" w:rsidP="00BB352C">
      <w:pPr>
        <w:pStyle w:val="Heading1"/>
      </w:pPr>
      <w:bookmarkStart w:id="1" w:name="O_475724"/>
      <w:bookmarkEnd w:id="1"/>
      <w:r w:rsidRPr="00BB352C">
        <w:t>Modification History</w:t>
      </w:r>
    </w:p>
    <w:p w:rsidR="00000000" w:rsidRPr="00BB352C" w:rsidP="00BB352C">
      <w:pPr>
        <w:pStyle w:val="BodyText"/>
      </w:pPr>
      <w:r w:rsidRPr="00BB352C">
        <w:t>Not applicable.</w:t>
      </w:r>
    </w:p>
    <w:p w:rsidR="00000000" w:rsidRPr="00BB352C" w:rsidP="00BB352C">
      <w:pPr>
        <w:pStyle w:val="AllowPageBreak"/>
      </w:pPr>
    </w:p>
    <w:p w:rsidR="00000000" w:rsidRPr="00BB352C" w:rsidP="00BB352C">
      <w:pPr>
        <w:pStyle w:val="Heading1"/>
      </w:pPr>
      <w:bookmarkStart w:id="2" w:name="O_475722"/>
      <w:bookmarkEnd w:id="2"/>
      <w:r w:rsidRPr="00BB352C">
        <w:t>Unit Descriptor</w:t>
      </w:r>
    </w:p>
    <w:tbl>
      <w:tblPr>
        <w:tblW w:w="0" w:type="auto"/>
        <w:tblLayout w:type="fixed"/>
        <w:tblCellMar>
          <w:left w:w="62" w:type="dxa"/>
          <w:right w:w="62" w:type="dxa"/>
        </w:tblCellMar>
        <w:tblLook w:val="0000"/>
      </w:tblPr>
      <w:tblGrid>
        <w:gridCol w:w="2700"/>
        <w:gridCol w:w="5760"/>
      </w:tblGrid>
      <w:tr w:rsidTr="006833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B352C" w:rsidP="00BB352C">
            <w:pPr>
              <w:pStyle w:val="BodyText"/>
            </w:pPr>
            <w:r w:rsidRPr="00BB352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rPr>
                <w:rStyle w:val="SpecialBold"/>
              </w:rPr>
              <w:t>1)</w:t>
            </w:r>
            <w:r w:rsidRPr="00BB352C">
              <w:t xml:space="preserve"> </w:t>
            </w:r>
            <w:r w:rsidRPr="00BB352C">
              <w:rPr>
                <w:rStyle w:val="SpecialBold"/>
              </w:rPr>
              <w:t>Scope:</w:t>
            </w:r>
          </w:p>
        </w:tc>
      </w:tr>
      <w:tr w:rsidTr="006833D8">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rsidRPr="00BB352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rPr>
                <w:rStyle w:val="SpecialBold"/>
              </w:rPr>
              <w:t>1.1) Descriptor</w:t>
            </w:r>
          </w:p>
        </w:tc>
      </w:tr>
      <w:tr w:rsidTr="006833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B352C" w:rsidP="00BB352C">
            <w:pPr>
              <w:pStyle w:val="BodyText"/>
            </w:pPr>
            <w:r w:rsidRPr="00BB352C">
              <w:t>This unit deals with the skills and knowledge required to coordinate the local control and management of HV substations and/or local networks.</w:t>
            </w:r>
          </w:p>
        </w:tc>
      </w:tr>
    </w:tbl>
    <w:p w:rsidR="00000000" w:rsidRPr="00BB352C" w:rsidP="00BB352C">
      <w:pPr>
        <w:pStyle w:val="BodyText"/>
      </w:pPr>
    </w:p>
    <w:p w:rsidR="00000000" w:rsidRPr="00BB352C" w:rsidP="00BB352C">
      <w:pPr>
        <w:pStyle w:val="AllowPageBreak"/>
      </w:pPr>
    </w:p>
    <w:p w:rsidR="00000000" w:rsidRPr="00BB352C" w:rsidP="00BB352C">
      <w:pPr>
        <w:pStyle w:val="Heading1"/>
      </w:pPr>
      <w:bookmarkStart w:id="3" w:name="O_475711"/>
      <w:bookmarkEnd w:id="3"/>
      <w:r w:rsidRPr="00BB352C">
        <w:t>Application of the Unit</w:t>
      </w:r>
    </w:p>
    <w:tbl>
      <w:tblPr>
        <w:tblW w:w="0" w:type="auto"/>
        <w:tblLayout w:type="fixed"/>
        <w:tblCellMar>
          <w:left w:w="62" w:type="dxa"/>
          <w:right w:w="62" w:type="dxa"/>
        </w:tblCellMar>
        <w:tblLook w:val="0000"/>
      </w:tblPr>
      <w:tblGrid>
        <w:gridCol w:w="2672"/>
        <w:gridCol w:w="5699"/>
      </w:tblGrid>
      <w:tr w:rsidTr="006833D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B352C" w:rsidP="00BB352C">
            <w:pPr>
              <w:pStyle w:val="BodyText"/>
            </w:pPr>
            <w:r w:rsidRPr="00BB352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rPr>
                <w:rStyle w:val="SpecialBold"/>
              </w:rPr>
              <w:t>2)</w:t>
            </w:r>
          </w:p>
        </w:tc>
      </w:tr>
      <w:tr w:rsidTr="006833D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B352C" w:rsidP="00BB352C">
            <w:pPr>
              <w:pStyle w:val="BodyText"/>
            </w:pPr>
            <w:r w:rsidRPr="00BB352C">
              <w:t>This unit is intended to augment formally acquired competencies. It is suitable for employment-based programs under an approved contract of training.</w:t>
            </w:r>
          </w:p>
        </w:tc>
      </w:tr>
    </w:tbl>
    <w:p w:rsidR="00000000" w:rsidRPr="00BB352C" w:rsidP="00BB352C">
      <w:pPr>
        <w:pStyle w:val="BodyText"/>
      </w:pPr>
    </w:p>
    <w:p w:rsidR="00000000" w:rsidRPr="00BB352C" w:rsidP="00BB352C">
      <w:pPr>
        <w:pStyle w:val="AllowPageBreak"/>
      </w:pPr>
    </w:p>
    <w:p w:rsidR="00000000" w:rsidRPr="00BB352C" w:rsidP="00BB352C">
      <w:pPr>
        <w:pStyle w:val="Heading1"/>
      </w:pPr>
      <w:bookmarkStart w:id="4" w:name="O_475718"/>
      <w:bookmarkEnd w:id="4"/>
      <w:r w:rsidRPr="00BB352C">
        <w:t>Licensing/Regulatory Information</w:t>
      </w:r>
    </w:p>
    <w:tbl>
      <w:tblPr>
        <w:tblW w:w="0" w:type="auto"/>
        <w:tblLayout w:type="fixed"/>
        <w:tblCellMar>
          <w:left w:w="62" w:type="dxa"/>
          <w:right w:w="62" w:type="dxa"/>
        </w:tblCellMar>
        <w:tblLook w:val="0000"/>
      </w:tblPr>
      <w:tblGrid>
        <w:gridCol w:w="2700"/>
        <w:gridCol w:w="5760"/>
      </w:tblGrid>
      <w:tr w:rsidTr="006833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B352C" w:rsidP="00BB352C">
            <w:pPr>
              <w:pStyle w:val="BodyText"/>
            </w:pPr>
            <w:r w:rsidRPr="00BB352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rPr>
                <w:rStyle w:val="SpecialBold"/>
              </w:rPr>
              <w:t xml:space="preserve">3) </w:t>
            </w:r>
          </w:p>
        </w:tc>
      </w:tr>
      <w:tr w:rsidTr="006833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B352C" w:rsidP="00BB352C">
            <w:pPr>
              <w:pStyle w:val="BodyText"/>
            </w:pPr>
            <w:r w:rsidRPr="00BB352C">
              <w:t>The skills and knowledge des</w:t>
            </w:r>
            <w:r w:rsidRPr="00BB352C">
              <w:t>cribed in this unit do not require a licence to practise in the workplace. However, practice in this unit is subject to regulations directly related to Occupational Health and Safety and where applicable contracts of training such as apprenticeships and th</w:t>
            </w:r>
            <w:r w:rsidRPr="00BB352C">
              <w:t>e like.</w:t>
            </w:r>
          </w:p>
        </w:tc>
      </w:tr>
    </w:tbl>
    <w:p w:rsidR="00000000" w:rsidRPr="00BB352C" w:rsidP="00BB352C">
      <w:pPr>
        <w:pStyle w:val="BodyText"/>
      </w:pPr>
    </w:p>
    <w:p w:rsidR="00000000" w:rsidRPr="00BB352C" w:rsidP="00BB352C">
      <w:pPr>
        <w:pStyle w:val="AllowPageBreak"/>
      </w:pPr>
    </w:p>
    <w:p w:rsidR="00000000" w:rsidRPr="00BB352C" w:rsidP="00BB352C">
      <w:pPr>
        <w:pStyle w:val="Heading1"/>
      </w:pPr>
      <w:bookmarkStart w:id="5" w:name="O_475719"/>
      <w:bookmarkEnd w:id="5"/>
      <w:r w:rsidRPr="00BB352C">
        <w:t>Pre-Requisites</w:t>
      </w:r>
    </w:p>
    <w:tbl>
      <w:tblPr>
        <w:tblW w:w="0" w:type="auto"/>
        <w:tblLayout w:type="fixed"/>
        <w:tblCellMar>
          <w:left w:w="62" w:type="dxa"/>
          <w:right w:w="62" w:type="dxa"/>
        </w:tblCellMar>
        <w:tblLook w:val="0000"/>
      </w:tblPr>
      <w:tblGrid>
        <w:gridCol w:w="2700"/>
        <w:gridCol w:w="5764"/>
      </w:tblGrid>
      <w:tr w:rsidTr="006833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B352C" w:rsidP="00BB352C">
            <w:pPr>
              <w:pStyle w:val="BodyText"/>
            </w:pPr>
            <w:r w:rsidRPr="00BB352C">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rPr>
                <w:rStyle w:val="SpecialBold"/>
              </w:rPr>
              <w:t xml:space="preserve">4) </w:t>
            </w:r>
          </w:p>
        </w:tc>
      </w:tr>
      <w:tr w:rsidTr="006833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B352C" w:rsidP="00BB352C">
            <w:pPr>
              <w:pStyle w:val="BodyText"/>
            </w:pPr>
            <w:r w:rsidRPr="00BB352C">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rPr>
                <w:rStyle w:val="SpecialBold"/>
              </w:rPr>
              <w:t>4.1)</w:t>
            </w:r>
          </w:p>
        </w:tc>
      </w:tr>
      <w:tr w:rsidTr="006833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BB352C" w:rsidP="00BB352C">
            <w:pPr>
              <w:pStyle w:val="BodyText"/>
            </w:pPr>
            <w:r w:rsidRPr="00BB352C">
              <w:t>Granting of competency in this unit shall be made only after competency in the following unit(s) has/have been confirmed.</w:t>
            </w:r>
          </w:p>
          <w:p w:rsidR="00000000" w:rsidRPr="00BB352C" w:rsidP="00BB352C">
            <w:pPr>
              <w:pStyle w:val="BodyText"/>
            </w:pPr>
            <w:r w:rsidRPr="00BB352C">
              <w:t>Where pre-requisite pathways have been identified. All competencies in the Common Unit Group must be have been completed.</w:t>
            </w:r>
          </w:p>
          <w:p w:rsidR="00000000" w:rsidRPr="00BB352C" w:rsidP="00BB352C">
            <w:pPr>
              <w:pStyle w:val="BodyText"/>
            </w:pPr>
            <w:r w:rsidRPr="00BB352C">
              <w:t>There are no pre-requisite units.</w:t>
            </w:r>
          </w:p>
        </w:tc>
      </w:tr>
    </w:tbl>
    <w:p w:rsidR="00000000" w:rsidRPr="00BB352C" w:rsidP="00BB352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833D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B352C" w:rsidP="00BB352C">
            <w:pPr>
              <w:pStyle w:val="BodyText"/>
            </w:pPr>
            <w:r w:rsidRPr="00BB352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rPr>
                <w:rStyle w:val="SpecialBold"/>
              </w:rPr>
              <w:t xml:space="preserve">4.2) </w:t>
            </w:r>
          </w:p>
        </w:tc>
      </w:tr>
      <w:tr w:rsidTr="006833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Participants are best equipped to achieve this unit if they have reading, writing and numeracy skills indicated by the following levels. A description of what each level entails is provided in Section 2.3.1 Language, Literacy and Numeracy.</w:t>
            </w:r>
          </w:p>
        </w:tc>
      </w:tr>
      <w:tr w:rsidTr="006833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Reading</w:t>
            </w:r>
          </w:p>
        </w:tc>
        <w:tc>
          <w:tcPr>
            <w:tcW w:w="81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4</w:t>
            </w:r>
          </w:p>
        </w:tc>
        <w:tc>
          <w:tcPr>
            <w:tcW w:w="99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Writing</w:t>
            </w:r>
          </w:p>
        </w:tc>
        <w:tc>
          <w:tcPr>
            <w:tcW w:w="90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4</w:t>
            </w:r>
          </w:p>
        </w:tc>
        <w:tc>
          <w:tcPr>
            <w:tcW w:w="126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Numeracy</w:t>
            </w:r>
          </w:p>
        </w:tc>
        <w:tc>
          <w:tcPr>
            <w:tcW w:w="720" w:type="dxa"/>
            <w:tcBorders>
              <w:top w:val="nil"/>
              <w:left w:val="nil"/>
              <w:bottom w:val="nil"/>
              <w:right w:val="nil"/>
            </w:tcBorders>
            <w:tcMar>
              <w:top w:w="0" w:type="dxa"/>
              <w:left w:w="62" w:type="dxa"/>
              <w:bottom w:w="0" w:type="dxa"/>
              <w:right w:w="62" w:type="dxa"/>
            </w:tcMar>
          </w:tcPr>
          <w:p w:rsidR="00000000" w:rsidRPr="00BB352C" w:rsidP="00BB352C">
            <w:pPr>
              <w:pStyle w:val="BodyText"/>
            </w:pPr>
            <w:r w:rsidRPr="00BB352C">
              <w:t>4</w:t>
            </w:r>
          </w:p>
        </w:tc>
      </w:tr>
    </w:tbl>
    <w:p w:rsidR="00000000" w:rsidRPr="00BB352C" w:rsidP="00BB352C">
      <w:pPr>
        <w:pStyle w:val="BodyText"/>
      </w:pPr>
    </w:p>
    <w:p w:rsidR="00000000" w:rsidRPr="00BB352C" w:rsidP="00BB352C">
      <w:pPr>
        <w:pStyle w:val="AllowPageBreak"/>
      </w:pPr>
    </w:p>
    <w:p w:rsidR="00000000" w:rsidRPr="00BB352C" w:rsidP="00BB352C">
      <w:pPr>
        <w:pStyle w:val="Heading1"/>
      </w:pPr>
      <w:bookmarkStart w:id="6" w:name="O_475715"/>
      <w:bookmarkEnd w:id="6"/>
      <w:r w:rsidRPr="00BB352C">
        <w:t>Employability Skills Information</w:t>
      </w:r>
    </w:p>
    <w:tbl>
      <w:tblPr>
        <w:tblW w:w="0" w:type="auto"/>
        <w:tblLayout w:type="fixed"/>
        <w:tblCellMar>
          <w:left w:w="62" w:type="dxa"/>
          <w:right w:w="62" w:type="dxa"/>
        </w:tblCellMar>
        <w:tblLook w:val="0000"/>
      </w:tblPr>
      <w:tblGrid>
        <w:gridCol w:w="2700"/>
        <w:gridCol w:w="5760"/>
      </w:tblGrid>
      <w:tr w:rsidTr="006833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B352C" w:rsidP="00BB352C">
            <w:pPr>
              <w:pStyle w:val="BodyText"/>
            </w:pPr>
            <w:r w:rsidRPr="00BB352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rPr>
                <w:rStyle w:val="SpecialBold"/>
              </w:rPr>
              <w:t xml:space="preserve">5) </w:t>
            </w:r>
          </w:p>
        </w:tc>
      </w:tr>
      <w:tr w:rsidTr="006833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B352C" w:rsidP="00BB352C">
            <w:pPr>
              <w:pStyle w:val="BodyText"/>
            </w:pPr>
            <w:r w:rsidRPr="00BB352C">
              <w:t xml:space="preserve">The required outcomes described in this unit of competency contain applicable facets of Employability Skills. The Employability Skills Summary </w:t>
            </w:r>
            <w:r w:rsidRPr="00BB352C">
              <w:t>of the qualification in which this unit of competency is packaged will assist in identifying Employability Skill requirements.</w:t>
            </w:r>
          </w:p>
        </w:tc>
      </w:tr>
    </w:tbl>
    <w:p w:rsidR="00000000" w:rsidRPr="00BB352C" w:rsidP="00BB352C">
      <w:pPr>
        <w:pStyle w:val="BodyText"/>
      </w:pPr>
    </w:p>
    <w:p w:rsidR="00000000" w:rsidRPr="00BB352C" w:rsidP="00BB352C">
      <w:pPr>
        <w:pStyle w:val="AllowPageBreak"/>
      </w:pPr>
    </w:p>
    <w:p w:rsidR="00000000" w:rsidRPr="00BB352C" w:rsidP="00BB352C">
      <w:pPr>
        <w:pStyle w:val="Heading1"/>
      </w:pPr>
      <w:bookmarkStart w:id="7" w:name="O_475714"/>
      <w:bookmarkEnd w:id="7"/>
      <w:r w:rsidRPr="00BB352C">
        <w:t>Elements and Performance Criteria Pre-Content</w:t>
      </w:r>
    </w:p>
    <w:tbl>
      <w:tblPr>
        <w:tblW w:w="0" w:type="auto"/>
        <w:tblLayout w:type="fixed"/>
        <w:tblCellMar>
          <w:left w:w="62" w:type="dxa"/>
          <w:right w:w="62" w:type="dxa"/>
        </w:tblCellMar>
        <w:tblLook w:val="0000"/>
      </w:tblPr>
      <w:tblGrid>
        <w:gridCol w:w="2700"/>
        <w:gridCol w:w="5760"/>
      </w:tblGrid>
      <w:tr w:rsidTr="006833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rPr>
                <w:rStyle w:val="SpecialBold"/>
              </w:rPr>
              <w:t>6)</w:t>
            </w:r>
            <w:r w:rsidRPr="00BB352C">
              <w:t xml:space="preserve"> Elements describe the essential outcomes of a competency stan</w:t>
            </w:r>
            <w:r w:rsidRPr="00BB352C">
              <w:t>dard unit</w:t>
            </w:r>
          </w:p>
        </w:tc>
        <w:tc>
          <w:tcPr>
            <w:tcW w:w="5760" w:type="dxa"/>
            <w:tcBorders>
              <w:top w:val="nil"/>
              <w:left w:val="nil"/>
              <w:bottom w:val="nil"/>
              <w:right w:val="nil"/>
            </w:tcBorders>
            <w:tcMar>
              <w:top w:w="0" w:type="dxa"/>
              <w:left w:w="62" w:type="dxa"/>
              <w:bottom w:w="0" w:type="dxa"/>
              <w:right w:w="62" w:type="dxa"/>
            </w:tcMar>
          </w:tcPr>
          <w:p w:rsidR="00000000" w:rsidRPr="00BB352C" w:rsidP="00BB352C">
            <w:pPr>
              <w:pStyle w:val="BodyText"/>
            </w:pPr>
            <w:r w:rsidRPr="00BB352C">
              <w:t>Performance Criteria describe the required performance needed to demonstrate achievement of the element. Assessment of performance is to be consistent with the Evidence Guide.</w:t>
            </w:r>
          </w:p>
        </w:tc>
      </w:tr>
    </w:tbl>
    <w:p w:rsidR="00000000" w:rsidRPr="00BB352C" w:rsidP="00BB352C">
      <w:pPr>
        <w:pStyle w:val="BodyText"/>
      </w:pPr>
    </w:p>
    <w:p w:rsidR="00000000" w:rsidRPr="00BB352C" w:rsidP="00BB352C">
      <w:pPr>
        <w:pStyle w:val="AllowPageBreak"/>
      </w:pPr>
    </w:p>
    <w:p w:rsidR="00000000" w:rsidRPr="00BB352C" w:rsidP="00BB352C">
      <w:pPr>
        <w:pStyle w:val="Heading1"/>
      </w:pPr>
      <w:bookmarkStart w:id="8" w:name="O_475713"/>
      <w:bookmarkEnd w:id="8"/>
      <w:r w:rsidRPr="00BB352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833D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B352C" w:rsidP="00BB352C">
            <w:pPr>
              <w:pStyle w:val="BodyText"/>
            </w:pPr>
            <w:r w:rsidRPr="00BB352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rPr>
                <w:rStyle w:val="SpecialBold"/>
              </w:rPr>
              <w:t>PERFORMANCE CRITERIA</w:t>
            </w:r>
          </w:p>
        </w:tc>
      </w:tr>
      <w:tr w:rsidTr="006833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1</w:t>
            </w:r>
          </w:p>
        </w:tc>
        <w:tc>
          <w:tcPr>
            <w:tcW w:w="2296" w:type="dxa"/>
            <w:vMerge w:val="restart"/>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Plan and prepare work</w:t>
            </w:r>
          </w:p>
        </w:tc>
        <w:tc>
          <w:tcPr>
            <w:tcW w:w="90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1.1</w:t>
            </w:r>
          </w:p>
        </w:tc>
        <w:tc>
          <w:tcPr>
            <w:tcW w:w="486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Documentation to determine substation/ network status is assessed and evaluated</w:t>
            </w:r>
          </w:p>
        </w:tc>
      </w:tr>
      <w:tr w:rsidTr="006833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1.2</w:t>
            </w:r>
          </w:p>
        </w:tc>
        <w:tc>
          <w:tcPr>
            <w:tcW w:w="486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Substation and local network equipment operational pre-requisites are established in accordance with manufacturers and</w:t>
            </w:r>
            <w:r w:rsidRPr="00BB352C">
              <w:t xml:space="preserve"> enterprise/site procedures</w:t>
            </w:r>
          </w:p>
        </w:tc>
      </w:tr>
      <w:tr w:rsidTr="006833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1.3</w:t>
            </w:r>
          </w:p>
        </w:tc>
        <w:tc>
          <w:tcPr>
            <w:tcW w:w="486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Sequence for operating network section and equipment is determined to suit existing circumstances in accordance with enterprise/site requirements</w:t>
            </w:r>
          </w:p>
        </w:tc>
      </w:tr>
      <w:tr w:rsidTr="006833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1.4</w:t>
            </w:r>
          </w:p>
        </w:tc>
        <w:tc>
          <w:tcPr>
            <w:tcW w:w="486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Relevant information to forecast and plan responses for efficient operation is utilised</w:t>
            </w:r>
          </w:p>
        </w:tc>
      </w:tr>
      <w:tr w:rsidTr="006833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1.5</w:t>
            </w:r>
          </w:p>
        </w:tc>
        <w:tc>
          <w:tcPr>
            <w:tcW w:w="486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Regular consultation with key stakeholders is maintained and requirements recognised</w:t>
            </w:r>
          </w:p>
        </w:tc>
      </w:tr>
      <w:tr w:rsidTr="006833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1.6</w:t>
            </w:r>
          </w:p>
        </w:tc>
        <w:tc>
          <w:tcPr>
            <w:tcW w:w="486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Implications of operators actions to the system are identified and as</w:t>
            </w:r>
            <w:r w:rsidRPr="00BB352C">
              <w:t>sessed</w:t>
            </w:r>
          </w:p>
        </w:tc>
      </w:tr>
      <w:tr w:rsidTr="006833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1.7</w:t>
            </w:r>
          </w:p>
        </w:tc>
        <w:tc>
          <w:tcPr>
            <w:tcW w:w="486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 xml:space="preserve">Where appropriate, the teams and individuals roles and responsibilities within the team are identified and, where required, assist in the provision of the on-the-job training </w:t>
            </w:r>
          </w:p>
        </w:tc>
      </w:tr>
      <w:tr w:rsidTr="006833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2</w:t>
            </w:r>
          </w:p>
        </w:tc>
        <w:tc>
          <w:tcPr>
            <w:tcW w:w="2296" w:type="dxa"/>
            <w:vMerge w:val="restart"/>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Operate, monitor and control local network</w:t>
            </w:r>
          </w:p>
        </w:tc>
        <w:tc>
          <w:tcPr>
            <w:tcW w:w="90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2.1</w:t>
            </w:r>
          </w:p>
        </w:tc>
        <w:tc>
          <w:tcPr>
            <w:tcW w:w="486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The local system is operated in accordance with enterprise/site operating procedures</w:t>
            </w:r>
          </w:p>
        </w:tc>
      </w:tr>
      <w:tr w:rsidTr="006833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2.2</w:t>
            </w:r>
          </w:p>
        </w:tc>
        <w:tc>
          <w:tcPr>
            <w:tcW w:w="486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Local network voltage and current requirements are assessed and evaluated to maintain stability and system integrity</w:t>
            </w:r>
          </w:p>
        </w:tc>
      </w:tr>
      <w:tr w:rsidTr="006833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2.3</w:t>
            </w:r>
          </w:p>
        </w:tc>
        <w:tc>
          <w:tcPr>
            <w:tcW w:w="486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Voltage/load profiles are identified and adhered to in accordance with enterprise operating procedures</w:t>
            </w:r>
          </w:p>
        </w:tc>
      </w:tr>
      <w:tr w:rsidTr="006833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2.4</w:t>
            </w:r>
          </w:p>
        </w:tc>
        <w:tc>
          <w:tcPr>
            <w:tcW w:w="486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Corrective actions to rectify abnormalities are implemented following analysis of data in accordance with manufacturer’s and system procedures</w:t>
            </w:r>
          </w:p>
        </w:tc>
      </w:tr>
      <w:tr w:rsidTr="006833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2.5</w:t>
            </w:r>
          </w:p>
        </w:tc>
        <w:tc>
          <w:tcPr>
            <w:tcW w:w="486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Resources required are identified and coordinated to meet system requirements</w:t>
            </w:r>
          </w:p>
        </w:tc>
      </w:tr>
      <w:tr w:rsidTr="006833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2.6</w:t>
            </w:r>
          </w:p>
        </w:tc>
        <w:tc>
          <w:tcPr>
            <w:tcW w:w="486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Operations are carried out in consultation with team members in accordance with system procedures</w:t>
            </w:r>
          </w:p>
        </w:tc>
      </w:tr>
      <w:tr w:rsidTr="006833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3</w:t>
            </w:r>
          </w:p>
        </w:tc>
        <w:tc>
          <w:tcPr>
            <w:tcW w:w="2296" w:type="dxa"/>
            <w:vMerge w:val="restart"/>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Analyse and respond to local network/system faults or incidents</w:t>
            </w:r>
          </w:p>
        </w:tc>
        <w:tc>
          <w:tcPr>
            <w:tcW w:w="90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3.1</w:t>
            </w:r>
          </w:p>
        </w:tc>
        <w:tc>
          <w:tcPr>
            <w:tcW w:w="486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Cause of fault conditions are identified by analysing the technical, operational information and in consultation with system control</w:t>
            </w:r>
          </w:p>
        </w:tc>
      </w:tr>
      <w:tr w:rsidTr="006833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3.2</w:t>
            </w:r>
          </w:p>
        </w:tc>
        <w:tc>
          <w:tcPr>
            <w:tcW w:w="486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Operation of protection systems is identified and assessed to evaluate the nature and cause of fault conditions</w:t>
            </w:r>
          </w:p>
        </w:tc>
      </w:tr>
      <w:tr w:rsidTr="006833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3.3</w:t>
            </w:r>
          </w:p>
        </w:tc>
        <w:tc>
          <w:tcPr>
            <w:tcW w:w="486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Communication is established with other authorities and/or key stakeholders to identify nature/source of system interference (where required)</w:t>
            </w:r>
          </w:p>
        </w:tc>
      </w:tr>
      <w:tr w:rsidTr="006833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3.4</w:t>
            </w:r>
          </w:p>
        </w:tc>
        <w:tc>
          <w:tcPr>
            <w:tcW w:w="486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Corrective action is taken in accordance with enterprise/system procedures</w:t>
            </w:r>
          </w:p>
        </w:tc>
      </w:tr>
      <w:tr w:rsidTr="006833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3.5</w:t>
            </w:r>
          </w:p>
        </w:tc>
        <w:tc>
          <w:tcPr>
            <w:tcW w:w="486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Local system integrity and personnel safety are maintained through consultation with appropriate personnel and reference to plant technical, operational documentation and contingency plans.</w:t>
            </w:r>
          </w:p>
        </w:tc>
      </w:tr>
      <w:tr w:rsidTr="006833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4</w:t>
            </w:r>
          </w:p>
        </w:tc>
        <w:tc>
          <w:tcPr>
            <w:tcW w:w="2296" w:type="dxa"/>
            <w:vMerge w:val="restart"/>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Review incident response and preventative procedures</w:t>
            </w:r>
          </w:p>
        </w:tc>
        <w:tc>
          <w:tcPr>
            <w:tcW w:w="90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4.1</w:t>
            </w:r>
          </w:p>
        </w:tc>
        <w:tc>
          <w:tcPr>
            <w:tcW w:w="486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Incide</w:t>
            </w:r>
            <w:r w:rsidRPr="00BB352C">
              <w:t>nt responses are assessed and reviewed in accordance with system procedures</w:t>
            </w:r>
          </w:p>
        </w:tc>
      </w:tr>
      <w:tr w:rsidTr="006833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4.2</w:t>
            </w:r>
          </w:p>
        </w:tc>
        <w:tc>
          <w:tcPr>
            <w:tcW w:w="486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Alternative responses/contingencies are identified and assessed in accordance with system procedures</w:t>
            </w:r>
          </w:p>
        </w:tc>
      </w:tr>
      <w:tr w:rsidTr="006833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4.3</w:t>
            </w:r>
          </w:p>
        </w:tc>
        <w:tc>
          <w:tcPr>
            <w:tcW w:w="486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Alternative responses/contingencies are documented and approved in accordance with system procedures</w:t>
            </w:r>
          </w:p>
        </w:tc>
      </w:tr>
      <w:tr w:rsidTr="006833D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5</w:t>
            </w:r>
          </w:p>
        </w:tc>
        <w:tc>
          <w:tcPr>
            <w:tcW w:w="2296"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Complete documentation</w:t>
            </w:r>
          </w:p>
        </w:tc>
        <w:tc>
          <w:tcPr>
            <w:tcW w:w="90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t>5.1</w:t>
            </w:r>
          </w:p>
        </w:tc>
        <w:tc>
          <w:tcPr>
            <w:tcW w:w="4860" w:type="dxa"/>
            <w:tcBorders>
              <w:top w:val="nil"/>
              <w:left w:val="nil"/>
              <w:bottom w:val="nil"/>
              <w:right w:val="nil"/>
            </w:tcBorders>
            <w:tcMar>
              <w:top w:w="0" w:type="dxa"/>
              <w:left w:w="62" w:type="dxa"/>
              <w:bottom w:w="0" w:type="dxa"/>
              <w:right w:w="62" w:type="dxa"/>
            </w:tcMar>
          </w:tcPr>
          <w:p w:rsidR="00000000" w:rsidRPr="00BB352C" w:rsidP="00BB352C">
            <w:pPr>
              <w:pStyle w:val="BodyText"/>
            </w:pPr>
            <w:r w:rsidRPr="00BB352C">
              <w:t>Documentation is updated, log sheets maintained and equipment/system problems, movements, abnormalities and status are report</w:t>
            </w:r>
            <w:r w:rsidRPr="00BB352C">
              <w:t>ed and logged in accordance with enterprise/site procedures.</w:t>
            </w:r>
          </w:p>
        </w:tc>
      </w:tr>
    </w:tbl>
    <w:p w:rsidR="00000000" w:rsidRPr="00BB352C" w:rsidP="00BB352C">
      <w:pPr>
        <w:pStyle w:val="BodyText"/>
      </w:pPr>
    </w:p>
    <w:p w:rsidR="00000000" w:rsidRPr="00BB352C" w:rsidP="00BB352C">
      <w:pPr>
        <w:pStyle w:val="AllowPageBreak"/>
      </w:pPr>
    </w:p>
    <w:p w:rsidR="00000000" w:rsidRPr="00BB352C" w:rsidP="00BB352C">
      <w:pPr>
        <w:pStyle w:val="Heading1"/>
      </w:pPr>
      <w:bookmarkStart w:id="9" w:name="O_475721"/>
      <w:bookmarkEnd w:id="9"/>
      <w:r w:rsidRPr="00BB352C">
        <w:t>Required Skills and Knowledge</w:t>
      </w:r>
    </w:p>
    <w:tbl>
      <w:tblPr>
        <w:tblW w:w="0" w:type="auto"/>
        <w:tblLayout w:type="fixed"/>
        <w:tblCellMar>
          <w:left w:w="62" w:type="dxa"/>
          <w:right w:w="62" w:type="dxa"/>
        </w:tblCellMar>
        <w:tblLook w:val="0000"/>
      </w:tblPr>
      <w:tblGrid>
        <w:gridCol w:w="8460"/>
      </w:tblGrid>
      <w:tr w:rsidTr="006833D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rPr>
                <w:rStyle w:val="SpecialBold"/>
              </w:rPr>
              <w:t>REQUIRED SKILLS AND KNOWLEDGE</w:t>
            </w:r>
          </w:p>
        </w:tc>
      </w:tr>
      <w:tr w:rsidTr="006833D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B352C" w:rsidP="00BB352C">
            <w:pPr>
              <w:pStyle w:val="BodyText"/>
            </w:pPr>
            <w:r w:rsidRPr="00BB352C">
              <w:rPr>
                <w:rStyle w:val="SpecialBold"/>
              </w:rPr>
              <w:t>8)</w:t>
            </w:r>
            <w:r w:rsidRPr="00BB352C">
              <w:t xml:space="preserve"> This describes the essential skills and knowledge and their level, required for this unit.</w:t>
            </w:r>
          </w:p>
          <w:p w:rsidR="00000000" w:rsidRPr="00BB352C" w:rsidP="00BB352C">
            <w:pPr>
              <w:pStyle w:val="BodyText"/>
            </w:pPr>
            <w:r w:rsidRPr="00BB352C">
              <w:t>Evidence shall show that knowledge has been acquired co-ordinating local H.V. networks.</w:t>
            </w:r>
          </w:p>
          <w:p w:rsidR="00000000" w:rsidRPr="00BB352C" w:rsidP="00BB352C">
            <w:pPr>
              <w:pStyle w:val="BodyText"/>
            </w:pPr>
            <w:r w:rsidRPr="00BB352C">
              <w:t>All knowledge and skills detailed in this unit should be contextualised to current industry practices and technologies.</w:t>
            </w:r>
          </w:p>
          <w:p w:rsidR="00000000" w:rsidRPr="00BB352C" w:rsidP="00BB352C">
            <w:pPr>
              <w:pStyle w:val="BodyText"/>
            </w:pPr>
            <w:r w:rsidRPr="00BB352C">
              <w:t>The extent of the Essential Knowledge and Associ</w:t>
            </w:r>
            <w:r w:rsidRPr="00BB352C">
              <w:t>ated Skills required follows:</w:t>
            </w:r>
          </w:p>
          <w:p w:rsidR="00000000" w:rsidRPr="00BB352C" w:rsidP="00BB352C">
            <w:pPr>
              <w:pStyle w:val="BodyText"/>
            </w:pPr>
            <w:r w:rsidRPr="00BB352C">
              <w:t>KS01-PO424B</w:t>
            </w:r>
            <w:r w:rsidRPr="00BB352C">
              <w:tab/>
              <w:t xml:space="preserve"> Local H.V. networks</w:t>
            </w:r>
          </w:p>
          <w:p w:rsidR="00000000" w:rsidRPr="00BB352C" w:rsidP="00BB352C">
            <w:pPr>
              <w:pStyle w:val="BodyText"/>
            </w:pPr>
            <w:r w:rsidRPr="00BB352C">
              <w:t>T1  Evidence shall show that knowledge has been acquired for safe working practices of:</w:t>
            </w:r>
          </w:p>
          <w:p w:rsidR="00000000" w:rsidRPr="00BB352C" w:rsidP="00BB352C">
            <w:pPr>
              <w:pStyle w:val="ListBullet"/>
            </w:pPr>
            <w:r w:rsidRPr="00BB352C">
              <w:t>Relevant environmental, occupational health and safety legislation and  regulations</w:t>
            </w:r>
          </w:p>
          <w:p w:rsidR="00000000" w:rsidRPr="00BB352C" w:rsidP="00BB352C">
            <w:pPr>
              <w:pStyle w:val="ListBullet"/>
            </w:pPr>
            <w:r w:rsidRPr="00BB352C">
              <w:t>Enterprise procedure</w:t>
            </w:r>
            <w:r w:rsidRPr="00BB352C">
              <w:t>s</w:t>
            </w:r>
          </w:p>
          <w:p w:rsidR="00000000" w:rsidRPr="00BB352C" w:rsidP="00BB352C">
            <w:pPr>
              <w:pStyle w:val="ListBullet"/>
            </w:pPr>
            <w:r w:rsidRPr="00BB352C">
              <w:t>Plant drawings and manufacturers manuals</w:t>
            </w:r>
          </w:p>
          <w:p w:rsidR="00000000" w:rsidRPr="00BB352C" w:rsidP="00BB352C">
            <w:pPr>
              <w:pStyle w:val="ListBullet"/>
            </w:pPr>
            <w:r w:rsidRPr="00BB352C">
              <w:t>Introduction to and typical arrangements of power production plant</w:t>
            </w:r>
          </w:p>
          <w:p w:rsidR="00000000" w:rsidRPr="00BB352C" w:rsidP="00BB352C">
            <w:pPr>
              <w:pStyle w:val="ListBullet"/>
            </w:pPr>
            <w:r w:rsidRPr="00BB352C">
              <w:t>Relevant plant and equipment, its location and operating parameters</w:t>
            </w:r>
          </w:p>
          <w:p w:rsidR="00000000" w:rsidRPr="00BB352C" w:rsidP="00BB352C">
            <w:pPr>
              <w:pStyle w:val="ListBullet"/>
            </w:pPr>
            <w:r w:rsidRPr="00BB352C">
              <w:t>Relevant state and territory regulations</w:t>
            </w:r>
          </w:p>
          <w:p w:rsidR="00000000" w:rsidRPr="00BB352C" w:rsidP="00BB352C">
            <w:pPr>
              <w:pStyle w:val="ListBullet"/>
            </w:pPr>
            <w:r w:rsidRPr="00BB352C">
              <w:t>Electric motor types and characteristics</w:t>
            </w:r>
          </w:p>
          <w:p w:rsidR="00000000" w:rsidRPr="00BB352C" w:rsidP="00BB352C">
            <w:pPr>
              <w:pStyle w:val="ListBullet"/>
            </w:pPr>
            <w:r w:rsidRPr="00BB352C">
              <w:t>Switchgear types and characteristics</w:t>
            </w:r>
          </w:p>
          <w:p w:rsidR="00000000" w:rsidRPr="00BB352C" w:rsidP="00BB352C">
            <w:pPr>
              <w:pStyle w:val="ListBullet"/>
            </w:pPr>
            <w:r w:rsidRPr="00BB352C">
              <w:t>Electrical protection types and characteristics</w:t>
            </w:r>
          </w:p>
          <w:p w:rsidR="00000000" w:rsidRPr="00BB352C" w:rsidP="00BB352C">
            <w:pPr>
              <w:pStyle w:val="ListBullet"/>
            </w:pPr>
            <w:r w:rsidRPr="00BB352C">
              <w:t>Electrical principles</w:t>
            </w:r>
          </w:p>
          <w:p w:rsidR="00000000" w:rsidRPr="00BB352C" w:rsidP="00BB352C">
            <w:pPr>
              <w:pStyle w:val="ListBullet"/>
            </w:pPr>
            <w:r w:rsidRPr="00BB352C">
              <w:t>Transformers  types and characteristics</w:t>
            </w:r>
          </w:p>
          <w:p w:rsidR="00000000" w:rsidRPr="00BB352C" w:rsidP="00BB352C">
            <w:pPr>
              <w:pStyle w:val="ListBullet"/>
            </w:pPr>
            <w:r w:rsidRPr="00BB352C">
              <w:t>Local H.V networks types and characteristics</w:t>
            </w:r>
          </w:p>
          <w:p w:rsidR="00000000" w:rsidRPr="00BB352C" w:rsidP="00BB352C">
            <w:pPr>
              <w:pStyle w:val="ListBullet"/>
            </w:pPr>
            <w:r w:rsidRPr="00BB352C">
              <w:t>Plant status</w:t>
            </w:r>
          </w:p>
          <w:p w:rsidR="00000000" w:rsidRPr="00BB352C" w:rsidP="00BB352C">
            <w:pPr>
              <w:pStyle w:val="ListBullet"/>
            </w:pPr>
            <w:r w:rsidRPr="00BB352C">
              <w:t>Enterprise</w:t>
            </w:r>
            <w:r w:rsidRPr="00BB352C">
              <w:t xml:space="preserve"> recording procedures</w:t>
            </w:r>
          </w:p>
          <w:p w:rsidR="00000000" w:rsidRPr="00BB352C" w:rsidP="00BB352C">
            <w:pPr>
              <w:pStyle w:val="ListBullet"/>
            </w:pPr>
            <w:r w:rsidRPr="00BB352C">
              <w:t>Contingency plans</w:t>
            </w:r>
          </w:p>
          <w:p w:rsidR="00000000" w:rsidRPr="00BB352C" w:rsidP="00BB352C">
            <w:pPr>
              <w:pStyle w:val="ListBullet"/>
            </w:pPr>
            <w:r w:rsidRPr="00BB352C">
              <w:t>Supervisory, alarm, protection and control equipment</w:t>
            </w:r>
          </w:p>
          <w:p w:rsidR="00000000" w:rsidRPr="00BB352C" w:rsidP="00BB352C">
            <w:pPr>
              <w:pStyle w:val="ListBullet"/>
            </w:pPr>
            <w:r w:rsidRPr="00BB352C">
              <w:t>Switching practices and procedures</w:t>
            </w:r>
          </w:p>
          <w:p w:rsidR="00000000" w:rsidRPr="00BB352C" w:rsidP="00BB352C">
            <w:pPr>
              <w:pStyle w:val="BodyText"/>
            </w:pPr>
            <w:r w:rsidRPr="00BB352C">
              <w:t>T2  Specific skills needed to achieve the Performance Criteria:</w:t>
            </w:r>
          </w:p>
          <w:p w:rsidR="00000000" w:rsidRPr="00BB352C" w:rsidP="00BB352C">
            <w:pPr>
              <w:pStyle w:val="ListBullet"/>
            </w:pPr>
            <w:r w:rsidRPr="00BB352C">
              <w:t>Interpret plant drawings and manufacturers manuals</w:t>
            </w:r>
          </w:p>
          <w:p w:rsidR="00000000" w:rsidRPr="00BB352C" w:rsidP="00BB352C">
            <w:pPr>
              <w:pStyle w:val="ListBullet"/>
            </w:pPr>
            <w:r w:rsidRPr="00BB352C">
              <w:t>Apply releva</w:t>
            </w:r>
            <w:r w:rsidRPr="00BB352C">
              <w:t>nt state and territory regulations</w:t>
            </w:r>
          </w:p>
          <w:p w:rsidR="00000000" w:rsidRPr="00BB352C" w:rsidP="00BB352C">
            <w:pPr>
              <w:pStyle w:val="ListBullet"/>
            </w:pPr>
            <w:r w:rsidRPr="00BB352C">
              <w:t>Apply enterprise recording procedures</w:t>
            </w:r>
          </w:p>
          <w:p w:rsidR="00000000" w:rsidRPr="00BB352C" w:rsidP="00BB352C">
            <w:pPr>
              <w:pStyle w:val="ListBullet"/>
            </w:pPr>
            <w:r w:rsidRPr="00BB352C">
              <w:t>Manager and control system/network</w:t>
            </w:r>
          </w:p>
          <w:p w:rsidR="00000000" w:rsidRPr="00BB352C" w:rsidP="00BB352C">
            <w:pPr>
              <w:pStyle w:val="ListBullet"/>
            </w:pPr>
            <w:r w:rsidRPr="00BB352C">
              <w:t>Identify plant status</w:t>
            </w:r>
          </w:p>
          <w:p w:rsidR="00000000" w:rsidRPr="00BB352C" w:rsidP="00BB352C">
            <w:pPr>
              <w:pStyle w:val="ListBullet"/>
            </w:pPr>
            <w:r w:rsidRPr="00BB352C">
              <w:t>Communicate effectively</w:t>
            </w:r>
          </w:p>
          <w:p w:rsidR="00000000" w:rsidRPr="00BB352C" w:rsidP="00BB352C">
            <w:pPr>
              <w:pStyle w:val="ListBullet"/>
            </w:pPr>
            <w:r w:rsidRPr="00BB352C">
              <w:t>Apply data analysis techniques and tools</w:t>
            </w:r>
          </w:p>
          <w:p w:rsidR="00000000" w:rsidRPr="00BB352C" w:rsidP="00BB352C">
            <w:pPr>
              <w:pStyle w:val="ListBullet"/>
            </w:pPr>
            <w:r w:rsidRPr="00BB352C">
              <w:t>Identify and respond to abnormal system operating conditions</w:t>
            </w:r>
          </w:p>
          <w:p w:rsidR="00000000" w:rsidRPr="00BB352C" w:rsidP="00BB352C">
            <w:pPr>
              <w:pStyle w:val="ListBullet"/>
            </w:pPr>
            <w:r w:rsidRPr="00BB352C">
              <w:t>Plan and prioritise work</w:t>
            </w:r>
          </w:p>
          <w:p w:rsidR="00000000" w:rsidRPr="00BB352C" w:rsidP="00BB352C">
            <w:pPr>
              <w:pStyle w:val="ListBullet"/>
            </w:pPr>
            <w:r w:rsidRPr="00BB352C">
              <w:t>Apply stress management techniques</w:t>
            </w:r>
          </w:p>
          <w:p w:rsidR="00000000" w:rsidRPr="00BB352C" w:rsidP="00BB352C">
            <w:pPr>
              <w:pStyle w:val="ListBullet"/>
            </w:pPr>
            <w:r w:rsidRPr="00BB352C">
              <w:t>Direct and coordinate personnel</w:t>
            </w:r>
          </w:p>
          <w:p w:rsidR="00000000" w:rsidRPr="00BB352C" w:rsidP="00BB352C">
            <w:pPr>
              <w:pStyle w:val="ListBullet"/>
            </w:pPr>
            <w:r w:rsidRPr="00BB352C">
              <w:t>Select appropriate load shedding</w:t>
            </w:r>
          </w:p>
          <w:p w:rsidR="00000000" w:rsidRPr="00BB352C" w:rsidP="00BB352C">
            <w:pPr>
              <w:pStyle w:val="ListBullet"/>
            </w:pPr>
            <w:r w:rsidRPr="00BB352C">
              <w:t>Apply diagnostic techniques.</w:t>
            </w:r>
          </w:p>
        </w:tc>
      </w:tr>
    </w:tbl>
    <w:p w:rsidR="00000000" w:rsidRPr="00BB352C" w:rsidP="00BB352C">
      <w:pPr>
        <w:pStyle w:val="BodyText"/>
      </w:pPr>
    </w:p>
    <w:p w:rsidR="00000000" w:rsidRPr="00BB352C" w:rsidP="00BB352C">
      <w:pPr>
        <w:pStyle w:val="AllowPageBreak"/>
      </w:pPr>
    </w:p>
    <w:p w:rsidR="00000000" w:rsidRPr="00BB352C" w:rsidP="00BB352C">
      <w:pPr>
        <w:pStyle w:val="Heading1"/>
      </w:pPr>
      <w:bookmarkStart w:id="10" w:name="O_475716"/>
      <w:bookmarkEnd w:id="10"/>
      <w:r w:rsidRPr="00BB352C">
        <w:t>Evidence Guide</w:t>
      </w:r>
    </w:p>
    <w:tbl>
      <w:tblPr>
        <w:tblW w:w="0" w:type="auto"/>
        <w:tblLayout w:type="fixed"/>
        <w:tblCellMar>
          <w:left w:w="62" w:type="dxa"/>
          <w:right w:w="62" w:type="dxa"/>
        </w:tblCellMar>
        <w:tblLook w:val="0000"/>
      </w:tblPr>
      <w:tblGrid>
        <w:gridCol w:w="8460"/>
      </w:tblGrid>
      <w:tr w:rsidTr="006833D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rPr>
                <w:rStyle w:val="SpecialBold"/>
              </w:rPr>
              <w:t>EVIDENCE GUIDE</w:t>
            </w:r>
          </w:p>
        </w:tc>
      </w:tr>
      <w:tr w:rsidTr="006833D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B352C" w:rsidP="00BB352C">
            <w:pPr>
              <w:pStyle w:val="BodyText"/>
            </w:pPr>
            <w:r w:rsidRPr="00BB352C">
              <w:rPr>
                <w:rStyle w:val="SpecialBold"/>
              </w:rPr>
              <w:t>9)</w:t>
            </w:r>
            <w:r w:rsidRPr="00BB352C">
              <w:t xml:space="preserve"> This provides essential advice for assessment of the competency standard unit and must be read in conjunction with the Performance Criteria and the Range Statement of the unit and the Training Package Assessment Guidelines.</w:t>
            </w:r>
          </w:p>
          <w:p w:rsidR="00000000" w:rsidRPr="00BB352C" w:rsidP="00BB352C">
            <w:pPr>
              <w:pStyle w:val="BodyText"/>
            </w:pPr>
            <w:r w:rsidRPr="00BB352C">
              <w:t>The Evidence Guide forms an int</w:t>
            </w:r>
            <w:r w:rsidRPr="00BB352C">
              <w:t>egral part of this competency standard unit and shall be used in conjunction with all components parts of this unit and, performed in accordance with the Assessment Guidelines of this Training Package.</w:t>
            </w:r>
          </w:p>
        </w:tc>
      </w:tr>
    </w:tbl>
    <w:p w:rsidR="00000000" w:rsidRPr="00BB352C" w:rsidP="00BB352C">
      <w:pPr>
        <w:pStyle w:val="BodyText"/>
      </w:pPr>
    </w:p>
    <w:tbl>
      <w:tblPr>
        <w:tblW w:w="0" w:type="auto"/>
        <w:tblLayout w:type="fixed"/>
        <w:tblCellMar>
          <w:left w:w="62" w:type="dxa"/>
          <w:right w:w="62" w:type="dxa"/>
        </w:tblCellMar>
        <w:tblLook w:val="0000"/>
      </w:tblPr>
      <w:tblGrid>
        <w:gridCol w:w="1890"/>
        <w:gridCol w:w="6570"/>
      </w:tblGrid>
      <w:tr w:rsidTr="006833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B352C" w:rsidP="00BB352C">
            <w:pPr>
              <w:pStyle w:val="BodyText"/>
            </w:pPr>
            <w:r w:rsidRPr="00BB352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rPr>
                <w:rStyle w:val="SpecialBold"/>
              </w:rPr>
              <w:t>9.1)</w:t>
            </w:r>
          </w:p>
        </w:tc>
      </w:tr>
      <w:tr w:rsidTr="006833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B352C" w:rsidP="00BB352C">
            <w:pPr>
              <w:pStyle w:val="BodyText"/>
            </w:pPr>
            <w:r w:rsidRPr="00BB352C">
              <w:t>Longitude competency d</w:t>
            </w:r>
            <w:r w:rsidRPr="00BB352C">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BB352C">
              <w:t>Industry preferred model for apprenticeships. However, where summative (or final) assessment is used it is to include the application of the competency in the normal work environment or, at a minimum, the application of the competency in a realistically si</w:t>
            </w:r>
            <w:r w:rsidRPr="00BB352C">
              <w:t>mulated work environment. It is recognised that, in some circumstances, assessment in part or full can occur outside the workplace. However, it must be in accord with Industry and regulatory policy.</w:t>
            </w:r>
          </w:p>
          <w:p w:rsidR="00000000" w:rsidRPr="00BB352C" w:rsidP="00BB352C">
            <w:pPr>
              <w:pStyle w:val="BodyText"/>
            </w:pPr>
            <w:r w:rsidRPr="00BB352C">
              <w:t>Methods chosen for a particular assessment will be influe</w:t>
            </w:r>
            <w:r w:rsidRPr="00BB352C">
              <w:t>nced by various factors. These include the extent of the assessment, the most effective locations for the assessment activities to take place, access to physical resources, additional safety measures that may be required and the critical nature of the comp</w:t>
            </w:r>
            <w:r w:rsidRPr="00BB352C">
              <w:t>etencies being assessed.</w:t>
            </w:r>
          </w:p>
          <w:p w:rsidR="00000000" w:rsidRPr="00BB352C" w:rsidP="00BB352C">
            <w:pPr>
              <w:pStyle w:val="BodyText"/>
            </w:pPr>
            <w:r w:rsidRPr="00BB352C">
              <w:t>The critical safety nature of working with electricity, electrical equipment, gas or any other hazardous substance/material carries risk in deeming a person competent. Hence, sources of evidence need to be ‘rich’</w:t>
            </w:r>
            <w:r w:rsidRPr="00BB352C">
              <w:t xml:space="preserve"> in nature so as to minimise error in judgment.</w:t>
            </w:r>
          </w:p>
          <w:p w:rsidR="00000000" w:rsidRPr="00BB352C" w:rsidP="00BB352C">
            <w:pPr>
              <w:pStyle w:val="BodyText"/>
            </w:pPr>
            <w:r w:rsidRPr="00BB352C">
              <w:t>Activities associated with normal every day work have a bearing on the decision as to how much and how detailed the data gathered will contribute to its ‘richness’. Some skills are more critical to safety and</w:t>
            </w:r>
            <w:r w:rsidRPr="00BB352C">
              <w:t xml:space="preserve"> operational requirements while the same skills may be more or less frequently practised. These points are raised for the assessors to consider when choosing an assessment method and developing assessment instruments. Sample assessment instruments are incl</w:t>
            </w:r>
            <w:r w:rsidRPr="00BB352C">
              <w:t>uded in the Assessment Guidelines of this Training Package.</w:t>
            </w:r>
          </w:p>
        </w:tc>
      </w:tr>
    </w:tbl>
    <w:p w:rsidR="00000000" w:rsidRPr="00BB352C" w:rsidP="00BB352C">
      <w:pPr>
        <w:pStyle w:val="BodyText"/>
      </w:pPr>
    </w:p>
    <w:tbl>
      <w:tblPr>
        <w:tblW w:w="0" w:type="auto"/>
        <w:tblLayout w:type="fixed"/>
        <w:tblCellMar>
          <w:left w:w="62" w:type="dxa"/>
          <w:right w:w="62" w:type="dxa"/>
        </w:tblCellMar>
        <w:tblLook w:val="0000"/>
      </w:tblPr>
      <w:tblGrid>
        <w:gridCol w:w="1890"/>
        <w:gridCol w:w="6570"/>
      </w:tblGrid>
      <w:tr w:rsidTr="006833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B352C" w:rsidP="00BB352C">
            <w:pPr>
              <w:pStyle w:val="BodyText"/>
            </w:pPr>
            <w:r w:rsidRPr="00BB352C">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rPr>
                <w:rStyle w:val="SpecialBold"/>
              </w:rPr>
              <w:t>9.2)</w:t>
            </w:r>
          </w:p>
        </w:tc>
      </w:tr>
      <w:tr w:rsidTr="006833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B352C" w:rsidP="00BB352C">
            <w:pPr>
              <w:pStyle w:val="BodyText"/>
            </w:pPr>
            <w:r w:rsidRPr="00BB352C">
              <w:t>Before the critical aspects of evidence are considered all pre-requisites shall be met.</w:t>
            </w:r>
          </w:p>
          <w:p w:rsidR="00000000" w:rsidRPr="00BB352C" w:rsidP="00BB352C">
            <w:pPr>
              <w:pStyle w:val="BodyText"/>
            </w:pPr>
            <w:r w:rsidRPr="00BB352C">
              <w:t>Evidence for competenc</w:t>
            </w:r>
            <w:r w:rsidRPr="00BB352C">
              <w:t>e in this unit shall be considered holistically.  Each element and associated Performance Criteria shall be demonstrated on at least two occasions in accordance with the “Assessment Guidelines – UEP12”.  Evidence shall also comprise:</w:t>
            </w:r>
          </w:p>
          <w:p w:rsidR="00000000" w:rsidRPr="00BB352C" w:rsidP="00BB352C">
            <w:pPr>
              <w:pStyle w:val="ListBullet"/>
            </w:pPr>
            <w:r w:rsidRPr="00BB352C">
              <w:t>A representative body</w:t>
            </w:r>
            <w:r w:rsidRPr="00BB352C">
              <w:t xml:space="preserve"> of work performance demonstrated within the timeframes typically expected of the discipline, work function and industrial environment. In particular this shall incorporate evidence that shows a candidate is able to:</w:t>
            </w:r>
          </w:p>
          <w:p w:rsidR="00000000" w:rsidRPr="00BB352C" w:rsidP="00BB352C">
            <w:pPr>
              <w:pStyle w:val="ListBullet2"/>
            </w:pPr>
            <w:r w:rsidRPr="00BB352C">
              <w:t>Implement Occupational Health and Safe</w:t>
            </w:r>
            <w:r w:rsidRPr="00BB352C">
              <w:t>ty workplace procedures and practices including the use of risk control measures as specified in the Performance Criteria and Range Statement</w:t>
            </w:r>
          </w:p>
          <w:p w:rsidR="00000000" w:rsidRPr="00BB352C" w:rsidP="00BB352C">
            <w:pPr>
              <w:pStyle w:val="ListBullet2"/>
            </w:pPr>
            <w:r w:rsidRPr="00BB352C">
              <w:t>Apply sustainable energy principles and practices as specified in the Performance Criteria and Range Statement</w:t>
            </w:r>
          </w:p>
          <w:p w:rsidR="00000000" w:rsidRPr="00BB352C" w:rsidP="00BB352C">
            <w:pPr>
              <w:pStyle w:val="ListBullet2"/>
            </w:pPr>
            <w:r w:rsidRPr="00BB352C">
              <w:t>Demonstrate an understanding of the essential knowledge and associated skills as described in 6) Essential Knowledge and Associated Skills of this unit</w:t>
            </w:r>
          </w:p>
          <w:p w:rsidR="00000000" w:rsidRPr="00BB352C" w:rsidP="00BB352C">
            <w:pPr>
              <w:pStyle w:val="ListBullet2"/>
            </w:pPr>
            <w:r w:rsidRPr="00BB352C">
              <w:t>Demonstrate an appropriate level of employability skills</w:t>
            </w:r>
          </w:p>
          <w:p w:rsidR="00000000" w:rsidRPr="00BB352C" w:rsidP="00BB352C">
            <w:pPr>
              <w:pStyle w:val="ListBullet2"/>
            </w:pPr>
            <w:r w:rsidRPr="00BB352C">
              <w:t>Conduct work observing the relevant Anti-Discri</w:t>
            </w:r>
            <w:r w:rsidRPr="00BB352C">
              <w:t>mination legislation, regulations, polices and workplace procedure</w:t>
            </w:r>
          </w:p>
          <w:p w:rsidR="00000000" w:rsidRPr="00BB352C" w:rsidP="00BB352C">
            <w:pPr>
              <w:pStyle w:val="ListBullet"/>
            </w:pPr>
            <w:r w:rsidRPr="00BB352C">
              <w:t>Demonstrated performance across a representative range of contexts from the prescribed items below:</w:t>
            </w:r>
          </w:p>
          <w:p w:rsidR="00000000" w:rsidRPr="00BB352C" w:rsidP="00BB352C">
            <w:pPr>
              <w:pStyle w:val="ListBullet2"/>
            </w:pPr>
            <w:r w:rsidRPr="00BB352C">
              <w:t>The knowledge and application of relevant sections of: Occupational Health and Safety l</w:t>
            </w:r>
            <w:r w:rsidRPr="00BB352C">
              <w:t>egislation; Statutory legislation; Enterprise/site safety procedures; Enterprise/site emergency procedures</w:t>
            </w:r>
          </w:p>
          <w:p w:rsidR="00000000" w:rsidRPr="00BB352C" w:rsidP="00BB352C">
            <w:pPr>
              <w:pStyle w:val="ListBullet2"/>
            </w:pPr>
            <w:r w:rsidRPr="00BB352C">
              <w:t>Preparing for system operations</w:t>
            </w:r>
          </w:p>
          <w:p w:rsidR="00000000" w:rsidRPr="00BB352C" w:rsidP="00BB352C">
            <w:pPr>
              <w:pStyle w:val="ListBullet2"/>
            </w:pPr>
            <w:r w:rsidRPr="00BB352C">
              <w:t>Managing and controlling system operations</w:t>
            </w:r>
          </w:p>
          <w:p w:rsidR="00000000" w:rsidRPr="00BB352C" w:rsidP="00BB352C">
            <w:pPr>
              <w:pStyle w:val="ListBullet2"/>
            </w:pPr>
            <w:r w:rsidRPr="00BB352C">
              <w:t>Coordination requirements</w:t>
            </w:r>
          </w:p>
          <w:p w:rsidR="00000000" w:rsidRPr="00BB352C" w:rsidP="00BB352C">
            <w:pPr>
              <w:pStyle w:val="ListBullet2"/>
            </w:pPr>
            <w:r w:rsidRPr="00BB352C">
              <w:t>Identifying and responding to abnormal system op</w:t>
            </w:r>
            <w:r w:rsidRPr="00BB352C">
              <w:t>erating conditions</w:t>
            </w:r>
          </w:p>
          <w:p w:rsidR="00000000" w:rsidRPr="00BB352C" w:rsidP="00BB352C">
            <w:pPr>
              <w:pStyle w:val="ListBullet2"/>
            </w:pPr>
            <w:r w:rsidRPr="00BB352C">
              <w:t>Impact of actions</w:t>
            </w:r>
          </w:p>
          <w:p w:rsidR="00000000" w:rsidRPr="00BB352C" w:rsidP="00BB352C">
            <w:pPr>
              <w:pStyle w:val="ListBullet2"/>
            </w:pPr>
            <w:r w:rsidRPr="00BB352C">
              <w:t>Dealing with an unplanned event by drawing on essential knowledge and skills to provide appropriate solutions incorporated in the holistic assessment with the above listed items.</w:t>
            </w:r>
          </w:p>
        </w:tc>
      </w:tr>
    </w:tbl>
    <w:p w:rsidR="00000000" w:rsidRPr="00BB352C" w:rsidP="00BB352C">
      <w:pPr>
        <w:pStyle w:val="BodyText"/>
      </w:pPr>
    </w:p>
    <w:tbl>
      <w:tblPr>
        <w:tblW w:w="0" w:type="auto"/>
        <w:tblLayout w:type="fixed"/>
        <w:tblCellMar>
          <w:left w:w="62" w:type="dxa"/>
          <w:right w:w="62" w:type="dxa"/>
        </w:tblCellMar>
        <w:tblLook w:val="0000"/>
      </w:tblPr>
      <w:tblGrid>
        <w:gridCol w:w="1890"/>
        <w:gridCol w:w="6570"/>
      </w:tblGrid>
      <w:tr w:rsidTr="006833D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B352C" w:rsidP="00BB352C">
            <w:pPr>
              <w:pStyle w:val="BodyText"/>
            </w:pPr>
            <w:r w:rsidRPr="00BB352C">
              <w:rPr>
                <w:rStyle w:val="SpecialBold"/>
              </w:rPr>
              <w:t>Context of and specific resourc</w:t>
            </w:r>
            <w:r w:rsidRPr="00BB352C">
              <w:rPr>
                <w:rStyle w:val="SpecialBold"/>
              </w:rPr>
              <w:t>es for assessment</w:t>
            </w:r>
          </w:p>
        </w:tc>
        <w:tc>
          <w:tcPr>
            <w:tcW w:w="657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rPr>
                <w:rStyle w:val="SpecialBold"/>
              </w:rPr>
              <w:t>9.3)</w:t>
            </w:r>
          </w:p>
        </w:tc>
      </w:tr>
      <w:tr w:rsidTr="006833D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B352C" w:rsidP="00BB352C">
            <w:pPr>
              <w:pStyle w:val="BodyText"/>
            </w:pPr>
            <w:r w:rsidRPr="00BB352C">
              <w:t>This unit should be assessed as it relates to normal work practice using procedures, information and resources typical of a workplace. This should include:</w:t>
            </w:r>
          </w:p>
          <w:p w:rsidR="00000000" w:rsidRPr="00BB352C" w:rsidP="00BB352C">
            <w:pPr>
              <w:pStyle w:val="ListBullet"/>
            </w:pPr>
            <w:r w:rsidRPr="00BB352C">
              <w:t>OHS policy and work procedures and instructions.</w:t>
            </w:r>
          </w:p>
          <w:p w:rsidR="00000000" w:rsidRPr="00BB352C" w:rsidP="00BB352C">
            <w:pPr>
              <w:pStyle w:val="ListBullet"/>
            </w:pPr>
            <w:r w:rsidRPr="00BB352C">
              <w:t>Suitable work environment</w:t>
            </w:r>
            <w:r w:rsidRPr="00BB352C">
              <w:t>, facilities, equipment and materials to undertake actual work as prescribed by this unit.</w:t>
            </w:r>
          </w:p>
          <w:p w:rsidR="00000000" w:rsidRPr="00BB352C" w:rsidP="00BB352C">
            <w:pPr>
              <w:pStyle w:val="BodyText"/>
            </w:pPr>
            <w:r w:rsidRPr="00BB352C">
              <w:t>Competency Standards should be assessed in the workplace or simulated workplace and under the normal range of workplace conditions.</w:t>
            </w:r>
          </w:p>
          <w:p w:rsidR="00000000" w:rsidRPr="00BB352C" w:rsidP="00BB352C">
            <w:pPr>
              <w:pStyle w:val="BodyText"/>
            </w:pPr>
            <w:r w:rsidRPr="00BB352C">
              <w:t>Assessment of t</w:t>
            </w:r>
            <w:r w:rsidRPr="00BB352C">
              <w:t>his unit will be supported with documentary evidence, by means of endorsement stating type and application of work.</w:t>
            </w:r>
          </w:p>
          <w:p w:rsidR="00000000" w:rsidRPr="00BB352C" w:rsidP="00BB352C">
            <w:pPr>
              <w:pStyle w:val="BodyText"/>
            </w:pPr>
            <w:r w:rsidRPr="00BB352C">
              <w:t>In addition to the resources listed above in Context of assessment’, evidence should show competency working in limited spaces with differen</w:t>
            </w:r>
            <w:r w:rsidRPr="00BB352C">
              <w:t>t types of plant and equipment as well as different structural/construction types and methods and in a variety of environments.</w:t>
            </w:r>
          </w:p>
        </w:tc>
      </w:tr>
    </w:tbl>
    <w:p w:rsidR="00000000" w:rsidRPr="00BB352C" w:rsidP="00BB352C">
      <w:pPr>
        <w:pStyle w:val="BodyText"/>
      </w:pPr>
    </w:p>
    <w:tbl>
      <w:tblPr>
        <w:tblW w:w="0" w:type="auto"/>
        <w:tblLayout w:type="fixed"/>
        <w:tblCellMar>
          <w:left w:w="62" w:type="dxa"/>
          <w:right w:w="62" w:type="dxa"/>
        </w:tblCellMar>
        <w:tblLook w:val="0000"/>
      </w:tblPr>
      <w:tblGrid>
        <w:gridCol w:w="1890"/>
        <w:gridCol w:w="6570"/>
      </w:tblGrid>
      <w:tr w:rsidTr="006833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B352C" w:rsidP="00BB352C">
            <w:pPr>
              <w:pStyle w:val="BodyText"/>
            </w:pPr>
            <w:r w:rsidRPr="00BB352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rPr>
                <w:rStyle w:val="SpecialBold"/>
              </w:rPr>
              <w:t>9.4)</w:t>
            </w:r>
          </w:p>
        </w:tc>
      </w:tr>
      <w:tr w:rsidTr="006833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B352C" w:rsidP="00BB352C">
            <w:pPr>
              <w:pStyle w:val="BodyText"/>
            </w:pPr>
            <w:r w:rsidRPr="00BB352C">
              <w:t>This unit shall be assessed by methods given in Section 1.3.00 Assessment Guidelines.</w:t>
            </w:r>
          </w:p>
          <w:p w:rsidR="00000000" w:rsidRPr="00BB352C" w:rsidP="00BB352C">
            <w:pPr>
              <w:pStyle w:val="BodyText"/>
            </w:pPr>
            <w:r w:rsidRPr="00BB352C">
              <w:t xml:space="preserve">Note: </w:t>
            </w:r>
          </w:p>
          <w:p w:rsidR="00000000" w:rsidRPr="00BB352C" w:rsidP="00BB352C">
            <w:pPr>
              <w:pStyle w:val="BodyText"/>
            </w:pPr>
            <w:r w:rsidRPr="00BB352C">
              <w:t>Competent performance with inherent safe working practices is expected in the Industry to which this unit applies. This requires that the specified essential knowledge and associated skills are assessed in a structured environment which is primarily intend</w:t>
            </w:r>
            <w:r w:rsidRPr="00BB352C">
              <w:t>ed for learning/assessment and incorporates all necessary equipment and facilities for learners to develop and demonstrate the essential knowledge and skills described in this unit.</w:t>
            </w:r>
          </w:p>
        </w:tc>
      </w:tr>
    </w:tbl>
    <w:p w:rsidR="00000000" w:rsidRPr="00BB352C" w:rsidP="00BB352C">
      <w:pPr>
        <w:pStyle w:val="BodyText"/>
      </w:pPr>
    </w:p>
    <w:tbl>
      <w:tblPr>
        <w:tblW w:w="0" w:type="auto"/>
        <w:tblLayout w:type="fixed"/>
        <w:tblCellMar>
          <w:left w:w="62" w:type="dxa"/>
          <w:right w:w="62" w:type="dxa"/>
        </w:tblCellMar>
        <w:tblLook w:val="0000"/>
      </w:tblPr>
      <w:tblGrid>
        <w:gridCol w:w="1890"/>
        <w:gridCol w:w="6570"/>
      </w:tblGrid>
      <w:tr w:rsidTr="006833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B352C" w:rsidP="00BB352C">
            <w:pPr>
              <w:pStyle w:val="BodyText"/>
            </w:pPr>
            <w:r w:rsidRPr="00BB352C">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rPr>
                <w:rStyle w:val="SpecialBold"/>
              </w:rPr>
              <w:t>9.5)</w:t>
            </w:r>
          </w:p>
        </w:tc>
      </w:tr>
      <w:tr w:rsidTr="006833D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B352C" w:rsidP="00BB352C">
            <w:pPr>
              <w:pStyle w:val="BodyText"/>
            </w:pPr>
            <w:r w:rsidRPr="00BB352C">
              <w:t>There are</w:t>
            </w:r>
            <w:r w:rsidRPr="00BB352C">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BB352C" w:rsidP="00BB352C">
            <w:pPr>
              <w:pStyle w:val="BodyText"/>
            </w:pPr>
            <w:r w:rsidRPr="00BB352C">
              <w:t>Nil</w:t>
            </w:r>
            <w:r w:rsidRPr="00BB352C">
              <w:tab/>
            </w:r>
          </w:p>
        </w:tc>
      </w:tr>
    </w:tbl>
    <w:p w:rsidR="00000000" w:rsidRPr="00BB352C" w:rsidP="00BB352C">
      <w:pPr>
        <w:pStyle w:val="BodyText"/>
      </w:pPr>
    </w:p>
    <w:p w:rsidR="00000000" w:rsidRPr="00BB352C" w:rsidP="00BB352C">
      <w:pPr>
        <w:pStyle w:val="AllowPageBreak"/>
      </w:pPr>
    </w:p>
    <w:p w:rsidR="00000000" w:rsidRPr="00BB352C" w:rsidP="00BB352C">
      <w:pPr>
        <w:pStyle w:val="Heading1"/>
      </w:pPr>
      <w:bookmarkStart w:id="11" w:name="O_475720"/>
      <w:bookmarkEnd w:id="11"/>
      <w:r w:rsidRPr="00BB352C">
        <w:t xml:space="preserve">Range </w:t>
      </w:r>
      <w:r w:rsidRPr="00BB352C">
        <w:t>Statement</w:t>
      </w:r>
    </w:p>
    <w:tbl>
      <w:tblPr>
        <w:tblW w:w="0" w:type="auto"/>
        <w:tblLayout w:type="fixed"/>
        <w:tblCellMar>
          <w:left w:w="62" w:type="dxa"/>
          <w:right w:w="62" w:type="dxa"/>
        </w:tblCellMar>
        <w:tblLook w:val="0000"/>
      </w:tblPr>
      <w:tblGrid>
        <w:gridCol w:w="8460"/>
      </w:tblGrid>
      <w:tr w:rsidTr="006833D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rPr>
                <w:rStyle w:val="SpecialBold"/>
              </w:rPr>
              <w:t>RANGE STATEMENT</w:t>
            </w:r>
          </w:p>
        </w:tc>
      </w:tr>
      <w:tr w:rsidTr="006833D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B352C" w:rsidP="00BB352C">
            <w:pPr>
              <w:pStyle w:val="BodyText"/>
            </w:pPr>
            <w:r w:rsidRPr="00BB352C">
              <w:rPr>
                <w:rStyle w:val="SpecialBold"/>
              </w:rPr>
              <w:t>10)</w:t>
            </w:r>
            <w:r w:rsidRPr="00BB352C">
              <w:t xml:space="preserve"> This relates to the competency standard unit as a whole, providing the range of contexts and conditions to which the Performance Criteria apply. I</w:t>
            </w:r>
            <w:r w:rsidRPr="00BB352C">
              <w:t>t allows for different work environments and situations that will affect performance.</w:t>
            </w:r>
          </w:p>
          <w:p w:rsidR="00000000" w:rsidRPr="00BB352C" w:rsidP="00BB352C">
            <w:pPr>
              <w:pStyle w:val="BodyText"/>
            </w:pPr>
            <w:r w:rsidRPr="00BB352C">
              <w:t>Safety standards may include relevant sections of Occupational Health and Safety legislation, enterprise safety rules, relevant State and federal legislation and national</w:t>
            </w:r>
            <w:r w:rsidRPr="00BB352C">
              <w:t xml:space="preserve"> standards for plant.</w:t>
            </w:r>
          </w:p>
          <w:p w:rsidR="00000000" w:rsidRPr="00BB352C" w:rsidP="00BB352C">
            <w:pPr>
              <w:pStyle w:val="BodyText"/>
            </w:pPr>
            <w:r w:rsidRPr="00BB352C">
              <w:t>Information and documentation sources may include verbal or written communications; enterprise safety rules documentation; enterprise operating instructions; dedicated computer equipment; enterprise/site standing and operating instruc</w:t>
            </w:r>
            <w:r w:rsidRPr="00BB352C">
              <w:t>tions; enterprise log books; manufacturer’s operation and maintenance manuals; and equipment and alarm manuals.</w:t>
            </w:r>
          </w:p>
          <w:p w:rsidR="00000000" w:rsidRPr="00BB352C" w:rsidP="00BB352C">
            <w:pPr>
              <w:pStyle w:val="BodyText"/>
            </w:pPr>
            <w:r w:rsidRPr="00BB352C">
              <w:t>Technical and operational indicators may include local indicators and recorders, computers and alarms (visible and or audible).</w:t>
            </w:r>
          </w:p>
          <w:p w:rsidR="00000000" w:rsidRPr="00BB352C" w:rsidP="00BB352C">
            <w:pPr>
              <w:pStyle w:val="BodyText"/>
            </w:pPr>
            <w:r w:rsidRPr="00BB352C">
              <w:t>Key indicators m</w:t>
            </w:r>
            <w:r w:rsidRPr="00BB352C">
              <w:t>ay include voltage, current, reactive power flows, load, equipment loading limits, system node points and plant status.</w:t>
            </w:r>
          </w:p>
          <w:p w:rsidR="00000000" w:rsidRPr="00BB352C" w:rsidP="00BB352C">
            <w:pPr>
              <w:pStyle w:val="BodyText"/>
            </w:pPr>
            <w:r w:rsidRPr="00BB352C">
              <w:t>Communications may be by means of telephone, two way radio, pager, computer (electronic mail) and operating logs (written or verbal).</w:t>
            </w:r>
          </w:p>
          <w:p w:rsidR="00000000" w:rsidRPr="00BB352C" w:rsidP="00BB352C">
            <w:pPr>
              <w:pStyle w:val="BodyText"/>
            </w:pPr>
            <w:r w:rsidRPr="00BB352C">
              <w:t>Ap</w:t>
            </w:r>
            <w:r w:rsidRPr="00BB352C">
              <w:t xml:space="preserve">propriate personnel for consultation, give or receive direction may include supervisor/team leader or equivalent, power plant operations personnel or equivalent, technical and engineering officers or equivalent, maintenance staff, other operating staff or </w:t>
            </w:r>
            <w:r w:rsidRPr="00BB352C">
              <w:t>equivalent, system/network controller, field operators and restricted H.V. operators.</w:t>
            </w:r>
          </w:p>
          <w:p w:rsidR="00000000" w:rsidRPr="00BB352C" w:rsidP="00BB352C">
            <w:pPr>
              <w:pStyle w:val="BodyText"/>
            </w:pPr>
            <w:r w:rsidRPr="00BB352C">
              <w:t>Voltage control may be capacitor/condenser, switchgear, tap changers and network configuration.</w:t>
            </w:r>
          </w:p>
          <w:p w:rsidR="00000000" w:rsidRPr="00BB352C" w:rsidP="00BB352C">
            <w:pPr>
              <w:pStyle w:val="BodyText"/>
            </w:pPr>
            <w:r w:rsidRPr="00BB352C">
              <w:t>Network implications may include system stability, line and transformer ov</w:t>
            </w:r>
            <w:r w:rsidRPr="00BB352C">
              <w:t>erloading, correct tap changer position, protection settings voltage transformer selection and synchronising.</w:t>
            </w:r>
          </w:p>
          <w:p w:rsidR="00000000" w:rsidRPr="00BB352C" w:rsidP="00BB352C">
            <w:pPr>
              <w:pStyle w:val="BodyText"/>
            </w:pPr>
            <w:r w:rsidRPr="00BB352C">
              <w:t>Network limitations may include location, weather conditions, natural disasters, accidents, temperature and power swings.</w:t>
            </w:r>
          </w:p>
          <w:p w:rsidR="00000000" w:rsidRPr="00BB352C" w:rsidP="00BB352C">
            <w:pPr>
              <w:pStyle w:val="BodyText"/>
            </w:pPr>
            <w:r w:rsidRPr="00BB352C">
              <w:t>System conditions may in</w:t>
            </w:r>
            <w:r w:rsidRPr="00BB352C">
              <w:t>clude voltage profiles, spare plant, line capacity limits, variations from normal trends, plant testing and switching programs.</w:t>
            </w:r>
          </w:p>
          <w:p w:rsidR="00000000" w:rsidRPr="00BB352C" w:rsidP="00BB352C">
            <w:pPr>
              <w:pStyle w:val="BodyText"/>
            </w:pPr>
            <w:r w:rsidRPr="00BB352C">
              <w:t>Plant and equipment may include circuit breakers, tap changers, protection settings, capacitor/condenser banks, overhead switchg</w:t>
            </w:r>
            <w:r w:rsidRPr="00BB352C">
              <w:t>ear, underground switchgear, transformers, protection indicators and substations.</w:t>
            </w:r>
          </w:p>
          <w:p w:rsidR="00000000" w:rsidRPr="00BB352C" w:rsidP="00BB352C">
            <w:pPr>
              <w:pStyle w:val="BodyText"/>
            </w:pPr>
            <w:r w:rsidRPr="00BB352C">
              <w:t>Operating environment may be remote from plant and equipment being operated (operation is assisted by remote indicators), during inclement or harsh weather conditions, in wet</w:t>
            </w:r>
            <w:r w:rsidRPr="00BB352C">
              <w:t>/noisy/dusty areas or during night periods.</w:t>
            </w:r>
          </w:p>
          <w:p w:rsidR="00000000" w:rsidRPr="00BB352C" w:rsidP="00BB352C">
            <w:pPr>
              <w:pStyle w:val="BodyText"/>
            </w:pPr>
            <w:r w:rsidRPr="00BB352C">
              <w:t>Generic terms are used throughout this Training Package for vocational standard shall be regarded as part of the Range Statement in which competency is demonstrated. The definition of these and other terms are gi</w:t>
            </w:r>
            <w:r w:rsidRPr="00BB352C">
              <w:t>ven in Section 2.1 Preliminary Information and Glossaries.</w:t>
            </w:r>
          </w:p>
        </w:tc>
      </w:tr>
    </w:tbl>
    <w:p w:rsidR="00000000" w:rsidRPr="00BB352C" w:rsidP="00BB352C">
      <w:pPr>
        <w:pStyle w:val="BodyText"/>
      </w:pPr>
    </w:p>
    <w:p w:rsidR="00000000" w:rsidRPr="00BB352C" w:rsidP="00BB352C">
      <w:pPr>
        <w:pStyle w:val="AllowPageBreak"/>
      </w:pPr>
    </w:p>
    <w:p w:rsidR="00000000" w:rsidRPr="00BB352C" w:rsidP="00BB352C">
      <w:pPr>
        <w:pStyle w:val="Heading1"/>
      </w:pPr>
      <w:bookmarkStart w:id="12" w:name="O_475723"/>
      <w:bookmarkEnd w:id="12"/>
      <w:r w:rsidRPr="00BB352C">
        <w:t>Unit Sector(s)</w:t>
      </w:r>
    </w:p>
    <w:p w:rsidR="00000000" w:rsidRPr="00BB352C" w:rsidP="00BB352C">
      <w:pPr>
        <w:pStyle w:val="BodyText"/>
      </w:pPr>
      <w:r w:rsidRPr="00BB352C">
        <w:t>Not applicable.</w:t>
      </w:r>
    </w:p>
    <w:p w:rsidR="00000000" w:rsidRPr="00BB352C" w:rsidP="00BB352C">
      <w:pPr>
        <w:pStyle w:val="AllowPageBreak"/>
      </w:pPr>
    </w:p>
    <w:p w:rsidR="00000000" w:rsidRPr="00BB352C" w:rsidP="00BB352C">
      <w:pPr>
        <w:pStyle w:val="Heading1"/>
      </w:pPr>
      <w:bookmarkStart w:id="13" w:name="O_475712"/>
      <w:bookmarkEnd w:id="13"/>
      <w:r w:rsidRPr="00BB352C">
        <w:t>Competency Field</w:t>
      </w:r>
    </w:p>
    <w:tbl>
      <w:tblPr>
        <w:tblW w:w="0" w:type="auto"/>
        <w:tblLayout w:type="fixed"/>
        <w:tblCellMar>
          <w:left w:w="62" w:type="dxa"/>
          <w:right w:w="62" w:type="dxa"/>
        </w:tblCellMar>
        <w:tblLook w:val="0000"/>
      </w:tblPr>
      <w:tblGrid>
        <w:gridCol w:w="2700"/>
        <w:gridCol w:w="5760"/>
      </w:tblGrid>
      <w:tr w:rsidTr="006833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B352C" w:rsidP="00BB352C">
            <w:pPr>
              <w:pStyle w:val="BodyText"/>
            </w:pPr>
            <w:r w:rsidRPr="00BB352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B352C">
            <w:pPr>
              <w:pStyle w:val="BodyText"/>
              <w:rPr>
                <w:lang w:val="en-NZ"/>
              </w:rPr>
            </w:pPr>
            <w:r w:rsidRPr="00BB352C">
              <w:rPr>
                <w:rStyle w:val="SpecialBold"/>
              </w:rPr>
              <w:t xml:space="preserve">11) </w:t>
            </w:r>
          </w:p>
        </w:tc>
      </w:tr>
      <w:tr w:rsidTr="006833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B352C" w:rsidP="00BB352C">
            <w:pPr>
              <w:pStyle w:val="BodyText"/>
            </w:pPr>
            <w:r w:rsidRPr="00BB352C">
              <w:t>Operations</w:t>
            </w:r>
          </w:p>
        </w:tc>
      </w:tr>
    </w:tbl>
    <w:p w:rsidR="00000000" w:rsidRPr="00BB352C" w:rsidP="00BB352C">
      <w:pPr>
        <w:pStyle w:val="BodyText"/>
      </w:pPr>
    </w:p>
    <w:p w:rsidR="00000000" w:rsidRPr="00BB352C" w:rsidP="00BB352C"/>
    <w:sectPr w:rsidSect="00BB35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5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33D8" w:rsidP="006833D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5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3D8" w:rsidP="00BB352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833D8" w:rsidP="00BB35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833D8" w:rsidP="00BB35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5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52C" w:rsidRPr="006833D8" w:rsidP="006833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5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3D8" w:rsidRPr="002D2AF8" w:rsidP="00BB352C">
    <w:pPr>
      <w:pStyle w:val="Header"/>
      <w:framePr w:wrap="around"/>
    </w:pPr>
    <w:r>
      <w:fldChar w:fldCharType="begin"/>
    </w:r>
    <w:r>
      <w:instrText xml:space="preserve"> TITLE   \* MERGEFORMAT </w:instrText>
    </w:r>
    <w:r>
      <w:fldChar w:fldCharType="separate"/>
    </w:r>
    <w:r>
      <w:t>UEPOPS424B Coordinate local H.V.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6833D8" w:rsidP="00BB35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F0B3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6403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90C8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5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352C"/>
    <w:pPr>
      <w:spacing w:before="360" w:after="60"/>
      <w:outlineLvl w:val="0"/>
    </w:pPr>
    <w:rPr>
      <w:sz w:val="32"/>
    </w:rPr>
  </w:style>
  <w:style w:type="paragraph" w:styleId="Heading2">
    <w:name w:val="heading 2"/>
    <w:basedOn w:val="HeadingBase"/>
    <w:next w:val="BodyText"/>
    <w:link w:val="Heading2Char"/>
    <w:qFormat/>
    <w:rsid w:val="00BB352C"/>
    <w:pPr>
      <w:keepLines/>
      <w:spacing w:before="240" w:after="120"/>
      <w:outlineLvl w:val="1"/>
    </w:pPr>
    <w:rPr>
      <w:sz w:val="28"/>
      <w:szCs w:val="40"/>
    </w:rPr>
  </w:style>
  <w:style w:type="paragraph" w:styleId="Heading3">
    <w:name w:val="heading 3"/>
    <w:basedOn w:val="HeadingBase"/>
    <w:next w:val="BodyText"/>
    <w:link w:val="Heading3Char"/>
    <w:qFormat/>
    <w:rsid w:val="00BB352C"/>
    <w:pPr>
      <w:spacing w:before="180" w:after="120"/>
      <w:outlineLvl w:val="2"/>
    </w:pPr>
    <w:rPr>
      <w:spacing w:val="-10"/>
      <w:kern w:val="32"/>
    </w:rPr>
  </w:style>
  <w:style w:type="paragraph" w:styleId="Heading4">
    <w:name w:val="heading 4"/>
    <w:basedOn w:val="HeadingBase"/>
    <w:next w:val="BodyText"/>
    <w:link w:val="Heading4Char"/>
    <w:qFormat/>
    <w:rsid w:val="00BB352C"/>
    <w:pPr>
      <w:spacing w:before="160" w:after="120"/>
      <w:outlineLvl w:val="3"/>
    </w:pPr>
    <w:rPr>
      <w:sz w:val="22"/>
    </w:rPr>
  </w:style>
  <w:style w:type="paragraph" w:styleId="Heading5">
    <w:name w:val="heading 5"/>
    <w:basedOn w:val="HeadingBase"/>
    <w:next w:val="Normal"/>
    <w:link w:val="Heading5Char"/>
    <w:qFormat/>
    <w:rsid w:val="00BB352C"/>
    <w:pPr>
      <w:spacing w:before="80"/>
      <w:outlineLvl w:val="4"/>
    </w:pPr>
    <w:rPr>
      <w:color w:val="918585"/>
      <w:sz w:val="20"/>
    </w:rPr>
  </w:style>
  <w:style w:type="paragraph" w:styleId="Heading6">
    <w:name w:val="heading 6"/>
    <w:basedOn w:val="HeadingBase"/>
    <w:next w:val="Normal"/>
    <w:link w:val="Heading6Char"/>
    <w:qFormat/>
    <w:rsid w:val="00BB352C"/>
    <w:pPr>
      <w:spacing w:before="60"/>
      <w:outlineLvl w:val="5"/>
    </w:pPr>
    <w:rPr>
      <w:color w:val="918585"/>
      <w:sz w:val="20"/>
    </w:rPr>
  </w:style>
  <w:style w:type="paragraph" w:styleId="Heading7">
    <w:name w:val="heading 7"/>
    <w:basedOn w:val="Normal"/>
    <w:next w:val="Normal"/>
    <w:link w:val="Heading7Char"/>
    <w:qFormat/>
    <w:rsid w:val="00BB352C"/>
    <w:pPr>
      <w:ind w:left="720"/>
      <w:outlineLvl w:val="6"/>
    </w:pPr>
    <w:rPr>
      <w:i/>
    </w:rPr>
  </w:style>
  <w:style w:type="paragraph" w:styleId="Heading8">
    <w:name w:val="heading 8"/>
    <w:basedOn w:val="Normal"/>
    <w:next w:val="Normal"/>
    <w:link w:val="Heading8Char"/>
    <w:qFormat/>
    <w:rsid w:val="00BB352C"/>
    <w:pPr>
      <w:ind w:left="720"/>
      <w:outlineLvl w:val="7"/>
    </w:pPr>
    <w:rPr>
      <w:i/>
    </w:rPr>
  </w:style>
  <w:style w:type="paragraph" w:styleId="Heading9">
    <w:name w:val="heading 9"/>
    <w:basedOn w:val="Normal"/>
    <w:next w:val="Normal"/>
    <w:link w:val="Heading9Char"/>
    <w:qFormat/>
    <w:rsid w:val="00BB352C"/>
    <w:pPr>
      <w:ind w:left="720"/>
      <w:outlineLvl w:val="8"/>
    </w:pPr>
    <w:rPr>
      <w:i/>
    </w:rPr>
  </w:style>
  <w:style w:type="character" w:default="1" w:styleId="DefaultParagraphFont">
    <w:name w:val="Default Paragraph Font"/>
    <w:uiPriority w:val="1"/>
    <w:unhideWhenUsed/>
    <w:rsid w:val="00BB35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352C"/>
  </w:style>
  <w:style w:type="character" w:customStyle="1" w:styleId="Heading1Char">
    <w:name w:val="Heading 1 Char"/>
    <w:basedOn w:val="DefaultParagraphFont"/>
    <w:link w:val="Heading1"/>
    <w:rsid w:val="00BB352C"/>
    <w:rPr>
      <w:rFonts w:ascii="Times New Roman" w:eastAsia="Times New Roman" w:hAnsi="Times New Roman" w:cs="Times New Roman"/>
      <w:b/>
      <w:sz w:val="32"/>
      <w:szCs w:val="20"/>
      <w:lang w:eastAsia="en-US"/>
    </w:rPr>
  </w:style>
  <w:style w:type="paragraph" w:styleId="BodyText">
    <w:name w:val="Body Text"/>
    <w:basedOn w:val="Normal"/>
    <w:link w:val="BodyTextChar"/>
    <w:rsid w:val="00BB35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352C"/>
    <w:rPr>
      <w:rFonts w:ascii="Times New Roman" w:eastAsia="Times New Roman" w:hAnsi="Times New Roman" w:cs="Times New Roman"/>
      <w:sz w:val="24"/>
      <w:lang w:eastAsia="en-US"/>
    </w:rPr>
  </w:style>
  <w:style w:type="paragraph" w:styleId="Footer">
    <w:name w:val="footer"/>
    <w:basedOn w:val="Normal"/>
    <w:link w:val="FooterChar"/>
    <w:rsid w:val="00BB35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352C"/>
    <w:rPr>
      <w:rFonts w:ascii="Times New Roman" w:eastAsia="Times New Roman" w:hAnsi="Times New Roman" w:cs="Times New Roman"/>
      <w:sz w:val="16"/>
      <w:lang w:eastAsia="en-US"/>
    </w:rPr>
  </w:style>
  <w:style w:type="paragraph" w:styleId="ListBullet">
    <w:name w:val="List Bullet"/>
    <w:basedOn w:val="List"/>
    <w:rsid w:val="00BB352C"/>
    <w:pPr>
      <w:numPr>
        <w:numId w:val="13"/>
      </w:numPr>
      <w:tabs>
        <w:tab w:val="clear" w:pos="340"/>
      </w:tabs>
      <w:spacing w:before="40" w:after="40"/>
    </w:pPr>
  </w:style>
  <w:style w:type="character" w:customStyle="1" w:styleId="SpecialBold">
    <w:name w:val="Special Bold"/>
    <w:basedOn w:val="DefaultParagraphFont"/>
    <w:rsid w:val="00BB352C"/>
    <w:rPr>
      <w:b/>
      <w:spacing w:val="0"/>
    </w:rPr>
  </w:style>
  <w:style w:type="paragraph" w:styleId="ListBullet2">
    <w:name w:val="List Bullet 2"/>
    <w:basedOn w:val="List2"/>
    <w:rsid w:val="00BB352C"/>
    <w:pPr>
      <w:numPr>
        <w:numId w:val="14"/>
      </w:numPr>
      <w:tabs>
        <w:tab w:val="clear" w:pos="680"/>
      </w:tabs>
    </w:pPr>
  </w:style>
  <w:style w:type="paragraph" w:customStyle="1" w:styleId="SuperHeading">
    <w:name w:val="SuperHeading"/>
    <w:basedOn w:val="Normal"/>
    <w:rsid w:val="00BB352C"/>
    <w:pPr>
      <w:spacing w:before="240" w:after="120"/>
      <w:outlineLvl w:val="0"/>
    </w:pPr>
    <w:rPr>
      <w:rFonts w:ascii="Times New Roman" w:hAnsi="Times New Roman"/>
      <w:b/>
      <w:sz w:val="28"/>
    </w:rPr>
  </w:style>
  <w:style w:type="paragraph" w:customStyle="1" w:styleId="AllowPageBreak">
    <w:name w:val="AllowPageBreak"/>
    <w:rsid w:val="00BB35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35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35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35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35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35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35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35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352C"/>
    <w:rPr>
      <w:rFonts w:ascii="Courier New" w:eastAsia="Times New Roman" w:hAnsi="Courier New" w:cs="Times New Roman"/>
      <w:i/>
      <w:szCs w:val="20"/>
      <w:lang w:eastAsia="en-US"/>
    </w:rPr>
  </w:style>
  <w:style w:type="paragraph" w:customStyle="1" w:styleId="HeadingBase">
    <w:name w:val="Heading Base"/>
    <w:rsid w:val="00BB35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352C"/>
    <w:pPr>
      <w:tabs>
        <w:tab w:val="right" w:leader="dot" w:pos="9072"/>
      </w:tabs>
      <w:ind w:left="567"/>
    </w:pPr>
    <w:rPr>
      <w:szCs w:val="22"/>
    </w:rPr>
  </w:style>
  <w:style w:type="paragraph" w:customStyle="1" w:styleId="TOCBase">
    <w:name w:val="TOC Base"/>
    <w:rsid w:val="00BB35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352C"/>
    <w:pPr>
      <w:tabs>
        <w:tab w:val="right" w:leader="dot" w:pos="9072"/>
      </w:tabs>
      <w:spacing w:before="40" w:after="40"/>
      <w:ind w:left="284"/>
    </w:pPr>
    <w:rPr>
      <w:rFonts w:ascii="Times New Roman" w:hAnsi="Times New Roman"/>
    </w:rPr>
  </w:style>
  <w:style w:type="paragraph" w:styleId="TOC1">
    <w:name w:val="toc 1"/>
    <w:basedOn w:val="TOCBase"/>
    <w:next w:val="Normal"/>
    <w:rsid w:val="00BB35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352C"/>
    <w:pPr>
      <w:spacing w:before="5040"/>
      <w:jc w:val="center"/>
    </w:pPr>
    <w:rPr>
      <w:sz w:val="48"/>
      <w:szCs w:val="72"/>
      <w:lang w:val="en-US"/>
    </w:rPr>
  </w:style>
  <w:style w:type="character" w:customStyle="1" w:styleId="TitleChar">
    <w:name w:val="Title Char"/>
    <w:basedOn w:val="DefaultParagraphFont"/>
    <w:link w:val="Title"/>
    <w:rsid w:val="00BB35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352C"/>
    <w:pPr>
      <w:tabs>
        <w:tab w:val="left" w:pos="3600"/>
        <w:tab w:val="left" w:pos="3958"/>
      </w:tabs>
    </w:pPr>
  </w:style>
  <w:style w:type="paragraph" w:styleId="List">
    <w:name w:val="List"/>
    <w:basedOn w:val="BodyText"/>
    <w:next w:val="BodyText"/>
    <w:rsid w:val="00BB352C"/>
    <w:pPr>
      <w:tabs>
        <w:tab w:val="left" w:pos="340"/>
      </w:tabs>
      <w:spacing w:before="60" w:after="60"/>
      <w:ind w:left="340" w:hanging="340"/>
    </w:pPr>
  </w:style>
  <w:style w:type="paragraph" w:customStyle="1" w:styleId="Note">
    <w:name w:val="Note"/>
    <w:basedOn w:val="BodyText"/>
    <w:rsid w:val="00BB35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352C"/>
    <w:pPr>
      <w:framePr w:wrap="auto" w:hAnchor="text" w:y="6049"/>
    </w:pPr>
    <w:rPr>
      <w:color w:val="000000"/>
      <w:sz w:val="40"/>
    </w:rPr>
  </w:style>
  <w:style w:type="paragraph" w:customStyle="1" w:styleId="TOCTitle">
    <w:name w:val="TOCTitle"/>
    <w:basedOn w:val="Heading1"/>
    <w:rsid w:val="00BB352C"/>
    <w:pPr>
      <w:spacing w:after="240"/>
      <w:jc w:val="center"/>
      <w:outlineLvl w:val="9"/>
    </w:pPr>
    <w:rPr>
      <w:caps/>
    </w:rPr>
  </w:style>
  <w:style w:type="paragraph" w:customStyle="1" w:styleId="Version">
    <w:name w:val="Version"/>
    <w:rsid w:val="00BB35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352C"/>
    <w:pPr>
      <w:keepNext w:val="0"/>
      <w:tabs>
        <w:tab w:val="right" w:pos="4176"/>
      </w:tabs>
      <w:ind w:left="198" w:hanging="198"/>
    </w:pPr>
    <w:rPr>
      <w:rFonts w:ascii="Garamond" w:hAnsi="Garamond"/>
    </w:rPr>
  </w:style>
  <w:style w:type="paragraph" w:styleId="IndexHeading">
    <w:name w:val="index heading"/>
    <w:basedOn w:val="Normal"/>
    <w:next w:val="Index1"/>
    <w:semiHidden/>
    <w:rsid w:val="00BB352C"/>
    <w:pPr>
      <w:spacing w:before="120" w:after="120"/>
    </w:pPr>
    <w:rPr>
      <w:rFonts w:ascii="Arial" w:hAnsi="Arial"/>
      <w:b/>
      <w:color w:val="918585"/>
      <w:sz w:val="24"/>
    </w:rPr>
  </w:style>
  <w:style w:type="paragraph" w:styleId="Header">
    <w:name w:val="header"/>
    <w:basedOn w:val="Normal"/>
    <w:link w:val="HeaderChar"/>
    <w:rsid w:val="00BB35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352C"/>
    <w:rPr>
      <w:rFonts w:ascii="Times New Roman" w:eastAsia="Times New Roman" w:hAnsi="Times New Roman" w:cs="Times New Roman"/>
      <w:sz w:val="16"/>
      <w:szCs w:val="20"/>
      <w:lang w:val="en-GB" w:eastAsia="en-US"/>
    </w:rPr>
  </w:style>
  <w:style w:type="paragraph" w:customStyle="1" w:styleId="Chapter">
    <w:name w:val="Chapter"/>
    <w:basedOn w:val="Normal"/>
    <w:rsid w:val="00BB352C"/>
    <w:pPr>
      <w:spacing w:before="240"/>
    </w:pPr>
    <w:rPr>
      <w:rFonts w:ascii="Times New Roman" w:hAnsi="Times New Roman"/>
      <w:smallCaps/>
      <w:spacing w:val="80"/>
      <w:sz w:val="28"/>
    </w:rPr>
  </w:style>
  <w:style w:type="paragraph" w:customStyle="1" w:styleId="InChapter">
    <w:name w:val="InChapter"/>
    <w:basedOn w:val="Heading3"/>
    <w:rsid w:val="00BB352C"/>
    <w:pPr>
      <w:spacing w:after="240"/>
      <w:outlineLvl w:val="9"/>
    </w:pPr>
    <w:rPr>
      <w:noProof/>
    </w:rPr>
  </w:style>
  <w:style w:type="paragraph" w:styleId="Index2">
    <w:name w:val="index 2"/>
    <w:basedOn w:val="Normal"/>
    <w:next w:val="Normal"/>
    <w:semiHidden/>
    <w:rsid w:val="00BB352C"/>
    <w:pPr>
      <w:tabs>
        <w:tab w:val="right" w:pos="4176"/>
      </w:tabs>
      <w:ind w:left="568" w:hanging="284"/>
    </w:pPr>
    <w:rPr>
      <w:rFonts w:ascii="Garamond" w:hAnsi="Garamond"/>
    </w:rPr>
  </w:style>
  <w:style w:type="paragraph" w:customStyle="1" w:styleId="Byline">
    <w:name w:val="Byline"/>
    <w:rsid w:val="00BB35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352C"/>
    <w:pPr>
      <w:tabs>
        <w:tab w:val="clear" w:pos="3600"/>
        <w:tab w:val="clear" w:pos="3958"/>
      </w:tabs>
      <w:jc w:val="right"/>
    </w:pPr>
  </w:style>
  <w:style w:type="character" w:styleId="Emphasis">
    <w:name w:val="Emphasis"/>
    <w:basedOn w:val="DefaultParagraphFont"/>
    <w:qFormat/>
    <w:rsid w:val="00BB352C"/>
    <w:rPr>
      <w:i/>
    </w:rPr>
  </w:style>
  <w:style w:type="paragraph" w:styleId="Caption">
    <w:name w:val="caption"/>
    <w:basedOn w:val="BodyText"/>
    <w:next w:val="Normal"/>
    <w:qFormat/>
    <w:rsid w:val="00BB352C"/>
    <w:pPr>
      <w:framePr w:w="2268" w:hSpace="181" w:vSpace="181" w:wrap="around" w:vAnchor="text" w:hAnchor="page" w:x="1135" w:y="285" w:anchorLock="1"/>
    </w:pPr>
    <w:rPr>
      <w:i/>
    </w:rPr>
  </w:style>
  <w:style w:type="paragraph" w:customStyle="1" w:styleId="MiniTOCTitle">
    <w:name w:val="MiniTOCTitle"/>
    <w:basedOn w:val="Heading4"/>
    <w:rsid w:val="00BB352C"/>
    <w:pPr>
      <w:spacing w:before="240"/>
      <w:outlineLvl w:val="9"/>
    </w:pPr>
    <w:rPr>
      <w:noProof/>
      <w:sz w:val="24"/>
    </w:rPr>
  </w:style>
  <w:style w:type="paragraph" w:customStyle="1" w:styleId="MiniTOCItem">
    <w:name w:val="MiniTOCItem"/>
    <w:basedOn w:val="ListBullet"/>
    <w:rsid w:val="00BB352C"/>
    <w:pPr>
      <w:numPr>
        <w:numId w:val="0"/>
      </w:numPr>
      <w:tabs>
        <w:tab w:val="right" w:leader="dot" w:pos="6521"/>
      </w:tabs>
      <w:spacing w:before="0" w:after="0"/>
    </w:pPr>
  </w:style>
  <w:style w:type="paragraph" w:customStyle="1" w:styleId="TOFTitle">
    <w:name w:val="TOFTitle"/>
    <w:basedOn w:val="TOCTitle"/>
    <w:rsid w:val="00BB352C"/>
  </w:style>
  <w:style w:type="paragraph" w:styleId="TableofFigures">
    <w:name w:val="table of figures"/>
    <w:basedOn w:val="Normal"/>
    <w:next w:val="Normal"/>
    <w:semiHidden/>
    <w:rsid w:val="00BB352C"/>
    <w:pPr>
      <w:tabs>
        <w:tab w:val="right" w:leader="dot" w:pos="9072"/>
      </w:tabs>
      <w:ind w:left="970" w:hanging="403"/>
    </w:pPr>
    <w:rPr>
      <w:rFonts w:ascii="Times New Roman" w:hAnsi="Times New Roman"/>
      <w:b/>
    </w:rPr>
  </w:style>
  <w:style w:type="paragraph" w:styleId="ListNumber">
    <w:name w:val="List Number"/>
    <w:basedOn w:val="List"/>
    <w:rsid w:val="00BB352C"/>
    <w:pPr>
      <w:numPr>
        <w:numId w:val="11"/>
      </w:numPr>
    </w:pPr>
  </w:style>
  <w:style w:type="character" w:customStyle="1" w:styleId="WingdingSymbols">
    <w:name w:val="Wingding Symbols"/>
    <w:rsid w:val="00BB352C"/>
    <w:rPr>
      <w:rFonts w:ascii="Wingdings" w:hAnsi="Wingdings"/>
    </w:rPr>
  </w:style>
  <w:style w:type="paragraph" w:customStyle="1" w:styleId="TableHeading">
    <w:name w:val="Table Heading"/>
    <w:basedOn w:val="HeadingBase"/>
    <w:rsid w:val="00BB352C"/>
    <w:pPr>
      <w:keepLines/>
      <w:pBdr>
        <w:bottom w:val="single" w:sz="6" w:space="1" w:color="918585"/>
      </w:pBdr>
      <w:spacing w:before="240"/>
    </w:pPr>
  </w:style>
  <w:style w:type="character" w:customStyle="1" w:styleId="HotSpot">
    <w:name w:val="HotSpot"/>
    <w:rsid w:val="00BB352C"/>
    <w:rPr>
      <w:color w:val="0033CC"/>
      <w:u w:val="none"/>
    </w:rPr>
  </w:style>
  <w:style w:type="paragraph" w:customStyle="1" w:styleId="BodyTextRight">
    <w:name w:val="Body Text Right"/>
    <w:basedOn w:val="BodyText"/>
    <w:rsid w:val="00BB352C"/>
    <w:pPr>
      <w:spacing w:before="0" w:after="0"/>
      <w:jc w:val="right"/>
    </w:pPr>
  </w:style>
  <w:style w:type="paragraph" w:styleId="Index3">
    <w:name w:val="index 3"/>
    <w:basedOn w:val="ListNumber2"/>
    <w:next w:val="Normal"/>
    <w:semiHidden/>
    <w:rsid w:val="00BB352C"/>
    <w:pPr>
      <w:numPr>
        <w:numId w:val="0"/>
      </w:numPr>
      <w:tabs>
        <w:tab w:val="right" w:leader="dot" w:pos="4176"/>
      </w:tabs>
    </w:pPr>
  </w:style>
  <w:style w:type="paragraph" w:styleId="ListNumber2">
    <w:name w:val="List Number 2"/>
    <w:basedOn w:val="List2"/>
    <w:rsid w:val="00BB352C"/>
    <w:pPr>
      <w:numPr>
        <w:numId w:val="10"/>
      </w:numPr>
      <w:tabs>
        <w:tab w:val="clear" w:pos="1060"/>
      </w:tabs>
    </w:pPr>
  </w:style>
  <w:style w:type="paragraph" w:customStyle="1" w:styleId="MarginNote">
    <w:name w:val="Margin Note"/>
    <w:basedOn w:val="BodyText"/>
    <w:rsid w:val="00BB35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35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35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352C"/>
    <w:rPr>
      <w:sz w:val="32"/>
    </w:rPr>
  </w:style>
  <w:style w:type="paragraph" w:customStyle="1" w:styleId="HeadingProcedure">
    <w:name w:val="Heading Procedure"/>
    <w:basedOn w:val="HeadingBase"/>
    <w:next w:val="Normal"/>
    <w:rsid w:val="00BB352C"/>
    <w:pPr>
      <w:tabs>
        <w:tab w:val="left" w:pos="0"/>
      </w:tabs>
      <w:spacing w:before="120" w:after="60"/>
    </w:pPr>
    <w:rPr>
      <w:i/>
      <w:color w:val="918585"/>
      <w:sz w:val="22"/>
    </w:rPr>
  </w:style>
  <w:style w:type="paragraph" w:customStyle="1" w:styleId="TableBodyText">
    <w:name w:val="Table Body Text"/>
    <w:basedOn w:val="BodyText"/>
    <w:rsid w:val="00BB352C"/>
    <w:pPr>
      <w:spacing w:before="60" w:after="60"/>
    </w:pPr>
  </w:style>
  <w:style w:type="paragraph" w:styleId="ListContinue">
    <w:name w:val="List Continue"/>
    <w:basedOn w:val="List"/>
    <w:rsid w:val="00BB352C"/>
    <w:pPr>
      <w:ind w:firstLine="0"/>
    </w:pPr>
  </w:style>
  <w:style w:type="paragraph" w:customStyle="1" w:styleId="ListNote">
    <w:name w:val="List Note"/>
    <w:basedOn w:val="List"/>
    <w:rsid w:val="00BB352C"/>
    <w:pPr>
      <w:pBdr>
        <w:top w:val="single" w:sz="6" w:space="2" w:color="918585"/>
        <w:bottom w:val="single" w:sz="6" w:space="2" w:color="918585"/>
      </w:pBdr>
      <w:tabs>
        <w:tab w:val="left" w:pos="1021"/>
      </w:tabs>
      <w:ind w:firstLine="0"/>
    </w:pPr>
  </w:style>
  <w:style w:type="paragraph" w:customStyle="1" w:styleId="Warning">
    <w:name w:val="Warning"/>
    <w:basedOn w:val="BodyText"/>
    <w:rsid w:val="00BB352C"/>
    <w:pPr>
      <w:shd w:val="clear" w:color="auto" w:fill="D9D9D9"/>
      <w:tabs>
        <w:tab w:val="left" w:pos="992"/>
      </w:tabs>
      <w:ind w:left="119" w:right="119"/>
    </w:pPr>
    <w:rPr>
      <w:sz w:val="20"/>
    </w:rPr>
  </w:style>
  <w:style w:type="paragraph" w:customStyle="1" w:styleId="MarginIcons">
    <w:name w:val="Margin Icons"/>
    <w:basedOn w:val="BodyText"/>
    <w:rsid w:val="00BB35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352C"/>
    <w:rPr>
      <w:rFonts w:ascii="Courier New" w:hAnsi="Courier New"/>
    </w:rPr>
  </w:style>
  <w:style w:type="paragraph" w:customStyle="1" w:styleId="NoteBullet">
    <w:name w:val="Note Bullet"/>
    <w:basedOn w:val="Note"/>
    <w:rsid w:val="00BB352C"/>
    <w:pPr>
      <w:tabs>
        <w:tab w:val="clear" w:pos="680"/>
      </w:tabs>
      <w:spacing w:before="60" w:after="60"/>
    </w:pPr>
  </w:style>
  <w:style w:type="paragraph" w:customStyle="1" w:styleId="SubHeading2">
    <w:name w:val="SubHeading2"/>
    <w:basedOn w:val="HeadingBase"/>
    <w:rsid w:val="00BB352C"/>
    <w:pPr>
      <w:spacing w:before="240" w:after="60"/>
    </w:pPr>
    <w:rPr>
      <w:sz w:val="20"/>
    </w:rPr>
  </w:style>
  <w:style w:type="paragraph" w:customStyle="1" w:styleId="SubHeading1">
    <w:name w:val="SubHeading1"/>
    <w:basedOn w:val="HeadingBase"/>
    <w:rsid w:val="00BB352C"/>
    <w:pPr>
      <w:spacing w:before="240" w:after="60"/>
    </w:pPr>
    <w:rPr>
      <w:color w:val="918585"/>
      <w:sz w:val="22"/>
    </w:rPr>
  </w:style>
  <w:style w:type="paragraph" w:customStyle="1" w:styleId="SideHeading">
    <w:name w:val="Side Heading"/>
    <w:basedOn w:val="HeadingBase"/>
    <w:rsid w:val="00BB35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352C"/>
    <w:pPr>
      <w:numPr>
        <w:numId w:val="12"/>
      </w:numPr>
    </w:pPr>
  </w:style>
  <w:style w:type="paragraph" w:styleId="PlainText">
    <w:name w:val="Plain Text"/>
    <w:basedOn w:val="Normal"/>
    <w:link w:val="PlainTextChar"/>
    <w:rsid w:val="00BB352C"/>
    <w:rPr>
      <w:sz w:val="20"/>
    </w:rPr>
  </w:style>
  <w:style w:type="character" w:customStyle="1" w:styleId="PlainTextChar">
    <w:name w:val="Plain Text Char"/>
    <w:basedOn w:val="DefaultParagraphFont"/>
    <w:link w:val="PlainText"/>
    <w:rsid w:val="00BB352C"/>
    <w:rPr>
      <w:rFonts w:ascii="Courier New" w:eastAsia="Times New Roman" w:hAnsi="Courier New" w:cs="Times New Roman"/>
      <w:sz w:val="20"/>
      <w:szCs w:val="20"/>
      <w:lang w:eastAsia="en-US"/>
    </w:rPr>
  </w:style>
  <w:style w:type="character" w:customStyle="1" w:styleId="MenuOption">
    <w:name w:val="Menu Option"/>
    <w:basedOn w:val="DefaultParagraphFont"/>
    <w:rsid w:val="00BB352C"/>
    <w:rPr>
      <w:b/>
      <w:smallCaps/>
    </w:rPr>
  </w:style>
  <w:style w:type="paragraph" w:customStyle="1" w:styleId="TableListNumber">
    <w:name w:val="Table List Number"/>
    <w:basedOn w:val="ListNumber"/>
    <w:rsid w:val="00BB352C"/>
    <w:pPr>
      <w:numPr>
        <w:numId w:val="0"/>
      </w:numPr>
    </w:pPr>
  </w:style>
  <w:style w:type="paragraph" w:styleId="TOC4">
    <w:name w:val="toc 4"/>
    <w:basedOn w:val="TOCBase"/>
    <w:next w:val="Normal"/>
    <w:semiHidden/>
    <w:rsid w:val="00BB352C"/>
    <w:pPr>
      <w:tabs>
        <w:tab w:val="right" w:leader="dot" w:pos="9071"/>
      </w:tabs>
      <w:ind w:left="1701"/>
    </w:pPr>
  </w:style>
  <w:style w:type="paragraph" w:customStyle="1" w:styleId="ListAlpha">
    <w:name w:val="List Alpha"/>
    <w:basedOn w:val="List"/>
    <w:rsid w:val="00BB352C"/>
    <w:pPr>
      <w:numPr>
        <w:numId w:val="9"/>
      </w:numPr>
    </w:pPr>
  </w:style>
  <w:style w:type="paragraph" w:customStyle="1" w:styleId="ListAlpha2">
    <w:name w:val="List Alpha 2"/>
    <w:basedOn w:val="List2"/>
    <w:rsid w:val="00BB352C"/>
    <w:pPr>
      <w:numPr>
        <w:numId w:val="8"/>
      </w:numPr>
    </w:pPr>
  </w:style>
  <w:style w:type="paragraph" w:styleId="List2">
    <w:name w:val="List 2"/>
    <w:basedOn w:val="BodyText"/>
    <w:rsid w:val="00BB352C"/>
    <w:pPr>
      <w:tabs>
        <w:tab w:val="left" w:pos="680"/>
      </w:tabs>
      <w:spacing w:before="60" w:after="60"/>
      <w:ind w:left="680" w:hanging="340"/>
    </w:pPr>
  </w:style>
  <w:style w:type="paragraph" w:styleId="List3">
    <w:name w:val="List 3"/>
    <w:basedOn w:val="BodyText"/>
    <w:rsid w:val="00BB352C"/>
    <w:pPr>
      <w:tabs>
        <w:tab w:val="left" w:pos="1021"/>
      </w:tabs>
      <w:spacing w:before="60" w:after="60"/>
      <w:ind w:left="1020" w:hanging="340"/>
    </w:pPr>
  </w:style>
  <w:style w:type="paragraph" w:styleId="List4">
    <w:name w:val="List 4"/>
    <w:basedOn w:val="BodyText"/>
    <w:rsid w:val="00BB352C"/>
    <w:pPr>
      <w:tabs>
        <w:tab w:val="left" w:pos="1361"/>
      </w:tabs>
      <w:spacing w:before="60" w:after="60"/>
      <w:ind w:left="1361" w:hanging="340"/>
    </w:pPr>
  </w:style>
  <w:style w:type="paragraph" w:styleId="List5">
    <w:name w:val="List 5"/>
    <w:basedOn w:val="BodyText"/>
    <w:rsid w:val="00BB352C"/>
    <w:pPr>
      <w:tabs>
        <w:tab w:val="left" w:pos="1701"/>
      </w:tabs>
      <w:spacing w:before="60" w:after="60"/>
      <w:ind w:left="1701" w:hanging="340"/>
    </w:pPr>
  </w:style>
  <w:style w:type="paragraph" w:styleId="ListBullet3">
    <w:name w:val="List Bullet 3"/>
    <w:basedOn w:val="List3"/>
    <w:rsid w:val="00BB352C"/>
    <w:pPr>
      <w:numPr>
        <w:numId w:val="15"/>
      </w:numPr>
      <w:tabs>
        <w:tab w:val="clear" w:pos="1021"/>
      </w:tabs>
      <w:ind w:left="1037" w:hanging="357"/>
    </w:pPr>
  </w:style>
  <w:style w:type="paragraph" w:styleId="ListBullet4">
    <w:name w:val="List Bullet 4"/>
    <w:basedOn w:val="List4"/>
    <w:rsid w:val="00BB352C"/>
    <w:pPr>
      <w:numPr>
        <w:numId w:val="3"/>
      </w:numPr>
    </w:pPr>
  </w:style>
  <w:style w:type="paragraph" w:styleId="ListBullet5">
    <w:name w:val="List Bullet 5"/>
    <w:basedOn w:val="List5"/>
    <w:rsid w:val="00BB352C"/>
    <w:pPr>
      <w:numPr>
        <w:numId w:val="4"/>
      </w:numPr>
    </w:pPr>
  </w:style>
  <w:style w:type="paragraph" w:styleId="ListContinue2">
    <w:name w:val="List Continue 2"/>
    <w:basedOn w:val="List2"/>
    <w:rsid w:val="00BB352C"/>
    <w:pPr>
      <w:ind w:firstLine="0"/>
    </w:pPr>
  </w:style>
  <w:style w:type="paragraph" w:styleId="ListContinue3">
    <w:name w:val="List Continue 3"/>
    <w:basedOn w:val="List3"/>
    <w:rsid w:val="00BB352C"/>
    <w:pPr>
      <w:ind w:left="1021" w:firstLine="0"/>
    </w:pPr>
  </w:style>
  <w:style w:type="paragraph" w:styleId="ListContinue4">
    <w:name w:val="List Continue 4"/>
    <w:basedOn w:val="List4"/>
    <w:rsid w:val="00BB352C"/>
    <w:pPr>
      <w:ind w:firstLine="0"/>
    </w:pPr>
  </w:style>
  <w:style w:type="paragraph" w:styleId="ListContinue5">
    <w:name w:val="List Continue 5"/>
    <w:basedOn w:val="List5"/>
    <w:rsid w:val="00BB352C"/>
    <w:pPr>
      <w:ind w:firstLine="0"/>
    </w:pPr>
  </w:style>
  <w:style w:type="paragraph" w:styleId="ListNumber3">
    <w:name w:val="List Number 3"/>
    <w:basedOn w:val="List3"/>
    <w:rsid w:val="00BB352C"/>
    <w:pPr>
      <w:numPr>
        <w:numId w:val="5"/>
      </w:numPr>
    </w:pPr>
  </w:style>
  <w:style w:type="paragraph" w:styleId="ListNumber4">
    <w:name w:val="List Number 4"/>
    <w:basedOn w:val="List4"/>
    <w:rsid w:val="00BB352C"/>
    <w:pPr>
      <w:numPr>
        <w:numId w:val="6"/>
      </w:numPr>
    </w:pPr>
  </w:style>
  <w:style w:type="paragraph" w:styleId="ListNumber5">
    <w:name w:val="List Number 5"/>
    <w:basedOn w:val="List5"/>
    <w:rsid w:val="00BB352C"/>
    <w:pPr>
      <w:numPr>
        <w:numId w:val="7"/>
      </w:numPr>
    </w:pPr>
  </w:style>
  <w:style w:type="paragraph" w:styleId="BlockText">
    <w:name w:val="Block Text"/>
    <w:basedOn w:val="Normal"/>
    <w:rsid w:val="00BB352C"/>
    <w:pPr>
      <w:spacing w:after="120"/>
      <w:ind w:left="1440" w:right="1440"/>
    </w:pPr>
  </w:style>
  <w:style w:type="character" w:customStyle="1" w:styleId="Subscript">
    <w:name w:val="Subscript"/>
    <w:basedOn w:val="DefaultParagraphFont"/>
    <w:rsid w:val="00BB352C"/>
    <w:rPr>
      <w:sz w:val="16"/>
      <w:vertAlign w:val="subscript"/>
    </w:rPr>
  </w:style>
  <w:style w:type="character" w:customStyle="1" w:styleId="Superscript">
    <w:name w:val="Superscript"/>
    <w:basedOn w:val="DefaultParagraphFont"/>
    <w:rsid w:val="00BB352C"/>
    <w:rPr>
      <w:sz w:val="16"/>
      <w:vertAlign w:val="superscript"/>
    </w:rPr>
  </w:style>
  <w:style w:type="character" w:customStyle="1" w:styleId="Symbols">
    <w:name w:val="Symbols"/>
    <w:basedOn w:val="DefaultParagraphFont"/>
    <w:rsid w:val="00BB352C"/>
    <w:rPr>
      <w:rFonts w:ascii="Symbol" w:hAnsi="Symbol"/>
    </w:rPr>
  </w:style>
  <w:style w:type="character" w:customStyle="1" w:styleId="MenuOptions">
    <w:name w:val="Menu Options"/>
    <w:basedOn w:val="DefaultParagraphFont"/>
    <w:rsid w:val="00BB352C"/>
    <w:rPr>
      <w:rFonts w:ascii="Arial Narrow" w:hAnsi="Arial Narrow"/>
      <w:smallCaps/>
    </w:rPr>
  </w:style>
  <w:style w:type="character" w:customStyle="1" w:styleId="Buttons">
    <w:name w:val="Buttons"/>
    <w:basedOn w:val="DefaultParagraphFont"/>
    <w:rsid w:val="00BB352C"/>
    <w:rPr>
      <w:b/>
    </w:rPr>
  </w:style>
  <w:style w:type="character" w:customStyle="1" w:styleId="Underlined">
    <w:name w:val="Underlined"/>
    <w:basedOn w:val="DefaultParagraphFont"/>
    <w:rsid w:val="00BB352C"/>
    <w:rPr>
      <w:u w:val="single"/>
    </w:rPr>
  </w:style>
  <w:style w:type="paragraph" w:customStyle="1" w:styleId="TableBodyTextRight">
    <w:name w:val="Table Body Text Right"/>
    <w:basedOn w:val="TableBodyText"/>
    <w:rsid w:val="00BB352C"/>
    <w:pPr>
      <w:widowControl w:val="0"/>
      <w:autoSpaceDE w:val="0"/>
      <w:autoSpaceDN w:val="0"/>
      <w:adjustRightInd w:val="0"/>
      <w:jc w:val="right"/>
    </w:pPr>
    <w:rPr>
      <w:rFonts w:cs="Arial"/>
      <w:szCs w:val="18"/>
    </w:rPr>
  </w:style>
  <w:style w:type="paragraph" w:customStyle="1" w:styleId="CopyrightText">
    <w:name w:val="Copyright Text"/>
    <w:basedOn w:val="BodyText"/>
    <w:rsid w:val="00BB352C"/>
    <w:rPr>
      <w:sz w:val="18"/>
    </w:rPr>
  </w:style>
  <w:style w:type="paragraph" w:customStyle="1" w:styleId="BodySmallRight">
    <w:name w:val="Body Small Right"/>
    <w:basedOn w:val="BodyTextRight"/>
    <w:rsid w:val="00BB352C"/>
    <w:rPr>
      <w:sz w:val="18"/>
      <w:szCs w:val="18"/>
    </w:rPr>
  </w:style>
  <w:style w:type="paragraph" w:customStyle="1" w:styleId="MarginEdition">
    <w:name w:val="Margin Edition"/>
    <w:basedOn w:val="MarginNote"/>
    <w:rsid w:val="00BB352C"/>
    <w:pPr>
      <w:spacing w:before="0" w:after="0"/>
    </w:pPr>
    <w:rPr>
      <w:rFonts w:ascii="Times New Roman" w:hAnsi="Times New Roman"/>
      <w:color w:val="999999"/>
    </w:rPr>
  </w:style>
  <w:style w:type="paragraph" w:customStyle="1" w:styleId="Spacer">
    <w:name w:val="Spacer"/>
    <w:basedOn w:val="Normal"/>
    <w:rsid w:val="00BB352C"/>
    <w:rPr>
      <w:sz w:val="2"/>
      <w:szCs w:val="2"/>
    </w:rPr>
  </w:style>
  <w:style w:type="character" w:customStyle="1" w:styleId="Small">
    <w:name w:val="Small"/>
    <w:basedOn w:val="DefaultParagraphFont"/>
    <w:rsid w:val="00BB352C"/>
    <w:rPr>
      <w:sz w:val="16"/>
    </w:rPr>
  </w:style>
  <w:style w:type="paragraph" w:customStyle="1" w:styleId="WideTable">
    <w:name w:val="Wide Table"/>
    <w:basedOn w:val="Normal"/>
    <w:rsid w:val="00BB352C"/>
    <w:pPr>
      <w:ind w:left="-1418"/>
    </w:pPr>
    <w:rPr>
      <w:sz w:val="2"/>
      <w:szCs w:val="2"/>
    </w:rPr>
  </w:style>
  <w:style w:type="character" w:styleId="PageNumber">
    <w:name w:val="page number"/>
    <w:basedOn w:val="DefaultParagraphFont"/>
    <w:rsid w:val="00BB352C"/>
  </w:style>
  <w:style w:type="paragraph" w:styleId="Quote">
    <w:name w:val="Quote"/>
    <w:basedOn w:val="Heading1"/>
    <w:link w:val="QuoteChar"/>
    <w:qFormat/>
    <w:rsid w:val="00BB352C"/>
    <w:rPr>
      <w:b w:val="0"/>
      <w:sz w:val="72"/>
      <w:szCs w:val="72"/>
      <w:lang w:val="en-NZ"/>
    </w:rPr>
  </w:style>
  <w:style w:type="character" w:customStyle="1" w:styleId="QuoteChar">
    <w:name w:val="Quote Char"/>
    <w:basedOn w:val="DefaultParagraphFont"/>
    <w:link w:val="Quote"/>
    <w:rsid w:val="00BB35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352C"/>
    <w:pPr>
      <w:pageBreakBefore/>
    </w:pPr>
  </w:style>
  <w:style w:type="paragraph" w:customStyle="1" w:styleId="Border">
    <w:name w:val="Border"/>
    <w:basedOn w:val="Normal"/>
    <w:qFormat/>
    <w:rsid w:val="00BB35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352C"/>
    <w:rPr>
      <w:b/>
      <w:bCs/>
      <w:i/>
      <w:iCs/>
      <w:color w:val="auto"/>
    </w:rPr>
  </w:style>
  <w:style w:type="paragraph" w:styleId="IntenseQuote">
    <w:name w:val="Intense Quote"/>
    <w:basedOn w:val="Normal"/>
    <w:next w:val="Normal"/>
    <w:link w:val="IntenseQuoteChar"/>
    <w:uiPriority w:val="30"/>
    <w:qFormat/>
    <w:rsid w:val="00BB35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35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352C"/>
    <w:rPr>
      <w:smallCaps/>
      <w:color w:val="auto"/>
      <w:u w:val="single"/>
    </w:rPr>
  </w:style>
  <w:style w:type="character" w:styleId="IntenseReference">
    <w:name w:val="Intense Reference"/>
    <w:basedOn w:val="DefaultParagraphFont"/>
    <w:uiPriority w:val="32"/>
    <w:qFormat/>
    <w:rsid w:val="00BB352C"/>
    <w:rPr>
      <w:b/>
      <w:bCs/>
      <w:smallCaps/>
      <w:color w:val="auto"/>
      <w:spacing w:val="5"/>
      <w:u w:val="single"/>
    </w:rPr>
  </w:style>
  <w:style w:type="paragraph" w:customStyle="1" w:styleId="2ColumnHeading">
    <w:name w:val="2Column Heading"/>
    <w:basedOn w:val="BodyText"/>
    <w:qFormat/>
    <w:rsid w:val="00BB352C"/>
    <w:pPr>
      <w:spacing w:after="60"/>
      <w:ind w:left="-2268"/>
    </w:pPr>
    <w:rPr>
      <w:b/>
    </w:rPr>
  </w:style>
  <w:style w:type="paragraph" w:customStyle="1" w:styleId="Heading1TOC">
    <w:name w:val="Heading1 TOC"/>
    <w:basedOn w:val="Normal"/>
    <w:qFormat/>
    <w:rsid w:val="00BB352C"/>
    <w:pPr>
      <w:spacing w:before="240" w:after="120"/>
    </w:pPr>
    <w:rPr>
      <w:rFonts w:ascii="Times New Roman" w:hAnsi="Times New Roman"/>
      <w:b/>
      <w:sz w:val="32"/>
    </w:rPr>
  </w:style>
  <w:style w:type="paragraph" w:customStyle="1" w:styleId="Heading2TOC">
    <w:name w:val="Heading2 TOC"/>
    <w:basedOn w:val="Normal"/>
    <w:qFormat/>
    <w:rsid w:val="00BB352C"/>
    <w:pPr>
      <w:spacing w:before="240" w:after="60"/>
    </w:pPr>
    <w:rPr>
      <w:rFonts w:ascii="Times New Roman" w:hAnsi="Times New Roman"/>
      <w:b/>
      <w:sz w:val="28"/>
    </w:rPr>
  </w:style>
  <w:style w:type="character" w:customStyle="1" w:styleId="Underline">
    <w:name w:val="Underline"/>
    <w:basedOn w:val="DefaultParagraphFont"/>
    <w:qFormat/>
    <w:rsid w:val="00BB352C"/>
    <w:rPr>
      <w:u w:val="single"/>
    </w:rPr>
  </w:style>
  <w:style w:type="character" w:customStyle="1" w:styleId="BoldandItalics">
    <w:name w:val="Bold and Italics"/>
    <w:qFormat/>
    <w:rsid w:val="00BB352C"/>
    <w:rPr>
      <w:b/>
      <w:i/>
      <w:u w:val="none"/>
    </w:rPr>
  </w:style>
  <w:style w:type="paragraph" w:styleId="BalloonText">
    <w:name w:val="Balloon Text"/>
    <w:basedOn w:val="Normal"/>
    <w:link w:val="BalloonTextChar"/>
    <w:rsid w:val="00BB352C"/>
    <w:rPr>
      <w:rFonts w:ascii="Tahoma" w:hAnsi="Tahoma" w:cs="Tahoma"/>
      <w:sz w:val="16"/>
      <w:szCs w:val="16"/>
    </w:rPr>
  </w:style>
  <w:style w:type="character" w:customStyle="1" w:styleId="BalloonTextChar">
    <w:name w:val="Balloon Text Char"/>
    <w:basedOn w:val="DefaultParagraphFont"/>
    <w:link w:val="BalloonText"/>
    <w:rsid w:val="00BB35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35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35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352C"/>
    <w:rPr>
      <w:b/>
      <w:color w:val="660033"/>
      <w:spacing w:val="0"/>
    </w:rPr>
  </w:style>
  <w:style w:type="paragraph" w:customStyle="1" w:styleId="Nameditemlist">
    <w:name w:val="Named item list"/>
    <w:basedOn w:val="BodyText"/>
    <w:qFormat/>
    <w:rsid w:val="00BB35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2162</Words>
  <Characters>13687</Characters>
  <Application>Microsoft Office Word</Application>
  <DocSecurity>0</DocSecurity>
  <Lines>483</Lines>
  <Paragraphs>205</Paragraphs>
  <ScaleCrop>false</ScaleCrop>
  <Company>Author-it Software Corporation Ltd.</Company>
  <LinksUpToDate>false</LinksUpToDate>
  <CharactersWithSpaces>15705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UEPOPS424B Coordinate local H.V. networks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2012-07-25T17:01:00Z</dcterms:created>
  <dcterms:modified xsi:type="dcterms:W3CDTF">2012-07-25T17:01:00Z</dcterms:modified>
</cp:coreProperties>
</file>