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FD0" w:rsidP="00697FD0">
      <w:pPr>
        <w:pStyle w:val="Title"/>
      </w:pPr>
      <w:bookmarkStart w:id="0" w:name="_GoBack"/>
      <w:bookmarkEnd w:id="0"/>
      <w:r>
        <w:fldChar w:fldCharType="begin"/>
      </w:r>
      <w:r>
        <w:instrText xml:space="preserve"> TITLE   \* MERGEFORMAT </w:instrText>
      </w:r>
      <w:r>
        <w:fldChar w:fldCharType="separate"/>
      </w:r>
      <w:r>
        <w:t>UEPOPS417B Monitor and implement environmental plans and procedures</w:t>
      </w:r>
      <w:r>
        <w:fldChar w:fldCharType="end"/>
      </w:r>
    </w:p>
    <w:p w:rsidR="00697FD0" w:rsidP="00697FD0">
      <w:pPr>
        <w:pStyle w:val="Version"/>
        <w:sectPr w:rsidSect="00EA3E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ECE" w:rsidP="00EA3ECE">
      <w:pPr>
        <w:pStyle w:val="SuperHeading"/>
      </w:pPr>
      <w:r w:rsidRPr="00EA3ECE">
        <w:t>UEPOPS417B Monitor and implement environmental plans and procedures</w:t>
      </w:r>
    </w:p>
    <w:p w:rsidR="00000000" w:rsidRPr="00EA3ECE" w:rsidP="00EA3ECE">
      <w:pPr>
        <w:pStyle w:val="Heading1"/>
      </w:pPr>
      <w:bookmarkStart w:id="1" w:name="O_474570"/>
      <w:bookmarkEnd w:id="1"/>
      <w:r w:rsidRPr="00EA3ECE">
        <w:t>Modification History</w:t>
      </w:r>
    </w:p>
    <w:p w:rsidR="00000000" w:rsidRPr="00EA3ECE" w:rsidP="00EA3ECE">
      <w:pPr>
        <w:pStyle w:val="BodyText"/>
      </w:pPr>
      <w:r w:rsidRPr="00EA3ECE">
        <w:t>Not applicable.</w:t>
      </w:r>
    </w:p>
    <w:p w:rsidR="00000000" w:rsidRPr="00EA3ECE" w:rsidP="00EA3ECE">
      <w:pPr>
        <w:pStyle w:val="AllowPageBreak"/>
      </w:pPr>
    </w:p>
    <w:p w:rsidR="00000000" w:rsidRPr="00EA3ECE" w:rsidP="00EA3ECE">
      <w:pPr>
        <w:pStyle w:val="Heading1"/>
      </w:pPr>
      <w:bookmarkStart w:id="2" w:name="O_474568"/>
      <w:bookmarkEnd w:id="2"/>
      <w:r w:rsidRPr="00EA3ECE">
        <w:t>Unit Descriptor</w:t>
      </w:r>
    </w:p>
    <w:tbl>
      <w:tblPr>
        <w:tblW w:w="0" w:type="auto"/>
        <w:tblLayout w:type="fixed"/>
        <w:tblCellMar>
          <w:left w:w="62" w:type="dxa"/>
          <w:right w:w="62" w:type="dxa"/>
        </w:tblCellMar>
        <w:tblLook w:val="0000"/>
      </w:tblPr>
      <w:tblGrid>
        <w:gridCol w:w="2700"/>
        <w:gridCol w:w="5760"/>
      </w:tblGrid>
      <w:tr w:rsidTr="00697F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1)</w:t>
            </w:r>
            <w:r w:rsidRPr="00EA3ECE">
              <w:t xml:space="preserve"> </w:t>
            </w:r>
            <w:r w:rsidRPr="00EA3ECE">
              <w:rPr>
                <w:rStyle w:val="SpecialBold"/>
              </w:rPr>
              <w:t>Scope:</w:t>
            </w:r>
          </w:p>
        </w:tc>
      </w:tr>
      <w:tr w:rsidTr="00697F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3EC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1.1) Descriptor</w:t>
            </w:r>
          </w:p>
        </w:tc>
      </w:tr>
      <w:tr w:rsidTr="00697F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This unit deals with the skills and knowledge required to address the monitoring and implementation of environmental plans and procedures and the development of environmental procedures for the local work area.</w:t>
            </w:r>
          </w:p>
        </w:tc>
      </w:tr>
    </w:tbl>
    <w:p w:rsidR="00000000" w:rsidRPr="00EA3ECE" w:rsidP="00EA3ECE">
      <w:pPr>
        <w:pStyle w:val="BodyText"/>
      </w:pPr>
    </w:p>
    <w:p w:rsidR="00000000" w:rsidRPr="00EA3ECE" w:rsidP="00EA3ECE">
      <w:pPr>
        <w:pStyle w:val="AllowPageBreak"/>
      </w:pPr>
    </w:p>
    <w:p w:rsidR="00000000" w:rsidRPr="00EA3ECE" w:rsidP="00EA3ECE">
      <w:pPr>
        <w:pStyle w:val="Heading1"/>
      </w:pPr>
      <w:bookmarkStart w:id="3" w:name="O_474557"/>
      <w:bookmarkEnd w:id="3"/>
      <w:r w:rsidRPr="00EA3ECE">
        <w:t>Application of the Unit</w:t>
      </w:r>
    </w:p>
    <w:tbl>
      <w:tblPr>
        <w:tblW w:w="0" w:type="auto"/>
        <w:tblLayout w:type="fixed"/>
        <w:tblCellMar>
          <w:left w:w="62" w:type="dxa"/>
          <w:right w:w="62" w:type="dxa"/>
        </w:tblCellMar>
        <w:tblLook w:val="0000"/>
      </w:tblPr>
      <w:tblGrid>
        <w:gridCol w:w="2672"/>
        <w:gridCol w:w="5699"/>
      </w:tblGrid>
      <w:tr w:rsidTr="00697FD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Ap</w:t>
            </w:r>
            <w:r w:rsidRPr="00EA3ECE">
              <w:rPr>
                <w:rStyle w:val="SpecialBold"/>
              </w:rPr>
              <w:t>plication of the Unit</w:t>
            </w:r>
          </w:p>
        </w:tc>
        <w:tc>
          <w:tcPr>
            <w:tcW w:w="5699"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2)</w:t>
            </w:r>
          </w:p>
        </w:tc>
      </w:tr>
      <w:tr w:rsidTr="00697FD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This unit is intended to augment formally acquired competencies. It is suitable for employment-based programs under an approved contract of training.</w:t>
            </w:r>
          </w:p>
        </w:tc>
      </w:tr>
    </w:tbl>
    <w:p w:rsidR="00000000" w:rsidRPr="00EA3ECE" w:rsidP="00EA3ECE">
      <w:pPr>
        <w:pStyle w:val="BodyText"/>
      </w:pPr>
    </w:p>
    <w:p w:rsidR="00000000" w:rsidRPr="00EA3ECE" w:rsidP="00EA3ECE">
      <w:pPr>
        <w:pStyle w:val="AllowPageBreak"/>
      </w:pPr>
    </w:p>
    <w:p w:rsidR="00000000" w:rsidRPr="00EA3ECE" w:rsidP="00EA3ECE">
      <w:pPr>
        <w:pStyle w:val="Heading1"/>
      </w:pPr>
      <w:bookmarkStart w:id="4" w:name="O_474564"/>
      <w:bookmarkEnd w:id="4"/>
      <w:r w:rsidRPr="00EA3ECE">
        <w:t>Licensing/Regulatory Information</w:t>
      </w:r>
    </w:p>
    <w:tbl>
      <w:tblPr>
        <w:tblW w:w="0" w:type="auto"/>
        <w:tblLayout w:type="fixed"/>
        <w:tblCellMar>
          <w:left w:w="62" w:type="dxa"/>
          <w:right w:w="62" w:type="dxa"/>
        </w:tblCellMar>
        <w:tblLook w:val="0000"/>
      </w:tblPr>
      <w:tblGrid>
        <w:gridCol w:w="2700"/>
        <w:gridCol w:w="5760"/>
      </w:tblGrid>
      <w:tr w:rsidTr="00697F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 xml:space="preserve">3) </w:t>
            </w:r>
          </w:p>
        </w:tc>
      </w:tr>
      <w:tr w:rsidTr="00697F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The skills and knowledge described in this unit do not require a licence to practise in the workplace. However, practice in this unit is subject to regulations directly related to Occupational Health and Safety and where applicable contracts of training su</w:t>
            </w:r>
            <w:r w:rsidRPr="00EA3ECE">
              <w:t>ch as apprenticeships and the like.</w:t>
            </w:r>
          </w:p>
        </w:tc>
      </w:tr>
    </w:tbl>
    <w:p w:rsidR="00000000" w:rsidRPr="00EA3ECE" w:rsidP="00EA3ECE">
      <w:pPr>
        <w:pStyle w:val="BodyText"/>
      </w:pPr>
    </w:p>
    <w:p w:rsidR="00000000" w:rsidRPr="00EA3ECE" w:rsidP="00EA3ECE">
      <w:pPr>
        <w:pStyle w:val="AllowPageBreak"/>
      </w:pPr>
    </w:p>
    <w:p w:rsidR="00000000" w:rsidRPr="00EA3ECE" w:rsidP="00EA3ECE">
      <w:pPr>
        <w:pStyle w:val="Heading1"/>
      </w:pPr>
      <w:bookmarkStart w:id="5" w:name="O_474565"/>
      <w:bookmarkEnd w:id="5"/>
      <w:r w:rsidRPr="00EA3ECE">
        <w:t>Pre-Requisites</w:t>
      </w:r>
    </w:p>
    <w:tbl>
      <w:tblPr>
        <w:tblW w:w="0" w:type="auto"/>
        <w:tblLayout w:type="fixed"/>
        <w:tblCellMar>
          <w:left w:w="62" w:type="dxa"/>
          <w:right w:w="62" w:type="dxa"/>
        </w:tblCellMar>
        <w:tblLook w:val="0000"/>
      </w:tblPr>
      <w:tblGrid>
        <w:gridCol w:w="2700"/>
        <w:gridCol w:w="5764"/>
      </w:tblGrid>
      <w:tr w:rsidTr="00697F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 xml:space="preserve">4) </w:t>
            </w:r>
          </w:p>
        </w:tc>
      </w:tr>
      <w:tr w:rsidTr="00697F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4.1)</w:t>
            </w:r>
          </w:p>
        </w:tc>
      </w:tr>
      <w:tr w:rsidTr="00697F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Granting of competency in this unit shall be made only after competency in the following unit(s) has/have been confirmed.</w:t>
            </w:r>
          </w:p>
          <w:p w:rsidR="00000000" w:rsidRPr="00EA3ECE" w:rsidP="00EA3ECE">
            <w:pPr>
              <w:pStyle w:val="BodyText"/>
            </w:pPr>
            <w:r w:rsidRPr="00EA3ECE">
              <w:t>Where pre-requisite pathways have been identified. All competencies in the Common Unit Group must be have been completed.</w:t>
            </w:r>
          </w:p>
          <w:p w:rsidR="00000000" w:rsidRPr="00EA3ECE" w:rsidP="00EA3ECE">
            <w:pPr>
              <w:pStyle w:val="BodyText"/>
            </w:pPr>
            <w:r w:rsidRPr="00EA3ECE">
              <w:t>There are no pre-requisite units.</w:t>
            </w:r>
          </w:p>
        </w:tc>
      </w:tr>
    </w:tbl>
    <w:p w:rsidR="00000000" w:rsidRPr="00EA3ECE" w:rsidP="00EA3EC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97FD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 xml:space="preserve">4.2) </w:t>
            </w:r>
          </w:p>
        </w:tc>
      </w:tr>
      <w:tr w:rsidTr="00697F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P</w:t>
            </w:r>
            <w:r w:rsidRPr="00EA3ECE">
              <w:t>articipants are best equipped to achieve this unit if they have reading, writing and numeracy skills indicated by the following levels. A description of what each level entails is provided in Section 2.3.1 Language, Literacy and Numeracy.</w:t>
            </w:r>
          </w:p>
        </w:tc>
      </w:tr>
      <w:tr w:rsidTr="00697F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Reading</w:t>
            </w:r>
          </w:p>
        </w:tc>
        <w:tc>
          <w:tcPr>
            <w:tcW w:w="81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4</w:t>
            </w:r>
          </w:p>
        </w:tc>
        <w:tc>
          <w:tcPr>
            <w:tcW w:w="99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Writing</w:t>
            </w: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4</w:t>
            </w:r>
          </w:p>
        </w:tc>
        <w:tc>
          <w:tcPr>
            <w:tcW w:w="12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Numeracy</w:t>
            </w:r>
          </w:p>
        </w:tc>
        <w:tc>
          <w:tcPr>
            <w:tcW w:w="72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4</w:t>
            </w:r>
          </w:p>
        </w:tc>
      </w:tr>
    </w:tbl>
    <w:p w:rsidR="00000000" w:rsidRPr="00EA3ECE" w:rsidP="00EA3ECE">
      <w:pPr>
        <w:pStyle w:val="BodyText"/>
      </w:pPr>
    </w:p>
    <w:p w:rsidR="00000000" w:rsidRPr="00EA3ECE" w:rsidP="00EA3ECE">
      <w:pPr>
        <w:pStyle w:val="AllowPageBreak"/>
      </w:pPr>
    </w:p>
    <w:p w:rsidR="00000000" w:rsidRPr="00EA3ECE" w:rsidP="00EA3ECE">
      <w:pPr>
        <w:pStyle w:val="Heading1"/>
      </w:pPr>
      <w:bookmarkStart w:id="6" w:name="O_474561"/>
      <w:bookmarkEnd w:id="6"/>
      <w:r w:rsidRPr="00EA3ECE">
        <w:t>Employability Skills Information</w:t>
      </w:r>
    </w:p>
    <w:tbl>
      <w:tblPr>
        <w:tblW w:w="0" w:type="auto"/>
        <w:tblLayout w:type="fixed"/>
        <w:tblCellMar>
          <w:left w:w="62" w:type="dxa"/>
          <w:right w:w="62" w:type="dxa"/>
        </w:tblCellMar>
        <w:tblLook w:val="0000"/>
      </w:tblPr>
      <w:tblGrid>
        <w:gridCol w:w="2700"/>
        <w:gridCol w:w="5760"/>
      </w:tblGrid>
      <w:tr w:rsidTr="00697F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 xml:space="preserve">5) </w:t>
            </w:r>
          </w:p>
        </w:tc>
      </w:tr>
      <w:tr w:rsidTr="00697F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 xml:space="preserve">The required outcomes described in this unit of competency contain applicable facets of Employability Skills. The Employability Skills Summary </w:t>
            </w:r>
            <w:r w:rsidRPr="00EA3ECE">
              <w:t>of the qualification in which this unit of competency is packaged will assist in identifying Employability Skill requirements.</w:t>
            </w:r>
          </w:p>
        </w:tc>
      </w:tr>
    </w:tbl>
    <w:p w:rsidR="00000000" w:rsidRPr="00EA3ECE" w:rsidP="00EA3ECE">
      <w:pPr>
        <w:pStyle w:val="BodyText"/>
      </w:pPr>
    </w:p>
    <w:p w:rsidR="00000000" w:rsidRPr="00EA3ECE" w:rsidP="00EA3ECE">
      <w:pPr>
        <w:pStyle w:val="AllowPageBreak"/>
      </w:pPr>
    </w:p>
    <w:p w:rsidR="00000000" w:rsidRPr="00EA3ECE" w:rsidP="00EA3ECE">
      <w:pPr>
        <w:pStyle w:val="Heading1"/>
      </w:pPr>
      <w:bookmarkStart w:id="7" w:name="O_474560"/>
      <w:bookmarkEnd w:id="7"/>
      <w:r w:rsidRPr="00EA3ECE">
        <w:t>Elements and Performance Criteria Pre-Content</w:t>
      </w:r>
    </w:p>
    <w:tbl>
      <w:tblPr>
        <w:tblW w:w="0" w:type="auto"/>
        <w:tblLayout w:type="fixed"/>
        <w:tblCellMar>
          <w:left w:w="62" w:type="dxa"/>
          <w:right w:w="62" w:type="dxa"/>
        </w:tblCellMar>
        <w:tblLook w:val="0000"/>
      </w:tblPr>
      <w:tblGrid>
        <w:gridCol w:w="2700"/>
        <w:gridCol w:w="5760"/>
      </w:tblGrid>
      <w:tr w:rsidTr="00697F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6)</w:t>
            </w:r>
            <w:r w:rsidRPr="00EA3ECE">
              <w:t xml:space="preserve"> Elements describe the essential outcomes of a competency stan</w:t>
            </w:r>
            <w:r w:rsidRPr="00EA3ECE">
              <w:t>dard unit</w:t>
            </w:r>
          </w:p>
        </w:tc>
        <w:tc>
          <w:tcPr>
            <w:tcW w:w="576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Performance Criteria describe the required performance needed to demonstrate achievement of the element. Assessment of performance is to be consistent with the Evidence Guide.</w:t>
            </w:r>
          </w:p>
        </w:tc>
      </w:tr>
    </w:tbl>
    <w:p w:rsidR="00000000" w:rsidRPr="00EA3ECE" w:rsidP="00EA3ECE">
      <w:pPr>
        <w:pStyle w:val="BodyText"/>
      </w:pPr>
    </w:p>
    <w:p w:rsidR="00000000" w:rsidRPr="00EA3ECE" w:rsidP="00EA3ECE">
      <w:pPr>
        <w:pStyle w:val="AllowPageBreak"/>
      </w:pPr>
    </w:p>
    <w:p w:rsidR="00000000" w:rsidRPr="00EA3ECE" w:rsidP="00EA3ECE">
      <w:pPr>
        <w:pStyle w:val="Heading1"/>
      </w:pPr>
      <w:bookmarkStart w:id="8" w:name="O_474559"/>
      <w:bookmarkEnd w:id="8"/>
      <w:r w:rsidRPr="00EA3EC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97FD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PERFORMANCE CRITERIA</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1</w:t>
            </w:r>
          </w:p>
        </w:tc>
        <w:tc>
          <w:tcPr>
            <w:tcW w:w="2296" w:type="dxa"/>
            <w:vMerge w:val="restart"/>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Prepare to Implement Environmental Plans and Procedures</w:t>
            </w: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1.1</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Environmental plans and procedures are identified and examined in accordance with the work site or project requirements.</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1.2</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Environmental risks and impacts are identif</w:t>
            </w:r>
            <w:r w:rsidRPr="00EA3ECE">
              <w:t>ied for the specific project or work site.</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1.3</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Environmental plans and procedures are selected in accordance with the specific project or work site requirements.</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2</w:t>
            </w:r>
          </w:p>
        </w:tc>
        <w:tc>
          <w:tcPr>
            <w:tcW w:w="2296" w:type="dxa"/>
            <w:vMerge w:val="restart"/>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Implement Environmental Plans and Procedures</w:t>
            </w: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2.1</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Emergency procedures are implemented and environmental risks are controlled in accordance with project/site requirements</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2.2</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Appropriate activities are carried out in accordance with the environmental plan and procedures.</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2.3</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Environm</w:t>
            </w:r>
            <w:r w:rsidRPr="00EA3ECE">
              <w:t>ental control procedures are implemented, established and maintained, and risks mitigated in accordance with the project/site requirements.</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3</w:t>
            </w:r>
          </w:p>
        </w:tc>
        <w:tc>
          <w:tcPr>
            <w:tcW w:w="2296" w:type="dxa"/>
            <w:vMerge w:val="restart"/>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Develop Site/Project Environmental Procedures</w:t>
            </w: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3.1</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Specific needs for project/site environmental procedures are id</w:t>
            </w:r>
            <w:r w:rsidRPr="00EA3ECE">
              <w:t>entified and assessed taking into account affected stakeholders and appropriate relevant data.</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3.2</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Specific project/site environmental procedures are developed and reviewed in accordance with appropriate relevant data.</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4</w:t>
            </w:r>
          </w:p>
        </w:tc>
        <w:tc>
          <w:tcPr>
            <w:tcW w:w="2296" w:type="dxa"/>
            <w:vMerge w:val="restart"/>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Manage Environmental Incident</w:t>
            </w: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4.1</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Environmental incidents are identified and controlled in accordance with the appropriate plans and procedures.</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4.2</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Environmental incidents are recorded and reported in accordance with the appropriate plans and procedures.</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5</w:t>
            </w:r>
          </w:p>
        </w:tc>
        <w:tc>
          <w:tcPr>
            <w:tcW w:w="2296" w:type="dxa"/>
            <w:vMerge w:val="restart"/>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Monitor and Report on the Applications of Environmental Plans and Procedures</w:t>
            </w: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5.1</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The application of environmental plans and procedures are monitored and documented.</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5.2</w:t>
            </w:r>
          </w:p>
        </w:tc>
        <w:tc>
          <w:tcPr>
            <w:tcW w:w="48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Environmental risks and incidents are reported in accordance with site/enterprise pr</w:t>
            </w:r>
            <w:r w:rsidRPr="00EA3ECE">
              <w:t>ocedures.</w:t>
            </w:r>
          </w:p>
        </w:tc>
      </w:tr>
      <w:tr w:rsidTr="00697F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t>5.3</w:t>
            </w:r>
          </w:p>
        </w:tc>
        <w:tc>
          <w:tcPr>
            <w:tcW w:w="486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Participation by the relevant workforce in reviews of environmental procedures is ensured and reported.</w:t>
            </w:r>
          </w:p>
        </w:tc>
      </w:tr>
    </w:tbl>
    <w:p w:rsidR="00000000" w:rsidRPr="00EA3ECE" w:rsidP="00EA3ECE">
      <w:pPr>
        <w:pStyle w:val="BodyText"/>
      </w:pPr>
    </w:p>
    <w:p w:rsidR="00000000" w:rsidRPr="00EA3ECE" w:rsidP="00EA3ECE">
      <w:pPr>
        <w:pStyle w:val="AllowPageBreak"/>
      </w:pPr>
    </w:p>
    <w:p w:rsidR="00000000" w:rsidRPr="00EA3ECE" w:rsidP="00EA3ECE">
      <w:pPr>
        <w:pStyle w:val="Heading1"/>
      </w:pPr>
      <w:bookmarkStart w:id="9" w:name="O_474567"/>
      <w:bookmarkEnd w:id="9"/>
      <w:r w:rsidRPr="00EA3ECE">
        <w:t>Required Skills and Knowledge</w:t>
      </w:r>
    </w:p>
    <w:tbl>
      <w:tblPr>
        <w:tblW w:w="0" w:type="auto"/>
        <w:tblLayout w:type="fixed"/>
        <w:tblCellMar>
          <w:left w:w="62" w:type="dxa"/>
          <w:right w:w="62" w:type="dxa"/>
        </w:tblCellMar>
        <w:tblLook w:val="0000"/>
      </w:tblPr>
      <w:tblGrid>
        <w:gridCol w:w="8460"/>
      </w:tblGrid>
      <w:tr w:rsidTr="00697F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REQUIRED SKILLS AND KNOWLEDGE</w:t>
            </w:r>
          </w:p>
        </w:tc>
      </w:tr>
      <w:tr w:rsidTr="00697FD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8)</w:t>
            </w:r>
            <w:r w:rsidRPr="00EA3ECE">
              <w:t xml:space="preserve"> This describes the essential skills and knowledge and their level, required for this unit.</w:t>
            </w:r>
          </w:p>
          <w:p w:rsidR="00000000" w:rsidRPr="00EA3ECE" w:rsidP="00EA3ECE">
            <w:pPr>
              <w:pStyle w:val="BodyText"/>
            </w:pPr>
            <w:r w:rsidRPr="00EA3ECE">
              <w:t>Evidence shall show that knowledge has been acquired monitoring and implementing environmental plans and procedures.</w:t>
            </w:r>
          </w:p>
          <w:p w:rsidR="00000000" w:rsidRPr="00EA3ECE" w:rsidP="00EA3ECE">
            <w:pPr>
              <w:pStyle w:val="BodyText"/>
            </w:pPr>
            <w:r w:rsidRPr="00EA3ECE">
              <w:t xml:space="preserve">All knowledge and skills detailed in this unit </w:t>
            </w:r>
            <w:r w:rsidRPr="00EA3ECE">
              <w:t>should be contextualised to current industry practices and technologies.</w:t>
            </w:r>
          </w:p>
          <w:p w:rsidR="00000000" w:rsidRPr="00EA3ECE" w:rsidP="00EA3ECE">
            <w:pPr>
              <w:pStyle w:val="BodyText"/>
            </w:pPr>
            <w:r w:rsidRPr="00EA3ECE">
              <w:t>The extent of the Essential Knowledge and Associated Skills required follows:</w:t>
            </w:r>
          </w:p>
          <w:p w:rsidR="00000000" w:rsidRPr="00EA3ECE" w:rsidP="00EA3ECE">
            <w:pPr>
              <w:pStyle w:val="BodyText"/>
            </w:pPr>
            <w:r w:rsidRPr="00EA3ECE">
              <w:t>KS01-PO417B</w:t>
            </w:r>
            <w:r w:rsidRPr="00EA3ECE">
              <w:tab/>
              <w:t xml:space="preserve"> Environmental plans and procedures</w:t>
            </w:r>
          </w:p>
          <w:p w:rsidR="00000000" w:rsidRPr="00EA3ECE" w:rsidP="00EA3ECE">
            <w:pPr>
              <w:pStyle w:val="BodyText"/>
            </w:pPr>
            <w:r w:rsidRPr="00EA3ECE">
              <w:t xml:space="preserve">T1  Evidence shall show that knowledge has been acquired </w:t>
            </w:r>
            <w:r w:rsidRPr="00EA3ECE">
              <w:t>for safe working practices of:</w:t>
            </w:r>
          </w:p>
          <w:p w:rsidR="00000000" w:rsidRPr="00EA3ECE" w:rsidP="00EA3ECE">
            <w:pPr>
              <w:pStyle w:val="ListBullet"/>
            </w:pPr>
            <w:r w:rsidRPr="00EA3ECE">
              <w:t>Relevant legislative requirements; standard operating procedures; environmental plans and procedures</w:t>
            </w:r>
          </w:p>
          <w:p w:rsidR="00000000" w:rsidRPr="00EA3ECE" w:rsidP="00EA3ECE">
            <w:pPr>
              <w:pStyle w:val="ListBullet"/>
            </w:pPr>
            <w:r w:rsidRPr="00EA3ECE">
              <w:t>Plant drawings and manufacturers manuals</w:t>
            </w:r>
          </w:p>
          <w:p w:rsidR="00000000" w:rsidRPr="00EA3ECE" w:rsidP="00EA3ECE">
            <w:pPr>
              <w:pStyle w:val="ListBullet"/>
            </w:pPr>
            <w:r w:rsidRPr="00EA3ECE">
              <w:t>Introduction to and typical arrangements of power production plant</w:t>
            </w:r>
          </w:p>
          <w:p w:rsidR="00000000" w:rsidRPr="00EA3ECE" w:rsidP="00EA3ECE">
            <w:pPr>
              <w:pStyle w:val="ListBullet"/>
            </w:pPr>
            <w:r w:rsidRPr="00EA3ECE">
              <w:t>Relevant plant and equipment, its location and operating parameters</w:t>
            </w:r>
          </w:p>
          <w:p w:rsidR="00000000" w:rsidRPr="00EA3ECE" w:rsidP="00EA3ECE">
            <w:pPr>
              <w:pStyle w:val="ListBullet"/>
            </w:pPr>
            <w:r w:rsidRPr="00EA3ECE">
              <w:t>Enterprise procedures</w:t>
            </w:r>
          </w:p>
          <w:p w:rsidR="00000000" w:rsidRPr="00EA3ECE" w:rsidP="00EA3ECE">
            <w:pPr>
              <w:pStyle w:val="ListBullet"/>
            </w:pPr>
            <w:r w:rsidRPr="00EA3ECE">
              <w:t>Gaseous emission removal equipment, types and characteristics</w:t>
            </w:r>
          </w:p>
          <w:p w:rsidR="00000000" w:rsidRPr="00EA3ECE" w:rsidP="00EA3ECE">
            <w:pPr>
              <w:pStyle w:val="ListBullet"/>
            </w:pPr>
            <w:r w:rsidRPr="00EA3ECE">
              <w:t>Particulate removal equipment types and characteristics</w:t>
            </w:r>
          </w:p>
          <w:p w:rsidR="00000000" w:rsidRPr="00EA3ECE" w:rsidP="00EA3ECE">
            <w:pPr>
              <w:pStyle w:val="ListBullet"/>
            </w:pPr>
            <w:r w:rsidRPr="00EA3ECE">
              <w:t>Water pollution control equipment, types and cha</w:t>
            </w:r>
            <w:r w:rsidRPr="00EA3ECE">
              <w:t>racteristics</w:t>
            </w:r>
          </w:p>
          <w:p w:rsidR="00000000" w:rsidRPr="00EA3ECE" w:rsidP="00EA3ECE">
            <w:pPr>
              <w:pStyle w:val="ListBullet"/>
            </w:pPr>
            <w:r w:rsidRPr="00EA3ECE">
              <w:t>NOx control equipment, types and characteristics</w:t>
            </w:r>
          </w:p>
          <w:p w:rsidR="00000000" w:rsidRPr="00EA3ECE" w:rsidP="00EA3ECE">
            <w:pPr>
              <w:pStyle w:val="ListBullet"/>
            </w:pPr>
            <w:r w:rsidRPr="00EA3ECE">
              <w:t>Sedimentation and erosion control; risk assessment procedures</w:t>
            </w:r>
          </w:p>
          <w:p w:rsidR="00000000" w:rsidRPr="00EA3ECE" w:rsidP="00EA3ECE">
            <w:pPr>
              <w:pStyle w:val="ListBullet"/>
            </w:pPr>
            <w:r w:rsidRPr="00EA3ECE">
              <w:t>Rare and endangered plants; recording procedures</w:t>
            </w:r>
          </w:p>
          <w:p w:rsidR="00000000" w:rsidRPr="00EA3ECE" w:rsidP="00EA3ECE">
            <w:pPr>
              <w:pStyle w:val="ListBullet"/>
            </w:pPr>
            <w:r w:rsidRPr="00EA3ECE">
              <w:t>Cultural/heritage sites Identification</w:t>
            </w:r>
          </w:p>
          <w:p w:rsidR="00000000" w:rsidRPr="00EA3ECE" w:rsidP="00EA3ECE">
            <w:pPr>
              <w:pStyle w:val="ListBullet"/>
            </w:pPr>
            <w:r w:rsidRPr="00EA3ECE">
              <w:t>Reporting procedures</w:t>
            </w:r>
          </w:p>
          <w:p w:rsidR="00000000" w:rsidRPr="00EA3ECE" w:rsidP="00EA3ECE">
            <w:pPr>
              <w:pStyle w:val="ListBullet"/>
            </w:pPr>
            <w:r w:rsidRPr="00EA3ECE">
              <w:t xml:space="preserve">Monitoring procedures; </w:t>
            </w:r>
            <w:r w:rsidRPr="00EA3ECE">
              <w:t>identification of risks and impacts</w:t>
            </w:r>
          </w:p>
          <w:p w:rsidR="00000000" w:rsidRPr="00EA3ECE" w:rsidP="00EA3ECE">
            <w:pPr>
              <w:pStyle w:val="ListBullet"/>
            </w:pPr>
            <w:r w:rsidRPr="00EA3ECE">
              <w:t>Consultation procedures</w:t>
            </w:r>
          </w:p>
          <w:p w:rsidR="00000000" w:rsidRPr="00EA3ECE" w:rsidP="00EA3ECE">
            <w:pPr>
              <w:pStyle w:val="ListBullet"/>
            </w:pPr>
            <w:r w:rsidRPr="00EA3ECE">
              <w:t>Incident management procedures</w:t>
            </w:r>
          </w:p>
          <w:p w:rsidR="00000000" w:rsidRPr="00EA3ECE" w:rsidP="00EA3ECE">
            <w:pPr>
              <w:pStyle w:val="ListBullet"/>
            </w:pPr>
            <w:r w:rsidRPr="00EA3ECE">
              <w:t>Potential environmental risks and incidents</w:t>
            </w:r>
          </w:p>
          <w:p w:rsidR="00000000" w:rsidRPr="00EA3ECE" w:rsidP="00EA3ECE">
            <w:pPr>
              <w:pStyle w:val="ListBullet"/>
            </w:pPr>
            <w:r w:rsidRPr="00EA3ECE">
              <w:t>Disposal of dangerous and contaminated soils</w:t>
            </w:r>
          </w:p>
          <w:p w:rsidR="00000000" w:rsidRPr="00EA3ECE" w:rsidP="00EA3ECE">
            <w:pPr>
              <w:pStyle w:val="ListBullet"/>
            </w:pPr>
            <w:r w:rsidRPr="00EA3ECE">
              <w:t>Environmental auditing; concepts of due diligence</w:t>
            </w:r>
          </w:p>
          <w:p w:rsidR="00000000" w:rsidRPr="00EA3ECE" w:rsidP="00EA3ECE">
            <w:pPr>
              <w:pStyle w:val="ListBullet"/>
            </w:pPr>
            <w:r w:rsidRPr="00EA3ECE">
              <w:t>Principles of environmenta</w:t>
            </w:r>
            <w:r w:rsidRPr="00EA3ECE">
              <w:t>l protection</w:t>
            </w:r>
          </w:p>
          <w:p w:rsidR="00000000" w:rsidRPr="00EA3ECE" w:rsidP="00EA3ECE">
            <w:pPr>
              <w:pStyle w:val="ListBullet"/>
            </w:pPr>
            <w:r w:rsidRPr="00EA3ECE">
              <w:t>Endangered species and habitat protection</w:t>
            </w:r>
          </w:p>
          <w:p w:rsidR="00000000" w:rsidRPr="00EA3ECE" w:rsidP="00EA3ECE">
            <w:pPr>
              <w:pStyle w:val="ListBullet"/>
            </w:pPr>
            <w:r w:rsidRPr="00EA3ECE">
              <w:t>Environmental impact assessment</w:t>
            </w:r>
          </w:p>
          <w:p w:rsidR="00000000" w:rsidRPr="00EA3ECE" w:rsidP="00EA3ECE">
            <w:pPr>
              <w:pStyle w:val="ListBullet"/>
            </w:pPr>
            <w:r w:rsidRPr="00EA3ECE">
              <w:t>Control procedures for environmental risks and incidents</w:t>
            </w:r>
          </w:p>
          <w:p w:rsidR="00000000" w:rsidRPr="00EA3ECE" w:rsidP="00EA3ECE">
            <w:pPr>
              <w:pStyle w:val="ListBullet"/>
            </w:pPr>
            <w:r w:rsidRPr="00EA3ECE">
              <w:t>Waste management.</w:t>
            </w:r>
          </w:p>
          <w:p w:rsidR="00000000" w:rsidRPr="00EA3ECE" w:rsidP="00EA3ECE">
            <w:pPr>
              <w:pStyle w:val="BodyText"/>
            </w:pPr>
            <w:r w:rsidRPr="00EA3ECE">
              <w:t>T2  Specific skills needed to achieve the Performance Criteria:</w:t>
            </w:r>
          </w:p>
          <w:p w:rsidR="00000000" w:rsidRPr="00EA3ECE" w:rsidP="00EA3ECE">
            <w:pPr>
              <w:pStyle w:val="ListBullet"/>
            </w:pPr>
            <w:r w:rsidRPr="00EA3ECE">
              <w:t>Interpret plant drawings and manufacturers manuals</w:t>
            </w:r>
          </w:p>
          <w:p w:rsidR="00000000" w:rsidRPr="00EA3ECE" w:rsidP="00EA3ECE">
            <w:pPr>
              <w:pStyle w:val="ListBullet"/>
            </w:pPr>
            <w:r w:rsidRPr="00EA3ECE">
              <w:t>Apply control procedures at environmental risks and incidents</w:t>
            </w:r>
          </w:p>
          <w:p w:rsidR="00000000" w:rsidRPr="00EA3ECE" w:rsidP="00EA3ECE">
            <w:pPr>
              <w:pStyle w:val="ListBullet"/>
            </w:pPr>
            <w:r w:rsidRPr="00EA3ECE">
              <w:t>Access, interpret and apply relevant legislation and standard operating procedures</w:t>
            </w:r>
          </w:p>
          <w:p w:rsidR="00000000" w:rsidRPr="00EA3ECE" w:rsidP="00EA3ECE">
            <w:pPr>
              <w:pStyle w:val="ListBullet"/>
            </w:pPr>
            <w:r w:rsidRPr="00EA3ECE">
              <w:t>Assess environmental risks at the specific project/site</w:t>
            </w:r>
          </w:p>
          <w:p w:rsidR="00000000" w:rsidRPr="00EA3ECE" w:rsidP="00EA3ECE">
            <w:pPr>
              <w:pStyle w:val="ListBullet"/>
            </w:pPr>
            <w:r w:rsidRPr="00EA3ECE">
              <w:t>Appl</w:t>
            </w:r>
            <w:r w:rsidRPr="00EA3ECE">
              <w:t>y environmental plans and procedures</w:t>
            </w:r>
          </w:p>
          <w:p w:rsidR="00000000" w:rsidRPr="00EA3ECE" w:rsidP="00EA3ECE">
            <w:pPr>
              <w:pStyle w:val="ListBullet"/>
            </w:pPr>
            <w:r w:rsidRPr="00EA3ECE">
              <w:t>Develop local workplace environmental procedures</w:t>
            </w:r>
          </w:p>
          <w:p w:rsidR="00000000" w:rsidRPr="00EA3ECE" w:rsidP="00EA3ECE">
            <w:pPr>
              <w:pStyle w:val="ListBullet"/>
            </w:pPr>
            <w:r w:rsidRPr="00EA3ECE">
              <w:t>Identify risks and impacts</w:t>
            </w:r>
          </w:p>
          <w:p w:rsidR="00000000" w:rsidRPr="00EA3ECE" w:rsidP="00EA3ECE">
            <w:pPr>
              <w:pStyle w:val="ListBullet"/>
            </w:pPr>
            <w:r w:rsidRPr="00EA3ECE">
              <w:t>Apply consultation processes</w:t>
            </w:r>
          </w:p>
          <w:p w:rsidR="00000000" w:rsidRPr="00EA3ECE" w:rsidP="00EA3ECE">
            <w:pPr>
              <w:pStyle w:val="ListBullet"/>
            </w:pPr>
            <w:r w:rsidRPr="00EA3ECE">
              <w:t>Manage environmental incidents</w:t>
            </w:r>
          </w:p>
          <w:p w:rsidR="00000000" w:rsidRPr="00EA3ECE" w:rsidP="00EA3ECE">
            <w:pPr>
              <w:pStyle w:val="ListBullet"/>
            </w:pPr>
            <w:r w:rsidRPr="00EA3ECE">
              <w:t>Conduct environmental audits</w:t>
            </w:r>
          </w:p>
          <w:p w:rsidR="00000000" w:rsidRPr="00EA3ECE" w:rsidP="00EA3ECE">
            <w:pPr>
              <w:pStyle w:val="ListBullet"/>
            </w:pPr>
            <w:r w:rsidRPr="00EA3ECE">
              <w:t>Monitor specific project/site</w:t>
            </w:r>
          </w:p>
          <w:p w:rsidR="00000000" w:rsidRPr="00EA3ECE" w:rsidP="00EA3ECE">
            <w:pPr>
              <w:pStyle w:val="ListBullet"/>
            </w:pPr>
            <w:r w:rsidRPr="00EA3ECE">
              <w:t>Identify possible cultur</w:t>
            </w:r>
            <w:r w:rsidRPr="00EA3ECE">
              <w:t>al/heritage sites</w:t>
            </w:r>
          </w:p>
          <w:p w:rsidR="00000000" w:rsidRPr="00EA3ECE" w:rsidP="00EA3ECE">
            <w:pPr>
              <w:pStyle w:val="ListBullet"/>
            </w:pPr>
            <w:r w:rsidRPr="00EA3ECE">
              <w:t>Identify potential pollutants</w:t>
            </w:r>
          </w:p>
          <w:p w:rsidR="00000000" w:rsidRPr="00EA3ECE" w:rsidP="00EA3ECE">
            <w:pPr>
              <w:pStyle w:val="ListBullet"/>
            </w:pPr>
            <w:r w:rsidRPr="00EA3ECE">
              <w:t>Solve operational problems.</w:t>
            </w:r>
          </w:p>
        </w:tc>
      </w:tr>
    </w:tbl>
    <w:p w:rsidR="00000000" w:rsidRPr="00EA3ECE" w:rsidP="00EA3ECE">
      <w:pPr>
        <w:pStyle w:val="BodyText"/>
      </w:pPr>
    </w:p>
    <w:p w:rsidR="00000000" w:rsidRPr="00EA3ECE" w:rsidP="00EA3ECE">
      <w:pPr>
        <w:pStyle w:val="AllowPageBreak"/>
      </w:pPr>
    </w:p>
    <w:p w:rsidR="00000000" w:rsidRPr="00EA3ECE" w:rsidP="00EA3ECE">
      <w:pPr>
        <w:pStyle w:val="Heading1"/>
      </w:pPr>
      <w:bookmarkStart w:id="10" w:name="O_474562"/>
      <w:bookmarkEnd w:id="10"/>
      <w:r w:rsidRPr="00EA3ECE">
        <w:t>Evidence Guide</w:t>
      </w:r>
    </w:p>
    <w:tbl>
      <w:tblPr>
        <w:tblW w:w="0" w:type="auto"/>
        <w:tblLayout w:type="fixed"/>
        <w:tblCellMar>
          <w:left w:w="62" w:type="dxa"/>
          <w:right w:w="62" w:type="dxa"/>
        </w:tblCellMar>
        <w:tblLook w:val="0000"/>
      </w:tblPr>
      <w:tblGrid>
        <w:gridCol w:w="8460"/>
      </w:tblGrid>
      <w:tr w:rsidTr="00697F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EVIDENCE GUIDE</w:t>
            </w:r>
          </w:p>
        </w:tc>
      </w:tr>
      <w:tr w:rsidTr="00697F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9)</w:t>
            </w:r>
            <w:r w:rsidRPr="00EA3ECE">
              <w:t xml:space="preserve"> This provides essential advice for assessment of the competency standard unit and must be read </w:t>
            </w:r>
            <w:r w:rsidRPr="00EA3ECE">
              <w:t>in conjunction with the Performance Criteria and the Range Statement of the unit and the Training Package Assessment Guidelines.</w:t>
            </w:r>
          </w:p>
          <w:p w:rsidR="00000000" w:rsidRPr="00EA3ECE" w:rsidP="00EA3ECE">
            <w:pPr>
              <w:pStyle w:val="BodyText"/>
            </w:pPr>
            <w:r w:rsidRPr="00EA3ECE">
              <w:t>The Evidence Guide forms an integral part of this competency standard unit and shall be used in conjunction with all components</w:t>
            </w:r>
            <w:r w:rsidRPr="00EA3ECE">
              <w:t xml:space="preserve"> parts of this unit and, performed in accordance with the Assessment Guidelines of this Training Package.</w:t>
            </w:r>
          </w:p>
        </w:tc>
      </w:tr>
    </w:tbl>
    <w:p w:rsidR="00000000" w:rsidRPr="00EA3ECE" w:rsidP="00EA3ECE">
      <w:pPr>
        <w:pStyle w:val="BodyText"/>
      </w:pPr>
    </w:p>
    <w:tbl>
      <w:tblPr>
        <w:tblW w:w="0" w:type="auto"/>
        <w:tblLayout w:type="fixed"/>
        <w:tblCellMar>
          <w:left w:w="62" w:type="dxa"/>
          <w:right w:w="62" w:type="dxa"/>
        </w:tblCellMar>
        <w:tblLook w:val="0000"/>
      </w:tblPr>
      <w:tblGrid>
        <w:gridCol w:w="1890"/>
        <w:gridCol w:w="6570"/>
      </w:tblGrid>
      <w:tr w:rsidTr="00697F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9.1)</w:t>
            </w:r>
          </w:p>
        </w:tc>
      </w:tr>
      <w:tr w:rsidTr="00697F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Longitude competency development approaches to assessment, such as Profiling, require data to be reliably gathered in a form that can be consistently interpreted over time. This approach is best utilised in Apprenticeship programs and reduces assessment in</w:t>
            </w:r>
            <w:r w:rsidRPr="00EA3ECE">
              <w:t>tervention. It is the Industry preferred model for apprenticeships. However, where summative (or final) assessment is used it is to include the application of the competency in the normal work environment or, at a minimum, the application of the competency</w:t>
            </w:r>
            <w:r w:rsidRPr="00EA3ECE">
              <w:t xml:space="preserve"> in a realistically simulated work environment. It is recognised that, in some circumstances, assessment in part or full can occur outside the workplace. However, it must be in accord with Industry and regulatory policy.</w:t>
            </w:r>
          </w:p>
          <w:p w:rsidR="00000000" w:rsidRPr="00EA3ECE" w:rsidP="00EA3ECE">
            <w:pPr>
              <w:pStyle w:val="BodyText"/>
            </w:pPr>
            <w:r w:rsidRPr="00EA3ECE">
              <w:t>Methods chosen for a particular ass</w:t>
            </w:r>
            <w:r w:rsidRPr="00EA3ECE">
              <w:t>essment will be influenced by various factors. These include the extent of the assessment, the most effective locations for the assessment activities to take place, access to physical resources, additional safety measures that may be required and the criti</w:t>
            </w:r>
            <w:r w:rsidRPr="00EA3ECE">
              <w:t>cal nature of the competencies being assessed.</w:t>
            </w:r>
          </w:p>
          <w:p w:rsidR="00000000" w:rsidRPr="00EA3ECE" w:rsidP="00EA3ECE">
            <w:pPr>
              <w:pStyle w:val="BodyText"/>
            </w:pPr>
            <w:r w:rsidRPr="00EA3ECE">
              <w:t>The critical safety nature of working with electricity, electrical equipment, gas or any other hazardous substance/material carries risk in deeming a person competent. Hence, sources of evidence need to be ‘ri</w:t>
            </w:r>
            <w:r w:rsidRPr="00EA3ECE">
              <w:t>ch’ in nature so as to minimise error in judgment.</w:t>
            </w:r>
          </w:p>
          <w:p w:rsidR="00000000" w:rsidRPr="00EA3ECE" w:rsidP="00EA3ECE">
            <w:pPr>
              <w:pStyle w:val="BodyText"/>
            </w:pPr>
            <w:r w:rsidRPr="00EA3ECE">
              <w:t xml:space="preserve">Activities associated with normal every day work have a bearing on the decision as to how much and how detailed the data gathered will contribute to its ‘richness’. Some skills are more critical to safety </w:t>
            </w:r>
            <w:r w:rsidRPr="00EA3ECE">
              <w:t>and operational requirements while the same skills may be more or less frequently practised. These points are raised for the assessors to consider when choosing an assessment method and developing assessment instruments. Sample assessment instruments are i</w:t>
            </w:r>
            <w:r w:rsidRPr="00EA3ECE">
              <w:t>ncluded in the Assessment Guidelines of this Training Package.</w:t>
            </w:r>
          </w:p>
        </w:tc>
      </w:tr>
    </w:tbl>
    <w:p w:rsidR="00000000" w:rsidRPr="00EA3ECE" w:rsidP="00EA3ECE">
      <w:pPr>
        <w:pStyle w:val="BodyText"/>
      </w:pPr>
    </w:p>
    <w:tbl>
      <w:tblPr>
        <w:tblW w:w="0" w:type="auto"/>
        <w:tblLayout w:type="fixed"/>
        <w:tblCellMar>
          <w:left w:w="62" w:type="dxa"/>
          <w:right w:w="62" w:type="dxa"/>
        </w:tblCellMar>
        <w:tblLook w:val="0000"/>
      </w:tblPr>
      <w:tblGrid>
        <w:gridCol w:w="1890"/>
        <w:gridCol w:w="6570"/>
      </w:tblGrid>
      <w:tr w:rsidTr="00697F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9.2)</w:t>
            </w:r>
          </w:p>
        </w:tc>
      </w:tr>
      <w:tr w:rsidTr="00697F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Before the critical aspects of evidence are considered all pre-requisites shall be met.</w:t>
            </w:r>
          </w:p>
          <w:p w:rsidR="00000000" w:rsidRPr="00EA3ECE" w:rsidP="00EA3ECE">
            <w:pPr>
              <w:pStyle w:val="BodyText"/>
            </w:pPr>
            <w:r w:rsidRPr="00EA3ECE">
              <w:t>Evidence for compet</w:t>
            </w:r>
            <w:r w:rsidRPr="00EA3ECE">
              <w:t>ence in this unit shall be considered holistically.  Each element and associated Performance Criteria shall be demonstrated on at least two occasions in accordance with the “Assessment Guidelines – UEP12”.  Evidence shall also comprise:</w:t>
            </w:r>
          </w:p>
          <w:p w:rsidR="00000000" w:rsidRPr="00EA3ECE" w:rsidP="00EA3ECE">
            <w:pPr>
              <w:pStyle w:val="ListBullet"/>
            </w:pPr>
            <w:r w:rsidRPr="00EA3ECE">
              <w:t>A representative b</w:t>
            </w:r>
            <w:r w:rsidRPr="00EA3ECE">
              <w:t>ody of work performance demonstrated within the timeframes typically expected of the discipline, work function and industrial environment. In particular this shall incorporate evidence that shows a candidate is able to:</w:t>
            </w:r>
          </w:p>
          <w:p w:rsidR="00000000" w:rsidRPr="00EA3ECE" w:rsidP="00EA3ECE">
            <w:pPr>
              <w:pStyle w:val="ListBullet2"/>
            </w:pPr>
            <w:r w:rsidRPr="00EA3ECE">
              <w:t>Implement Occupational Health and Safety workplace procedures and practices including the use of risk control measures as specified in the Performance Criteria and Range Statement</w:t>
            </w:r>
          </w:p>
          <w:p w:rsidR="00000000" w:rsidRPr="00EA3ECE" w:rsidP="00EA3ECE">
            <w:pPr>
              <w:pStyle w:val="ListBullet2"/>
            </w:pPr>
            <w:r w:rsidRPr="00EA3ECE">
              <w:t>Apply sustainable energy principles and practices as specified in the Perfor</w:t>
            </w:r>
            <w:r w:rsidRPr="00EA3ECE">
              <w:t>mance Criteria and Range Statement</w:t>
            </w:r>
          </w:p>
          <w:p w:rsidR="00000000" w:rsidRPr="00EA3ECE" w:rsidP="00EA3ECE">
            <w:pPr>
              <w:pStyle w:val="ListBullet2"/>
            </w:pPr>
            <w:r w:rsidRPr="00EA3ECE">
              <w:t>Demonstrate an understanding of the essential knowledge and associated skills as described in 6) Essential Knowledge and Associated Skills of this unit</w:t>
            </w:r>
          </w:p>
          <w:p w:rsidR="00000000" w:rsidRPr="00EA3ECE" w:rsidP="00EA3ECE">
            <w:pPr>
              <w:pStyle w:val="ListBullet2"/>
            </w:pPr>
            <w:r w:rsidRPr="00EA3ECE">
              <w:t>Demonstrate an appropriate level of employability skills</w:t>
            </w:r>
          </w:p>
          <w:p w:rsidR="00000000" w:rsidRPr="00EA3ECE" w:rsidP="00EA3ECE">
            <w:pPr>
              <w:pStyle w:val="ListBullet2"/>
            </w:pPr>
            <w:r w:rsidRPr="00EA3ECE">
              <w:t>Conduct work</w:t>
            </w:r>
            <w:r w:rsidRPr="00EA3ECE">
              <w:t xml:space="preserve"> observing the relevant Anti-Discrimination legislation, regulations, polices and workplace procedure</w:t>
            </w:r>
          </w:p>
          <w:p w:rsidR="00000000" w:rsidRPr="00EA3ECE" w:rsidP="00EA3ECE">
            <w:pPr>
              <w:pStyle w:val="ListBullet"/>
            </w:pPr>
            <w:r w:rsidRPr="00EA3ECE">
              <w:t>Demonstrated performance across a representative range of contexts from the prescribed items below:</w:t>
            </w:r>
          </w:p>
          <w:p w:rsidR="00000000" w:rsidRPr="00EA3ECE" w:rsidP="00EA3ECE">
            <w:pPr>
              <w:pStyle w:val="ListBullet2"/>
            </w:pPr>
            <w:r w:rsidRPr="00EA3ECE">
              <w:t>Relating environmental plans and procedures to the p</w:t>
            </w:r>
            <w:r w:rsidRPr="00EA3ECE">
              <w:t>roject/site; identifying environmental risks and impacts; integrating operational activities into reviews of environmental procedures; developing project/site procedures; applying environmental plans and procedures to the project/site; monitoring applicati</w:t>
            </w:r>
            <w:r w:rsidRPr="00EA3ECE">
              <w:t>on of environmental plans and procedures; managing environmental incidents at the project/site.</w:t>
            </w:r>
          </w:p>
          <w:p w:rsidR="00000000" w:rsidRPr="00EA3ECE" w:rsidP="00EA3ECE">
            <w:pPr>
              <w:pStyle w:val="ListBullet2"/>
            </w:pPr>
            <w:r w:rsidRPr="00EA3ECE">
              <w:t>Dealing with an unplanned event by drawing on essential knowledge and skills to provide appropriate solutions incorporated in the holistic assessment with the a</w:t>
            </w:r>
            <w:r w:rsidRPr="00EA3ECE">
              <w:t>bove listed items.</w:t>
            </w:r>
          </w:p>
        </w:tc>
      </w:tr>
    </w:tbl>
    <w:p w:rsidR="00000000" w:rsidRPr="00EA3ECE" w:rsidP="00EA3ECE">
      <w:pPr>
        <w:pStyle w:val="BodyText"/>
      </w:pPr>
    </w:p>
    <w:tbl>
      <w:tblPr>
        <w:tblW w:w="0" w:type="auto"/>
        <w:tblLayout w:type="fixed"/>
        <w:tblCellMar>
          <w:left w:w="62" w:type="dxa"/>
          <w:right w:w="62" w:type="dxa"/>
        </w:tblCellMar>
        <w:tblLook w:val="0000"/>
      </w:tblPr>
      <w:tblGrid>
        <w:gridCol w:w="1890"/>
        <w:gridCol w:w="6570"/>
      </w:tblGrid>
      <w:tr w:rsidTr="00697FD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9.3)</w:t>
            </w:r>
          </w:p>
        </w:tc>
      </w:tr>
      <w:tr w:rsidTr="00697FD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This unit should be assessed as it relates to normal work practice using procedures, information and resources typical of a workplace. This should include:</w:t>
            </w:r>
          </w:p>
          <w:p w:rsidR="00000000" w:rsidRPr="00EA3ECE" w:rsidP="00EA3ECE">
            <w:pPr>
              <w:pStyle w:val="ListBullet"/>
            </w:pPr>
            <w:r w:rsidRPr="00EA3ECE">
              <w:t>OHS policy and work procedures and instructions.</w:t>
            </w:r>
          </w:p>
          <w:p w:rsidR="00000000" w:rsidRPr="00EA3ECE" w:rsidP="00EA3ECE">
            <w:pPr>
              <w:pStyle w:val="ListBullet"/>
            </w:pPr>
            <w:r w:rsidRPr="00EA3ECE">
              <w:t>Suitable work environment, facilities, equipment and materials to undertake actual work as prescribed by this unit.</w:t>
            </w:r>
          </w:p>
          <w:p w:rsidR="00000000" w:rsidRPr="00EA3ECE" w:rsidP="00EA3ECE">
            <w:pPr>
              <w:pStyle w:val="BodyText"/>
            </w:pPr>
            <w:r w:rsidRPr="00EA3ECE">
              <w:t>Competency Standards should be assessed in the workplace or simulated workplace and under the normal range of workplace conditions.</w:t>
            </w:r>
          </w:p>
          <w:p w:rsidR="00000000" w:rsidRPr="00EA3ECE" w:rsidP="00EA3ECE">
            <w:pPr>
              <w:pStyle w:val="BodyText"/>
            </w:pPr>
            <w:r w:rsidRPr="00EA3ECE">
              <w:t>Assessment of this unit will be supported with documentary evidence, by means of endorsement stating type and application of</w:t>
            </w:r>
            <w:r w:rsidRPr="00EA3ECE">
              <w:t xml:space="preserve"> work.</w:t>
            </w:r>
          </w:p>
          <w:p w:rsidR="00000000" w:rsidRPr="00EA3ECE" w:rsidP="00EA3ECE">
            <w:pPr>
              <w:pStyle w:val="BodyText"/>
            </w:pPr>
            <w:r w:rsidRPr="00EA3ECE">
              <w:t>In addition to the resources listed above in Context of assessment’, evidence should show competency working in limited spaces with different types of plant and equipment as well as different structural/construction types and methods and in a variet</w:t>
            </w:r>
            <w:r w:rsidRPr="00EA3ECE">
              <w:t>y of environments.</w:t>
            </w:r>
          </w:p>
        </w:tc>
      </w:tr>
    </w:tbl>
    <w:p w:rsidR="00000000" w:rsidRPr="00EA3ECE" w:rsidP="00EA3ECE">
      <w:pPr>
        <w:pStyle w:val="BodyText"/>
      </w:pPr>
    </w:p>
    <w:tbl>
      <w:tblPr>
        <w:tblW w:w="0" w:type="auto"/>
        <w:tblLayout w:type="fixed"/>
        <w:tblCellMar>
          <w:left w:w="62" w:type="dxa"/>
          <w:right w:w="62" w:type="dxa"/>
        </w:tblCellMar>
        <w:tblLook w:val="0000"/>
      </w:tblPr>
      <w:tblGrid>
        <w:gridCol w:w="1890"/>
        <w:gridCol w:w="6570"/>
      </w:tblGrid>
      <w:tr w:rsidTr="00697F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9.4)</w:t>
            </w:r>
          </w:p>
        </w:tc>
      </w:tr>
      <w:tr w:rsidTr="00697F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 xml:space="preserve">This unit shall be assessed by methods given in Section 1.3.00 Assessment Guidelines.Note: </w:t>
            </w:r>
          </w:p>
          <w:p w:rsidR="00000000" w:rsidRPr="00EA3ECE" w:rsidP="00EA3ECE">
            <w:pPr>
              <w:pStyle w:val="BodyText"/>
            </w:pPr>
            <w:r w:rsidRPr="00EA3ECE">
              <w:t>Competent performance with inherent safe working practices is expected in the Industry to which this unit applies. This requires that the specified essential knowledge and associated skills are assessed in a structured environment which is primarily intend</w:t>
            </w:r>
            <w:r w:rsidRPr="00EA3ECE">
              <w:t>ed for learning/assessment and incorporates all necessary equipment and facilities for learners to develop and demonstrate the essential knowledge and skills described in this unit.</w:t>
            </w:r>
          </w:p>
        </w:tc>
      </w:tr>
    </w:tbl>
    <w:p w:rsidR="00000000" w:rsidRPr="00EA3ECE" w:rsidP="00EA3ECE">
      <w:pPr>
        <w:pStyle w:val="BodyText"/>
      </w:pPr>
    </w:p>
    <w:tbl>
      <w:tblPr>
        <w:tblW w:w="0" w:type="auto"/>
        <w:tblLayout w:type="fixed"/>
        <w:tblCellMar>
          <w:left w:w="62" w:type="dxa"/>
          <w:right w:w="62" w:type="dxa"/>
        </w:tblCellMar>
        <w:tblLook w:val="0000"/>
      </w:tblPr>
      <w:tblGrid>
        <w:gridCol w:w="1890"/>
        <w:gridCol w:w="6570"/>
      </w:tblGrid>
      <w:tr w:rsidTr="00697F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9.5)</w:t>
            </w:r>
          </w:p>
        </w:tc>
      </w:tr>
      <w:tr w:rsidTr="00697FD0">
        <w:tblPrEx>
          <w:tblW w:w="0" w:type="auto"/>
          <w:tblLayout w:type="fixed"/>
          <w:tblCellMar>
            <w:left w:w="62" w:type="dxa"/>
            <w:right w:w="62" w:type="dxa"/>
          </w:tblCellMar>
          <w:tblLook w:val="0000"/>
        </w:tblPrEx>
        <w:trPr>
          <w:trHeight w:val="153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There are</w:t>
            </w:r>
            <w:r w:rsidRPr="00EA3ECE">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EA3ECE" w:rsidP="00EA3ECE">
            <w:pPr>
              <w:pStyle w:val="BodyText"/>
            </w:pPr>
            <w:r w:rsidRPr="00EA3ECE">
              <w:t>Nil</w:t>
            </w:r>
            <w:r w:rsidRPr="00EA3ECE">
              <w:tab/>
            </w:r>
          </w:p>
        </w:tc>
      </w:tr>
    </w:tbl>
    <w:p w:rsidR="00000000" w:rsidRPr="00EA3ECE" w:rsidP="00EA3ECE">
      <w:pPr>
        <w:pStyle w:val="BodyText"/>
      </w:pPr>
    </w:p>
    <w:p w:rsidR="00000000" w:rsidRPr="00EA3ECE" w:rsidP="00EA3ECE">
      <w:pPr>
        <w:pStyle w:val="AllowPageBreak"/>
      </w:pPr>
    </w:p>
    <w:p w:rsidR="00000000" w:rsidRPr="00EA3ECE" w:rsidP="00EA3ECE">
      <w:pPr>
        <w:pStyle w:val="Heading1"/>
      </w:pPr>
      <w:bookmarkStart w:id="11" w:name="O_474566"/>
      <w:bookmarkEnd w:id="11"/>
      <w:r w:rsidRPr="00EA3ECE">
        <w:t xml:space="preserve">Range </w:t>
      </w:r>
      <w:r w:rsidRPr="00EA3ECE">
        <w:t>Statement</w:t>
      </w:r>
    </w:p>
    <w:tbl>
      <w:tblPr>
        <w:tblW w:w="0" w:type="auto"/>
        <w:tblLayout w:type="fixed"/>
        <w:tblCellMar>
          <w:left w:w="62" w:type="dxa"/>
          <w:right w:w="62" w:type="dxa"/>
        </w:tblCellMar>
        <w:tblLook w:val="0000"/>
      </w:tblPr>
      <w:tblGrid>
        <w:gridCol w:w="8460"/>
      </w:tblGrid>
      <w:tr w:rsidTr="00697F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RANGE STATEMENT</w:t>
            </w:r>
          </w:p>
        </w:tc>
      </w:tr>
      <w:tr w:rsidTr="00697F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10)</w:t>
            </w:r>
            <w:r w:rsidRPr="00EA3ECE">
              <w:t xml:space="preserve"> This relates to the competency standard unit as a whole, providing the range of contexts and </w:t>
            </w:r>
            <w:r w:rsidRPr="00EA3ECE">
              <w:t>conditions to which the Performance Criteria apply. It allows for different work environments and situations that will affect performance.</w:t>
            </w:r>
          </w:p>
          <w:p w:rsidR="00000000" w:rsidRPr="00EA3ECE" w:rsidP="00EA3ECE">
            <w:pPr>
              <w:pStyle w:val="BodyText"/>
            </w:pPr>
            <w:r w:rsidRPr="00EA3ECE">
              <w:t>Environmental impact is any change to the environment whether adverse or beneficial, wholly or partially resulting fr</w:t>
            </w:r>
            <w:r w:rsidRPr="00EA3ECE">
              <w:t>om an enterprise’s activities, products or services.</w:t>
            </w:r>
          </w:p>
          <w:p w:rsidR="00000000" w:rsidRPr="00EA3ECE" w:rsidP="00EA3ECE">
            <w:pPr>
              <w:pStyle w:val="BodyText"/>
            </w:pPr>
            <w:r w:rsidRPr="00EA3ECE">
              <w:t>Specific project/site may include hydro storage dams, canals, rivers, spillways, drainage sites, workshops, waste disposal sites, power stations, maintenance sites.</w:t>
            </w:r>
          </w:p>
          <w:p w:rsidR="00000000" w:rsidRPr="00EA3ECE" w:rsidP="00EA3ECE">
            <w:pPr>
              <w:pStyle w:val="BodyText"/>
            </w:pPr>
            <w:r w:rsidRPr="00EA3ECE">
              <w:t>Issues, which broad environmental plan</w:t>
            </w:r>
            <w:r w:rsidRPr="00EA3ECE">
              <w:t>s and procedures may address, include, but are not restricted to:</w:t>
            </w:r>
          </w:p>
          <w:p w:rsidR="00000000" w:rsidRPr="00EA3ECE" w:rsidP="00EA3ECE">
            <w:pPr>
              <w:pStyle w:val="BodyText"/>
            </w:pPr>
            <w:r w:rsidRPr="00EA3ECE">
              <w:t xml:space="preserve">National, State or local government; local government/regional development plans; water resources; industry/cross industry; business/enterprise cultural, heritage; conservation/flora/fauna; </w:t>
            </w:r>
            <w:r w:rsidRPr="00EA3ECE">
              <w:t>waste disposal; coastal protection; ground water protection; irrigation; salination control; pollution/litter control; river/surface water systems; chemical management; biological control, i.e. blue green algae; corporate or enterprise.</w:t>
            </w:r>
          </w:p>
          <w:p w:rsidR="00000000" w:rsidRPr="00EA3ECE" w:rsidP="00EA3ECE">
            <w:pPr>
              <w:pStyle w:val="BodyText"/>
            </w:pPr>
            <w:r w:rsidRPr="00EA3ECE">
              <w:t>Environmental risks</w:t>
            </w:r>
            <w:r w:rsidRPr="00EA3ECE">
              <w:t xml:space="preserve"> may include:</w:t>
            </w:r>
          </w:p>
          <w:p w:rsidR="00000000" w:rsidRPr="00EA3ECE" w:rsidP="00EA3ECE">
            <w:pPr>
              <w:pStyle w:val="BodyText"/>
            </w:pPr>
            <w:r w:rsidRPr="00EA3ECE">
              <w:t>impact of mismanagement of chemicals; impact of mismanagement of biological agents; detrimental impact on limited water resources; spillage; waste disposal; detrimental impact on water catchment areas (urban and non-urban); detrimental impact</w:t>
            </w:r>
            <w:r w:rsidRPr="00EA3ECE">
              <w:t xml:space="preserve"> on rivers, waterways and channels; unsatisfactory water and waste water treatment processes; unsatisfactory trade waste treatment and disposal processes; poor construction processes; planning deficiencies.</w:t>
            </w:r>
          </w:p>
          <w:p w:rsidR="00000000" w:rsidRPr="00EA3ECE" w:rsidP="00EA3ECE">
            <w:pPr>
              <w:pStyle w:val="BodyText"/>
            </w:pPr>
            <w:r w:rsidRPr="00EA3ECE">
              <w:t>Environmental legislation may include:</w:t>
            </w:r>
          </w:p>
          <w:p w:rsidR="00000000" w:rsidRPr="00EA3ECE" w:rsidP="00EA3ECE">
            <w:pPr>
              <w:pStyle w:val="BodyText"/>
            </w:pPr>
            <w:r w:rsidRPr="00EA3ECE">
              <w:t>Relevant f</w:t>
            </w:r>
            <w:r w:rsidRPr="00EA3ECE">
              <w:t>ederal by-laws; relevant State/Territory legislation; relevant local government by-laws; relevant government or quasi government policies and regulations.</w:t>
            </w:r>
          </w:p>
          <w:p w:rsidR="00000000" w:rsidRPr="00EA3ECE" w:rsidP="00EA3ECE">
            <w:pPr>
              <w:pStyle w:val="BodyText"/>
            </w:pPr>
            <w:r w:rsidRPr="00EA3ECE">
              <w:t>Incidents of environmental impact may include:</w:t>
            </w:r>
          </w:p>
          <w:p w:rsidR="00000000" w:rsidRPr="00EA3ECE" w:rsidP="00EA3ECE">
            <w:pPr>
              <w:pStyle w:val="BodyText"/>
            </w:pPr>
            <w:r w:rsidRPr="00EA3ECE">
              <w:t>emissions to air; releases to/of water; releases to la</w:t>
            </w:r>
            <w:r w:rsidRPr="00EA3ECE">
              <w:t>nd; vibration and noise; disposal of waste; contamination of land; impact on communities; destruction of habitat; use of energy sources; waste generation processes and technologies; impact on culturally significant sites; and may involve the implementation</w:t>
            </w:r>
            <w:r w:rsidRPr="00EA3ECE">
              <w:t xml:space="preserve"> of emergency responses.</w:t>
            </w:r>
          </w:p>
          <w:p w:rsidR="00000000" w:rsidRPr="00EA3ECE" w:rsidP="00EA3ECE">
            <w:pPr>
              <w:pStyle w:val="BodyText"/>
            </w:pPr>
            <w:r w:rsidRPr="00EA3ECE">
              <w:t>Environmental management documentation may include:</w:t>
            </w:r>
          </w:p>
          <w:p w:rsidR="00000000" w:rsidRPr="00EA3ECE" w:rsidP="00EA3ECE">
            <w:pPr>
              <w:pStyle w:val="BodyText"/>
            </w:pPr>
            <w:r w:rsidRPr="00EA3ECE">
              <w:t>information on applicable environmental laws or other requirements; compliant records; training records; process information; process operational log books,; inspection, maintenan</w:t>
            </w:r>
            <w:r w:rsidRPr="00EA3ECE">
              <w:t>ce and calibration records; relevant contractor and supplier information; incident reports; information on emergency preparedness and response; records of significant environmental impacts; chain of custody and compliance records; audit results; management</w:t>
            </w:r>
            <w:r w:rsidRPr="00EA3ECE">
              <w:t xml:space="preserve"> reviews.</w:t>
            </w:r>
          </w:p>
          <w:p w:rsidR="00000000" w:rsidRPr="00EA3ECE" w:rsidP="00EA3ECE">
            <w:pPr>
              <w:pStyle w:val="BodyText"/>
            </w:pPr>
            <w:r w:rsidRPr="00EA3ECE">
              <w:t>Stakeholders may include:</w:t>
            </w:r>
          </w:p>
          <w:p w:rsidR="00000000" w:rsidRPr="00EA3ECE" w:rsidP="00EA3ECE">
            <w:pPr>
              <w:pStyle w:val="BodyText"/>
            </w:pPr>
            <w:r w:rsidRPr="00EA3ECE">
              <w:t>the enterprise; government (all levels); industry – extractive, other utilities, manufacturing, etc.; community action groups; environmental conservation groups; land care groups; primary producers; the general community</w:t>
            </w:r>
            <w:r w:rsidRPr="00EA3ECE">
              <w:t xml:space="preserve"> and individuals; ATSI groups.</w:t>
            </w:r>
          </w:p>
          <w:p w:rsidR="00000000" w:rsidRPr="00EA3ECE" w:rsidP="00EA3ECE">
            <w:pPr>
              <w:pStyle w:val="BodyText"/>
            </w:pPr>
            <w:r w:rsidRPr="00EA3ECE">
              <w:t>Generic terms are used throughout this Training Package for vocational standard shall be regarded as part of the Range Statement in which competency is demonstrated. The definition of these and other terms are given in Sectio</w:t>
            </w:r>
            <w:r w:rsidRPr="00EA3ECE">
              <w:t>n 2.1 Preliminary Information and Glossaries.</w:t>
            </w:r>
          </w:p>
        </w:tc>
      </w:tr>
    </w:tbl>
    <w:p w:rsidR="00000000" w:rsidRPr="00EA3ECE" w:rsidP="00EA3ECE">
      <w:pPr>
        <w:pStyle w:val="BodyText"/>
      </w:pPr>
    </w:p>
    <w:p w:rsidR="00000000" w:rsidRPr="00EA3ECE" w:rsidP="00EA3ECE">
      <w:pPr>
        <w:pStyle w:val="AllowPageBreak"/>
      </w:pPr>
    </w:p>
    <w:p w:rsidR="00000000" w:rsidRPr="00EA3ECE" w:rsidP="00EA3ECE">
      <w:pPr>
        <w:pStyle w:val="Heading1"/>
      </w:pPr>
      <w:bookmarkStart w:id="12" w:name="O_474569"/>
      <w:bookmarkEnd w:id="12"/>
      <w:r w:rsidRPr="00EA3ECE">
        <w:t>Unit Sector(s)</w:t>
      </w:r>
    </w:p>
    <w:p w:rsidR="00000000" w:rsidRPr="00EA3ECE" w:rsidP="00EA3ECE">
      <w:pPr>
        <w:pStyle w:val="BodyText"/>
      </w:pPr>
      <w:r w:rsidRPr="00EA3ECE">
        <w:t>Not applicable.</w:t>
      </w:r>
    </w:p>
    <w:p w:rsidR="00000000" w:rsidRPr="00EA3ECE" w:rsidP="00EA3ECE">
      <w:pPr>
        <w:pStyle w:val="AllowPageBreak"/>
      </w:pPr>
    </w:p>
    <w:p w:rsidR="00000000" w:rsidRPr="00EA3ECE" w:rsidP="00EA3ECE">
      <w:pPr>
        <w:pStyle w:val="Heading1"/>
      </w:pPr>
      <w:bookmarkStart w:id="13" w:name="O_474558"/>
      <w:bookmarkEnd w:id="13"/>
      <w:r w:rsidRPr="00EA3ECE">
        <w:t>Competency Field</w:t>
      </w:r>
    </w:p>
    <w:tbl>
      <w:tblPr>
        <w:tblW w:w="0" w:type="auto"/>
        <w:tblLayout w:type="fixed"/>
        <w:tblCellMar>
          <w:left w:w="62" w:type="dxa"/>
          <w:right w:w="62" w:type="dxa"/>
        </w:tblCellMar>
        <w:tblLook w:val="0000"/>
      </w:tblPr>
      <w:tblGrid>
        <w:gridCol w:w="2700"/>
        <w:gridCol w:w="5760"/>
      </w:tblGrid>
      <w:tr w:rsidTr="00697F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A3ECE">
            <w:pPr>
              <w:pStyle w:val="BodyText"/>
              <w:rPr>
                <w:lang w:val="en-NZ"/>
              </w:rPr>
            </w:pPr>
            <w:r w:rsidRPr="00EA3ECE">
              <w:rPr>
                <w:rStyle w:val="SpecialBold"/>
              </w:rPr>
              <w:t xml:space="preserve">11) </w:t>
            </w:r>
          </w:p>
        </w:tc>
      </w:tr>
      <w:tr w:rsidTr="00697F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3ECE" w:rsidP="00EA3ECE">
            <w:pPr>
              <w:pStyle w:val="BodyText"/>
            </w:pPr>
            <w:r w:rsidRPr="00EA3ECE">
              <w:t>Operations</w:t>
            </w:r>
          </w:p>
        </w:tc>
      </w:tr>
    </w:tbl>
    <w:p w:rsidR="00000000" w:rsidRPr="00EA3ECE" w:rsidP="00EA3ECE">
      <w:pPr>
        <w:pStyle w:val="BodyText"/>
      </w:pPr>
    </w:p>
    <w:p w:rsidR="00000000" w:rsidRPr="00EA3ECE" w:rsidP="00EA3ECE"/>
    <w:sectPr w:rsidSect="00EA3E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FD0" w:rsidP="00697F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D0" w:rsidP="00EA3E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7FD0" w:rsidP="00EA3E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97FD0" w:rsidP="00EA3E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CE" w:rsidRPr="00697FD0" w:rsidP="00697F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D0" w:rsidRPr="002D2AF8" w:rsidP="00EA3ECE">
    <w:pPr>
      <w:pStyle w:val="Header"/>
      <w:framePr w:wrap="around"/>
    </w:pPr>
    <w:r>
      <w:fldChar w:fldCharType="begin"/>
    </w:r>
    <w:r>
      <w:instrText xml:space="preserve"> TITLE   \* MERGEFORMAT </w:instrText>
    </w:r>
    <w:r>
      <w:fldChar w:fldCharType="separate"/>
    </w:r>
    <w:r>
      <w:t>UEPOPS417B Monitor and implement environmental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97FD0" w:rsidP="00EA3E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00D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41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2AD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E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ECE"/>
    <w:pPr>
      <w:spacing w:before="360" w:after="60"/>
      <w:outlineLvl w:val="0"/>
    </w:pPr>
    <w:rPr>
      <w:sz w:val="32"/>
    </w:rPr>
  </w:style>
  <w:style w:type="paragraph" w:styleId="Heading2">
    <w:name w:val="heading 2"/>
    <w:basedOn w:val="HeadingBase"/>
    <w:next w:val="BodyText"/>
    <w:link w:val="Heading2Char"/>
    <w:qFormat/>
    <w:rsid w:val="00EA3ECE"/>
    <w:pPr>
      <w:keepLines/>
      <w:spacing w:before="240" w:after="120"/>
      <w:outlineLvl w:val="1"/>
    </w:pPr>
    <w:rPr>
      <w:sz w:val="28"/>
      <w:szCs w:val="40"/>
    </w:rPr>
  </w:style>
  <w:style w:type="paragraph" w:styleId="Heading3">
    <w:name w:val="heading 3"/>
    <w:basedOn w:val="HeadingBase"/>
    <w:next w:val="BodyText"/>
    <w:link w:val="Heading3Char"/>
    <w:qFormat/>
    <w:rsid w:val="00EA3ECE"/>
    <w:pPr>
      <w:spacing w:before="180" w:after="120"/>
      <w:outlineLvl w:val="2"/>
    </w:pPr>
    <w:rPr>
      <w:spacing w:val="-10"/>
      <w:kern w:val="32"/>
    </w:rPr>
  </w:style>
  <w:style w:type="paragraph" w:styleId="Heading4">
    <w:name w:val="heading 4"/>
    <w:basedOn w:val="HeadingBase"/>
    <w:next w:val="BodyText"/>
    <w:link w:val="Heading4Char"/>
    <w:qFormat/>
    <w:rsid w:val="00EA3ECE"/>
    <w:pPr>
      <w:spacing w:before="160" w:after="120"/>
      <w:outlineLvl w:val="3"/>
    </w:pPr>
    <w:rPr>
      <w:sz w:val="22"/>
    </w:rPr>
  </w:style>
  <w:style w:type="paragraph" w:styleId="Heading5">
    <w:name w:val="heading 5"/>
    <w:basedOn w:val="HeadingBase"/>
    <w:next w:val="Normal"/>
    <w:link w:val="Heading5Char"/>
    <w:qFormat/>
    <w:rsid w:val="00EA3ECE"/>
    <w:pPr>
      <w:spacing w:before="80"/>
      <w:outlineLvl w:val="4"/>
    </w:pPr>
    <w:rPr>
      <w:color w:val="918585"/>
      <w:sz w:val="20"/>
    </w:rPr>
  </w:style>
  <w:style w:type="paragraph" w:styleId="Heading6">
    <w:name w:val="heading 6"/>
    <w:basedOn w:val="HeadingBase"/>
    <w:next w:val="Normal"/>
    <w:link w:val="Heading6Char"/>
    <w:qFormat/>
    <w:rsid w:val="00EA3ECE"/>
    <w:pPr>
      <w:spacing w:before="60"/>
      <w:outlineLvl w:val="5"/>
    </w:pPr>
    <w:rPr>
      <w:color w:val="918585"/>
      <w:sz w:val="20"/>
    </w:rPr>
  </w:style>
  <w:style w:type="paragraph" w:styleId="Heading7">
    <w:name w:val="heading 7"/>
    <w:basedOn w:val="Normal"/>
    <w:next w:val="Normal"/>
    <w:link w:val="Heading7Char"/>
    <w:qFormat/>
    <w:rsid w:val="00EA3ECE"/>
    <w:pPr>
      <w:ind w:left="720"/>
      <w:outlineLvl w:val="6"/>
    </w:pPr>
    <w:rPr>
      <w:i/>
    </w:rPr>
  </w:style>
  <w:style w:type="paragraph" w:styleId="Heading8">
    <w:name w:val="heading 8"/>
    <w:basedOn w:val="Normal"/>
    <w:next w:val="Normal"/>
    <w:link w:val="Heading8Char"/>
    <w:qFormat/>
    <w:rsid w:val="00EA3ECE"/>
    <w:pPr>
      <w:ind w:left="720"/>
      <w:outlineLvl w:val="7"/>
    </w:pPr>
    <w:rPr>
      <w:i/>
    </w:rPr>
  </w:style>
  <w:style w:type="paragraph" w:styleId="Heading9">
    <w:name w:val="heading 9"/>
    <w:basedOn w:val="Normal"/>
    <w:next w:val="Normal"/>
    <w:link w:val="Heading9Char"/>
    <w:qFormat/>
    <w:rsid w:val="00EA3ECE"/>
    <w:pPr>
      <w:ind w:left="720"/>
      <w:outlineLvl w:val="8"/>
    </w:pPr>
    <w:rPr>
      <w:i/>
    </w:rPr>
  </w:style>
  <w:style w:type="character" w:default="1" w:styleId="DefaultParagraphFont">
    <w:name w:val="Default Paragraph Font"/>
    <w:uiPriority w:val="1"/>
    <w:unhideWhenUsed/>
    <w:rsid w:val="00EA3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ECE"/>
  </w:style>
  <w:style w:type="character" w:customStyle="1" w:styleId="Heading1Char">
    <w:name w:val="Heading 1 Char"/>
    <w:basedOn w:val="DefaultParagraphFont"/>
    <w:link w:val="Heading1"/>
    <w:rsid w:val="00EA3ECE"/>
    <w:rPr>
      <w:rFonts w:ascii="Times New Roman" w:eastAsia="Times New Roman" w:hAnsi="Times New Roman" w:cs="Times New Roman"/>
      <w:b/>
      <w:sz w:val="32"/>
      <w:szCs w:val="20"/>
      <w:lang w:eastAsia="en-US"/>
    </w:rPr>
  </w:style>
  <w:style w:type="paragraph" w:styleId="BodyText">
    <w:name w:val="Body Text"/>
    <w:basedOn w:val="Normal"/>
    <w:link w:val="BodyTextChar"/>
    <w:rsid w:val="00EA3E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3ECE"/>
    <w:rPr>
      <w:rFonts w:ascii="Times New Roman" w:eastAsia="Times New Roman" w:hAnsi="Times New Roman" w:cs="Times New Roman"/>
      <w:sz w:val="24"/>
      <w:lang w:eastAsia="en-US"/>
    </w:rPr>
  </w:style>
  <w:style w:type="paragraph" w:styleId="Footer">
    <w:name w:val="footer"/>
    <w:basedOn w:val="Normal"/>
    <w:link w:val="FooterChar"/>
    <w:rsid w:val="00EA3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ECE"/>
    <w:rPr>
      <w:rFonts w:ascii="Times New Roman" w:eastAsia="Times New Roman" w:hAnsi="Times New Roman" w:cs="Times New Roman"/>
      <w:sz w:val="16"/>
      <w:lang w:eastAsia="en-US"/>
    </w:rPr>
  </w:style>
  <w:style w:type="paragraph" w:styleId="ListBullet">
    <w:name w:val="List Bullet"/>
    <w:basedOn w:val="List"/>
    <w:rsid w:val="00EA3ECE"/>
    <w:pPr>
      <w:numPr>
        <w:numId w:val="13"/>
      </w:numPr>
      <w:tabs>
        <w:tab w:val="clear" w:pos="340"/>
      </w:tabs>
      <w:spacing w:before="40" w:after="40"/>
    </w:pPr>
  </w:style>
  <w:style w:type="character" w:customStyle="1" w:styleId="SpecialBold">
    <w:name w:val="Special Bold"/>
    <w:basedOn w:val="DefaultParagraphFont"/>
    <w:rsid w:val="00EA3ECE"/>
    <w:rPr>
      <w:b/>
      <w:spacing w:val="0"/>
    </w:rPr>
  </w:style>
  <w:style w:type="paragraph" w:styleId="ListBullet2">
    <w:name w:val="List Bullet 2"/>
    <w:basedOn w:val="List2"/>
    <w:rsid w:val="00EA3ECE"/>
    <w:pPr>
      <w:numPr>
        <w:numId w:val="14"/>
      </w:numPr>
      <w:tabs>
        <w:tab w:val="clear" w:pos="680"/>
      </w:tabs>
    </w:pPr>
  </w:style>
  <w:style w:type="paragraph" w:customStyle="1" w:styleId="SuperHeading">
    <w:name w:val="SuperHeading"/>
    <w:basedOn w:val="Normal"/>
    <w:rsid w:val="00EA3ECE"/>
    <w:pPr>
      <w:spacing w:before="240" w:after="120"/>
      <w:outlineLvl w:val="0"/>
    </w:pPr>
    <w:rPr>
      <w:rFonts w:ascii="Times New Roman" w:hAnsi="Times New Roman"/>
      <w:b/>
      <w:sz w:val="28"/>
    </w:rPr>
  </w:style>
  <w:style w:type="paragraph" w:customStyle="1" w:styleId="AllowPageBreak">
    <w:name w:val="AllowPageBreak"/>
    <w:rsid w:val="00EA3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E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E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E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E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ECE"/>
    <w:rPr>
      <w:rFonts w:ascii="Courier New" w:eastAsia="Times New Roman" w:hAnsi="Courier New" w:cs="Times New Roman"/>
      <w:i/>
      <w:szCs w:val="20"/>
      <w:lang w:eastAsia="en-US"/>
    </w:rPr>
  </w:style>
  <w:style w:type="paragraph" w:customStyle="1" w:styleId="HeadingBase">
    <w:name w:val="Heading Base"/>
    <w:rsid w:val="00EA3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ECE"/>
    <w:pPr>
      <w:tabs>
        <w:tab w:val="right" w:leader="dot" w:pos="9072"/>
      </w:tabs>
      <w:ind w:left="567"/>
    </w:pPr>
    <w:rPr>
      <w:szCs w:val="22"/>
    </w:rPr>
  </w:style>
  <w:style w:type="paragraph" w:customStyle="1" w:styleId="TOCBase">
    <w:name w:val="TOC Base"/>
    <w:rsid w:val="00EA3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ECE"/>
    <w:pPr>
      <w:tabs>
        <w:tab w:val="right" w:leader="dot" w:pos="9072"/>
      </w:tabs>
      <w:spacing w:before="40" w:after="40"/>
      <w:ind w:left="284"/>
    </w:pPr>
    <w:rPr>
      <w:rFonts w:ascii="Times New Roman" w:hAnsi="Times New Roman"/>
    </w:rPr>
  </w:style>
  <w:style w:type="paragraph" w:styleId="TOC1">
    <w:name w:val="toc 1"/>
    <w:basedOn w:val="TOCBase"/>
    <w:next w:val="Normal"/>
    <w:rsid w:val="00EA3E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3ECE"/>
    <w:pPr>
      <w:spacing w:before="5040"/>
      <w:jc w:val="center"/>
    </w:pPr>
    <w:rPr>
      <w:sz w:val="48"/>
      <w:szCs w:val="72"/>
      <w:lang w:val="en-US"/>
    </w:rPr>
  </w:style>
  <w:style w:type="character" w:customStyle="1" w:styleId="TitleChar">
    <w:name w:val="Title Char"/>
    <w:basedOn w:val="DefaultParagraphFont"/>
    <w:link w:val="Title"/>
    <w:rsid w:val="00EA3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ECE"/>
    <w:pPr>
      <w:tabs>
        <w:tab w:val="left" w:pos="3600"/>
        <w:tab w:val="left" w:pos="3958"/>
      </w:tabs>
    </w:pPr>
  </w:style>
  <w:style w:type="paragraph" w:styleId="List">
    <w:name w:val="List"/>
    <w:basedOn w:val="BodyText"/>
    <w:next w:val="BodyText"/>
    <w:rsid w:val="00EA3ECE"/>
    <w:pPr>
      <w:tabs>
        <w:tab w:val="left" w:pos="340"/>
      </w:tabs>
      <w:spacing w:before="60" w:after="60"/>
      <w:ind w:left="340" w:hanging="340"/>
    </w:pPr>
  </w:style>
  <w:style w:type="paragraph" w:customStyle="1" w:styleId="Note">
    <w:name w:val="Note"/>
    <w:basedOn w:val="BodyText"/>
    <w:rsid w:val="00EA3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ECE"/>
    <w:pPr>
      <w:framePr w:wrap="auto" w:hAnchor="text" w:y="6049"/>
    </w:pPr>
    <w:rPr>
      <w:color w:val="000000"/>
      <w:sz w:val="40"/>
    </w:rPr>
  </w:style>
  <w:style w:type="paragraph" w:customStyle="1" w:styleId="TOCTitle">
    <w:name w:val="TOCTitle"/>
    <w:basedOn w:val="Heading1"/>
    <w:rsid w:val="00EA3ECE"/>
    <w:pPr>
      <w:spacing w:after="240"/>
      <w:jc w:val="center"/>
      <w:outlineLvl w:val="9"/>
    </w:pPr>
    <w:rPr>
      <w:caps/>
    </w:rPr>
  </w:style>
  <w:style w:type="paragraph" w:customStyle="1" w:styleId="Version">
    <w:name w:val="Version"/>
    <w:rsid w:val="00EA3E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ECE"/>
    <w:pPr>
      <w:keepNext w:val="0"/>
      <w:tabs>
        <w:tab w:val="right" w:pos="4176"/>
      </w:tabs>
      <w:ind w:left="198" w:hanging="198"/>
    </w:pPr>
    <w:rPr>
      <w:rFonts w:ascii="Garamond" w:hAnsi="Garamond"/>
    </w:rPr>
  </w:style>
  <w:style w:type="paragraph" w:styleId="IndexHeading">
    <w:name w:val="index heading"/>
    <w:basedOn w:val="Normal"/>
    <w:next w:val="Index1"/>
    <w:semiHidden/>
    <w:rsid w:val="00EA3ECE"/>
    <w:pPr>
      <w:spacing w:before="120" w:after="120"/>
    </w:pPr>
    <w:rPr>
      <w:rFonts w:ascii="Arial" w:hAnsi="Arial"/>
      <w:b/>
      <w:color w:val="918585"/>
      <w:sz w:val="24"/>
    </w:rPr>
  </w:style>
  <w:style w:type="paragraph" w:styleId="Header">
    <w:name w:val="header"/>
    <w:basedOn w:val="Normal"/>
    <w:link w:val="HeaderChar"/>
    <w:rsid w:val="00EA3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ECE"/>
    <w:rPr>
      <w:rFonts w:ascii="Times New Roman" w:eastAsia="Times New Roman" w:hAnsi="Times New Roman" w:cs="Times New Roman"/>
      <w:sz w:val="16"/>
      <w:szCs w:val="20"/>
      <w:lang w:val="en-GB" w:eastAsia="en-US"/>
    </w:rPr>
  </w:style>
  <w:style w:type="paragraph" w:customStyle="1" w:styleId="Chapter">
    <w:name w:val="Chapter"/>
    <w:basedOn w:val="Normal"/>
    <w:rsid w:val="00EA3ECE"/>
    <w:pPr>
      <w:spacing w:before="240"/>
    </w:pPr>
    <w:rPr>
      <w:rFonts w:ascii="Times New Roman" w:hAnsi="Times New Roman"/>
      <w:smallCaps/>
      <w:spacing w:val="80"/>
      <w:sz w:val="28"/>
    </w:rPr>
  </w:style>
  <w:style w:type="paragraph" w:customStyle="1" w:styleId="InChapter">
    <w:name w:val="InChapter"/>
    <w:basedOn w:val="Heading3"/>
    <w:rsid w:val="00EA3ECE"/>
    <w:pPr>
      <w:spacing w:after="240"/>
      <w:outlineLvl w:val="9"/>
    </w:pPr>
    <w:rPr>
      <w:noProof/>
    </w:rPr>
  </w:style>
  <w:style w:type="paragraph" w:styleId="Index2">
    <w:name w:val="index 2"/>
    <w:basedOn w:val="Normal"/>
    <w:next w:val="Normal"/>
    <w:semiHidden/>
    <w:rsid w:val="00EA3ECE"/>
    <w:pPr>
      <w:tabs>
        <w:tab w:val="right" w:pos="4176"/>
      </w:tabs>
      <w:ind w:left="568" w:hanging="284"/>
    </w:pPr>
    <w:rPr>
      <w:rFonts w:ascii="Garamond" w:hAnsi="Garamond"/>
    </w:rPr>
  </w:style>
  <w:style w:type="paragraph" w:customStyle="1" w:styleId="Byline">
    <w:name w:val="Byline"/>
    <w:rsid w:val="00EA3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ECE"/>
    <w:pPr>
      <w:tabs>
        <w:tab w:val="clear" w:pos="3600"/>
        <w:tab w:val="clear" w:pos="3958"/>
      </w:tabs>
      <w:jc w:val="right"/>
    </w:pPr>
  </w:style>
  <w:style w:type="character" w:styleId="Emphasis">
    <w:name w:val="Emphasis"/>
    <w:basedOn w:val="DefaultParagraphFont"/>
    <w:qFormat/>
    <w:rsid w:val="00EA3ECE"/>
    <w:rPr>
      <w:i/>
    </w:rPr>
  </w:style>
  <w:style w:type="paragraph" w:styleId="Caption">
    <w:name w:val="caption"/>
    <w:basedOn w:val="BodyText"/>
    <w:next w:val="Normal"/>
    <w:qFormat/>
    <w:rsid w:val="00EA3ECE"/>
    <w:pPr>
      <w:framePr w:w="2268" w:hSpace="181" w:vSpace="181" w:wrap="around" w:vAnchor="text" w:hAnchor="page" w:x="1135" w:y="285" w:anchorLock="1"/>
    </w:pPr>
    <w:rPr>
      <w:i/>
    </w:rPr>
  </w:style>
  <w:style w:type="paragraph" w:customStyle="1" w:styleId="MiniTOCTitle">
    <w:name w:val="MiniTOCTitle"/>
    <w:basedOn w:val="Heading4"/>
    <w:rsid w:val="00EA3ECE"/>
    <w:pPr>
      <w:spacing w:before="240"/>
      <w:outlineLvl w:val="9"/>
    </w:pPr>
    <w:rPr>
      <w:noProof/>
      <w:sz w:val="24"/>
    </w:rPr>
  </w:style>
  <w:style w:type="paragraph" w:customStyle="1" w:styleId="MiniTOCItem">
    <w:name w:val="MiniTOCItem"/>
    <w:basedOn w:val="ListBullet"/>
    <w:rsid w:val="00EA3ECE"/>
    <w:pPr>
      <w:numPr>
        <w:numId w:val="0"/>
      </w:numPr>
      <w:tabs>
        <w:tab w:val="right" w:leader="dot" w:pos="6521"/>
      </w:tabs>
      <w:spacing w:before="0" w:after="0"/>
    </w:pPr>
  </w:style>
  <w:style w:type="paragraph" w:customStyle="1" w:styleId="TOFTitle">
    <w:name w:val="TOFTitle"/>
    <w:basedOn w:val="TOCTitle"/>
    <w:rsid w:val="00EA3ECE"/>
  </w:style>
  <w:style w:type="paragraph" w:styleId="TableofFigures">
    <w:name w:val="table of figures"/>
    <w:basedOn w:val="Normal"/>
    <w:next w:val="Normal"/>
    <w:semiHidden/>
    <w:rsid w:val="00EA3ECE"/>
    <w:pPr>
      <w:tabs>
        <w:tab w:val="right" w:leader="dot" w:pos="9072"/>
      </w:tabs>
      <w:ind w:left="970" w:hanging="403"/>
    </w:pPr>
    <w:rPr>
      <w:rFonts w:ascii="Times New Roman" w:hAnsi="Times New Roman"/>
      <w:b/>
    </w:rPr>
  </w:style>
  <w:style w:type="paragraph" w:styleId="ListNumber">
    <w:name w:val="List Number"/>
    <w:basedOn w:val="List"/>
    <w:rsid w:val="00EA3ECE"/>
    <w:pPr>
      <w:numPr>
        <w:numId w:val="11"/>
      </w:numPr>
    </w:pPr>
  </w:style>
  <w:style w:type="character" w:customStyle="1" w:styleId="WingdingSymbols">
    <w:name w:val="Wingding Symbols"/>
    <w:rsid w:val="00EA3ECE"/>
    <w:rPr>
      <w:rFonts w:ascii="Wingdings" w:hAnsi="Wingdings"/>
    </w:rPr>
  </w:style>
  <w:style w:type="paragraph" w:customStyle="1" w:styleId="TableHeading">
    <w:name w:val="Table Heading"/>
    <w:basedOn w:val="HeadingBase"/>
    <w:rsid w:val="00EA3ECE"/>
    <w:pPr>
      <w:keepLines/>
      <w:pBdr>
        <w:bottom w:val="single" w:sz="6" w:space="1" w:color="918585"/>
      </w:pBdr>
      <w:spacing w:before="240"/>
    </w:pPr>
  </w:style>
  <w:style w:type="character" w:customStyle="1" w:styleId="HotSpot">
    <w:name w:val="HotSpot"/>
    <w:rsid w:val="00EA3ECE"/>
    <w:rPr>
      <w:color w:val="0033CC"/>
      <w:u w:val="none"/>
    </w:rPr>
  </w:style>
  <w:style w:type="paragraph" w:customStyle="1" w:styleId="BodyTextRight">
    <w:name w:val="Body Text Right"/>
    <w:basedOn w:val="BodyText"/>
    <w:rsid w:val="00EA3ECE"/>
    <w:pPr>
      <w:spacing w:before="0" w:after="0"/>
      <w:jc w:val="right"/>
    </w:pPr>
  </w:style>
  <w:style w:type="paragraph" w:styleId="Index3">
    <w:name w:val="index 3"/>
    <w:basedOn w:val="ListNumber2"/>
    <w:next w:val="Normal"/>
    <w:semiHidden/>
    <w:rsid w:val="00EA3ECE"/>
    <w:pPr>
      <w:numPr>
        <w:numId w:val="0"/>
      </w:numPr>
      <w:tabs>
        <w:tab w:val="right" w:leader="dot" w:pos="4176"/>
      </w:tabs>
    </w:pPr>
  </w:style>
  <w:style w:type="paragraph" w:styleId="ListNumber2">
    <w:name w:val="List Number 2"/>
    <w:basedOn w:val="List2"/>
    <w:rsid w:val="00EA3ECE"/>
    <w:pPr>
      <w:numPr>
        <w:numId w:val="10"/>
      </w:numPr>
      <w:tabs>
        <w:tab w:val="clear" w:pos="1060"/>
      </w:tabs>
    </w:pPr>
  </w:style>
  <w:style w:type="paragraph" w:customStyle="1" w:styleId="MarginNote">
    <w:name w:val="Margin Note"/>
    <w:basedOn w:val="BodyText"/>
    <w:rsid w:val="00EA3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E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ECE"/>
    <w:rPr>
      <w:sz w:val="32"/>
    </w:rPr>
  </w:style>
  <w:style w:type="paragraph" w:customStyle="1" w:styleId="HeadingProcedure">
    <w:name w:val="Heading Procedure"/>
    <w:basedOn w:val="HeadingBase"/>
    <w:next w:val="Normal"/>
    <w:rsid w:val="00EA3ECE"/>
    <w:pPr>
      <w:tabs>
        <w:tab w:val="left" w:pos="0"/>
      </w:tabs>
      <w:spacing w:before="120" w:after="60"/>
    </w:pPr>
    <w:rPr>
      <w:i/>
      <w:color w:val="918585"/>
      <w:sz w:val="22"/>
    </w:rPr>
  </w:style>
  <w:style w:type="paragraph" w:customStyle="1" w:styleId="TableBodyText">
    <w:name w:val="Table Body Text"/>
    <w:basedOn w:val="BodyText"/>
    <w:rsid w:val="00EA3ECE"/>
    <w:pPr>
      <w:spacing w:before="60" w:after="60"/>
    </w:pPr>
  </w:style>
  <w:style w:type="paragraph" w:styleId="ListContinue">
    <w:name w:val="List Continue"/>
    <w:basedOn w:val="List"/>
    <w:rsid w:val="00EA3ECE"/>
    <w:pPr>
      <w:ind w:firstLine="0"/>
    </w:pPr>
  </w:style>
  <w:style w:type="paragraph" w:customStyle="1" w:styleId="ListNote">
    <w:name w:val="List Note"/>
    <w:basedOn w:val="List"/>
    <w:rsid w:val="00EA3ECE"/>
    <w:pPr>
      <w:pBdr>
        <w:top w:val="single" w:sz="6" w:space="2" w:color="918585"/>
        <w:bottom w:val="single" w:sz="6" w:space="2" w:color="918585"/>
      </w:pBdr>
      <w:tabs>
        <w:tab w:val="left" w:pos="1021"/>
      </w:tabs>
      <w:ind w:firstLine="0"/>
    </w:pPr>
  </w:style>
  <w:style w:type="paragraph" w:customStyle="1" w:styleId="Warning">
    <w:name w:val="Warning"/>
    <w:basedOn w:val="BodyText"/>
    <w:rsid w:val="00EA3ECE"/>
    <w:pPr>
      <w:shd w:val="clear" w:color="auto" w:fill="D9D9D9"/>
      <w:tabs>
        <w:tab w:val="left" w:pos="992"/>
      </w:tabs>
      <w:ind w:left="119" w:right="119"/>
    </w:pPr>
    <w:rPr>
      <w:sz w:val="20"/>
    </w:rPr>
  </w:style>
  <w:style w:type="paragraph" w:customStyle="1" w:styleId="MarginIcons">
    <w:name w:val="Margin Icons"/>
    <w:basedOn w:val="BodyText"/>
    <w:rsid w:val="00EA3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ECE"/>
    <w:rPr>
      <w:rFonts w:ascii="Courier New" w:hAnsi="Courier New"/>
    </w:rPr>
  </w:style>
  <w:style w:type="paragraph" w:customStyle="1" w:styleId="NoteBullet">
    <w:name w:val="Note Bullet"/>
    <w:basedOn w:val="Note"/>
    <w:rsid w:val="00EA3ECE"/>
    <w:pPr>
      <w:tabs>
        <w:tab w:val="clear" w:pos="680"/>
      </w:tabs>
      <w:spacing w:before="60" w:after="60"/>
    </w:pPr>
  </w:style>
  <w:style w:type="paragraph" w:customStyle="1" w:styleId="SubHeading2">
    <w:name w:val="SubHeading2"/>
    <w:basedOn w:val="HeadingBase"/>
    <w:rsid w:val="00EA3ECE"/>
    <w:pPr>
      <w:spacing w:before="240" w:after="60"/>
    </w:pPr>
    <w:rPr>
      <w:sz w:val="20"/>
    </w:rPr>
  </w:style>
  <w:style w:type="paragraph" w:customStyle="1" w:styleId="SubHeading1">
    <w:name w:val="SubHeading1"/>
    <w:basedOn w:val="HeadingBase"/>
    <w:rsid w:val="00EA3ECE"/>
    <w:pPr>
      <w:spacing w:before="240" w:after="60"/>
    </w:pPr>
    <w:rPr>
      <w:color w:val="918585"/>
      <w:sz w:val="22"/>
    </w:rPr>
  </w:style>
  <w:style w:type="paragraph" w:customStyle="1" w:styleId="SideHeading">
    <w:name w:val="Side Heading"/>
    <w:basedOn w:val="HeadingBase"/>
    <w:rsid w:val="00EA3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ECE"/>
    <w:pPr>
      <w:numPr>
        <w:numId w:val="12"/>
      </w:numPr>
    </w:pPr>
  </w:style>
  <w:style w:type="paragraph" w:styleId="PlainText">
    <w:name w:val="Plain Text"/>
    <w:basedOn w:val="Normal"/>
    <w:link w:val="PlainTextChar"/>
    <w:rsid w:val="00EA3ECE"/>
    <w:rPr>
      <w:sz w:val="20"/>
    </w:rPr>
  </w:style>
  <w:style w:type="character" w:customStyle="1" w:styleId="PlainTextChar">
    <w:name w:val="Plain Text Char"/>
    <w:basedOn w:val="DefaultParagraphFont"/>
    <w:link w:val="PlainText"/>
    <w:rsid w:val="00EA3ECE"/>
    <w:rPr>
      <w:rFonts w:ascii="Courier New" w:eastAsia="Times New Roman" w:hAnsi="Courier New" w:cs="Times New Roman"/>
      <w:sz w:val="20"/>
      <w:szCs w:val="20"/>
      <w:lang w:eastAsia="en-US"/>
    </w:rPr>
  </w:style>
  <w:style w:type="character" w:customStyle="1" w:styleId="MenuOption">
    <w:name w:val="Menu Option"/>
    <w:basedOn w:val="DefaultParagraphFont"/>
    <w:rsid w:val="00EA3ECE"/>
    <w:rPr>
      <w:b/>
      <w:smallCaps/>
    </w:rPr>
  </w:style>
  <w:style w:type="paragraph" w:customStyle="1" w:styleId="TableListNumber">
    <w:name w:val="Table List Number"/>
    <w:basedOn w:val="ListNumber"/>
    <w:rsid w:val="00EA3ECE"/>
    <w:pPr>
      <w:numPr>
        <w:numId w:val="0"/>
      </w:numPr>
    </w:pPr>
  </w:style>
  <w:style w:type="paragraph" w:styleId="TOC4">
    <w:name w:val="toc 4"/>
    <w:basedOn w:val="TOCBase"/>
    <w:next w:val="Normal"/>
    <w:semiHidden/>
    <w:rsid w:val="00EA3ECE"/>
    <w:pPr>
      <w:tabs>
        <w:tab w:val="right" w:leader="dot" w:pos="9071"/>
      </w:tabs>
      <w:ind w:left="1701"/>
    </w:pPr>
  </w:style>
  <w:style w:type="paragraph" w:customStyle="1" w:styleId="ListAlpha">
    <w:name w:val="List Alpha"/>
    <w:basedOn w:val="List"/>
    <w:rsid w:val="00EA3ECE"/>
    <w:pPr>
      <w:numPr>
        <w:numId w:val="9"/>
      </w:numPr>
    </w:pPr>
  </w:style>
  <w:style w:type="paragraph" w:customStyle="1" w:styleId="ListAlpha2">
    <w:name w:val="List Alpha 2"/>
    <w:basedOn w:val="List2"/>
    <w:rsid w:val="00EA3ECE"/>
    <w:pPr>
      <w:numPr>
        <w:numId w:val="8"/>
      </w:numPr>
    </w:pPr>
  </w:style>
  <w:style w:type="paragraph" w:styleId="List2">
    <w:name w:val="List 2"/>
    <w:basedOn w:val="BodyText"/>
    <w:rsid w:val="00EA3ECE"/>
    <w:pPr>
      <w:tabs>
        <w:tab w:val="left" w:pos="680"/>
      </w:tabs>
      <w:spacing w:before="60" w:after="60"/>
      <w:ind w:left="680" w:hanging="340"/>
    </w:pPr>
  </w:style>
  <w:style w:type="paragraph" w:styleId="List3">
    <w:name w:val="List 3"/>
    <w:basedOn w:val="BodyText"/>
    <w:rsid w:val="00EA3ECE"/>
    <w:pPr>
      <w:tabs>
        <w:tab w:val="left" w:pos="1021"/>
      </w:tabs>
      <w:spacing w:before="60" w:after="60"/>
      <w:ind w:left="1020" w:hanging="340"/>
    </w:pPr>
  </w:style>
  <w:style w:type="paragraph" w:styleId="List4">
    <w:name w:val="List 4"/>
    <w:basedOn w:val="BodyText"/>
    <w:rsid w:val="00EA3ECE"/>
    <w:pPr>
      <w:tabs>
        <w:tab w:val="left" w:pos="1361"/>
      </w:tabs>
      <w:spacing w:before="60" w:after="60"/>
      <w:ind w:left="1361" w:hanging="340"/>
    </w:pPr>
  </w:style>
  <w:style w:type="paragraph" w:styleId="List5">
    <w:name w:val="List 5"/>
    <w:basedOn w:val="BodyText"/>
    <w:rsid w:val="00EA3ECE"/>
    <w:pPr>
      <w:tabs>
        <w:tab w:val="left" w:pos="1701"/>
      </w:tabs>
      <w:spacing w:before="60" w:after="60"/>
      <w:ind w:left="1701" w:hanging="340"/>
    </w:pPr>
  </w:style>
  <w:style w:type="paragraph" w:styleId="ListBullet3">
    <w:name w:val="List Bullet 3"/>
    <w:basedOn w:val="List3"/>
    <w:rsid w:val="00EA3ECE"/>
    <w:pPr>
      <w:numPr>
        <w:numId w:val="15"/>
      </w:numPr>
      <w:tabs>
        <w:tab w:val="clear" w:pos="1021"/>
      </w:tabs>
      <w:ind w:left="1037" w:hanging="357"/>
    </w:pPr>
  </w:style>
  <w:style w:type="paragraph" w:styleId="ListBullet4">
    <w:name w:val="List Bullet 4"/>
    <w:basedOn w:val="List4"/>
    <w:rsid w:val="00EA3ECE"/>
    <w:pPr>
      <w:numPr>
        <w:numId w:val="3"/>
      </w:numPr>
    </w:pPr>
  </w:style>
  <w:style w:type="paragraph" w:styleId="ListBullet5">
    <w:name w:val="List Bullet 5"/>
    <w:basedOn w:val="List5"/>
    <w:rsid w:val="00EA3ECE"/>
    <w:pPr>
      <w:numPr>
        <w:numId w:val="4"/>
      </w:numPr>
    </w:pPr>
  </w:style>
  <w:style w:type="paragraph" w:styleId="ListContinue2">
    <w:name w:val="List Continue 2"/>
    <w:basedOn w:val="List2"/>
    <w:rsid w:val="00EA3ECE"/>
    <w:pPr>
      <w:ind w:firstLine="0"/>
    </w:pPr>
  </w:style>
  <w:style w:type="paragraph" w:styleId="ListContinue3">
    <w:name w:val="List Continue 3"/>
    <w:basedOn w:val="List3"/>
    <w:rsid w:val="00EA3ECE"/>
    <w:pPr>
      <w:ind w:left="1021" w:firstLine="0"/>
    </w:pPr>
  </w:style>
  <w:style w:type="paragraph" w:styleId="ListContinue4">
    <w:name w:val="List Continue 4"/>
    <w:basedOn w:val="List4"/>
    <w:rsid w:val="00EA3ECE"/>
    <w:pPr>
      <w:ind w:firstLine="0"/>
    </w:pPr>
  </w:style>
  <w:style w:type="paragraph" w:styleId="ListContinue5">
    <w:name w:val="List Continue 5"/>
    <w:basedOn w:val="List5"/>
    <w:rsid w:val="00EA3ECE"/>
    <w:pPr>
      <w:ind w:firstLine="0"/>
    </w:pPr>
  </w:style>
  <w:style w:type="paragraph" w:styleId="ListNumber3">
    <w:name w:val="List Number 3"/>
    <w:basedOn w:val="List3"/>
    <w:rsid w:val="00EA3ECE"/>
    <w:pPr>
      <w:numPr>
        <w:numId w:val="5"/>
      </w:numPr>
    </w:pPr>
  </w:style>
  <w:style w:type="paragraph" w:styleId="ListNumber4">
    <w:name w:val="List Number 4"/>
    <w:basedOn w:val="List4"/>
    <w:rsid w:val="00EA3ECE"/>
    <w:pPr>
      <w:numPr>
        <w:numId w:val="6"/>
      </w:numPr>
    </w:pPr>
  </w:style>
  <w:style w:type="paragraph" w:styleId="ListNumber5">
    <w:name w:val="List Number 5"/>
    <w:basedOn w:val="List5"/>
    <w:rsid w:val="00EA3ECE"/>
    <w:pPr>
      <w:numPr>
        <w:numId w:val="7"/>
      </w:numPr>
    </w:pPr>
  </w:style>
  <w:style w:type="paragraph" w:styleId="BlockText">
    <w:name w:val="Block Text"/>
    <w:basedOn w:val="Normal"/>
    <w:rsid w:val="00EA3ECE"/>
    <w:pPr>
      <w:spacing w:after="120"/>
      <w:ind w:left="1440" w:right="1440"/>
    </w:pPr>
  </w:style>
  <w:style w:type="character" w:customStyle="1" w:styleId="Subscript">
    <w:name w:val="Subscript"/>
    <w:basedOn w:val="DefaultParagraphFont"/>
    <w:rsid w:val="00EA3ECE"/>
    <w:rPr>
      <w:sz w:val="16"/>
      <w:vertAlign w:val="subscript"/>
    </w:rPr>
  </w:style>
  <w:style w:type="character" w:customStyle="1" w:styleId="Superscript">
    <w:name w:val="Superscript"/>
    <w:basedOn w:val="DefaultParagraphFont"/>
    <w:rsid w:val="00EA3ECE"/>
    <w:rPr>
      <w:sz w:val="16"/>
      <w:vertAlign w:val="superscript"/>
    </w:rPr>
  </w:style>
  <w:style w:type="character" w:customStyle="1" w:styleId="Symbols">
    <w:name w:val="Symbols"/>
    <w:basedOn w:val="DefaultParagraphFont"/>
    <w:rsid w:val="00EA3ECE"/>
    <w:rPr>
      <w:rFonts w:ascii="Symbol" w:hAnsi="Symbol"/>
    </w:rPr>
  </w:style>
  <w:style w:type="character" w:customStyle="1" w:styleId="MenuOptions">
    <w:name w:val="Menu Options"/>
    <w:basedOn w:val="DefaultParagraphFont"/>
    <w:rsid w:val="00EA3ECE"/>
    <w:rPr>
      <w:rFonts w:ascii="Arial Narrow" w:hAnsi="Arial Narrow"/>
      <w:smallCaps/>
    </w:rPr>
  </w:style>
  <w:style w:type="character" w:customStyle="1" w:styleId="Buttons">
    <w:name w:val="Buttons"/>
    <w:basedOn w:val="DefaultParagraphFont"/>
    <w:rsid w:val="00EA3ECE"/>
    <w:rPr>
      <w:b/>
    </w:rPr>
  </w:style>
  <w:style w:type="character" w:customStyle="1" w:styleId="Underlined">
    <w:name w:val="Underlined"/>
    <w:basedOn w:val="DefaultParagraphFont"/>
    <w:rsid w:val="00EA3ECE"/>
    <w:rPr>
      <w:u w:val="single"/>
    </w:rPr>
  </w:style>
  <w:style w:type="paragraph" w:customStyle="1" w:styleId="TableBodyTextRight">
    <w:name w:val="Table Body Text Right"/>
    <w:basedOn w:val="TableBodyText"/>
    <w:rsid w:val="00EA3ECE"/>
    <w:pPr>
      <w:widowControl w:val="0"/>
      <w:autoSpaceDE w:val="0"/>
      <w:autoSpaceDN w:val="0"/>
      <w:adjustRightInd w:val="0"/>
      <w:jc w:val="right"/>
    </w:pPr>
    <w:rPr>
      <w:rFonts w:cs="Arial"/>
      <w:szCs w:val="18"/>
    </w:rPr>
  </w:style>
  <w:style w:type="paragraph" w:customStyle="1" w:styleId="CopyrightText">
    <w:name w:val="Copyright Text"/>
    <w:basedOn w:val="BodyText"/>
    <w:rsid w:val="00EA3ECE"/>
    <w:rPr>
      <w:sz w:val="18"/>
    </w:rPr>
  </w:style>
  <w:style w:type="paragraph" w:customStyle="1" w:styleId="BodySmallRight">
    <w:name w:val="Body Small Right"/>
    <w:basedOn w:val="BodyTextRight"/>
    <w:rsid w:val="00EA3ECE"/>
    <w:rPr>
      <w:sz w:val="18"/>
      <w:szCs w:val="18"/>
    </w:rPr>
  </w:style>
  <w:style w:type="paragraph" w:customStyle="1" w:styleId="MarginEdition">
    <w:name w:val="Margin Edition"/>
    <w:basedOn w:val="MarginNote"/>
    <w:rsid w:val="00EA3ECE"/>
    <w:pPr>
      <w:spacing w:before="0" w:after="0"/>
    </w:pPr>
    <w:rPr>
      <w:rFonts w:ascii="Times New Roman" w:hAnsi="Times New Roman"/>
      <w:color w:val="999999"/>
    </w:rPr>
  </w:style>
  <w:style w:type="paragraph" w:customStyle="1" w:styleId="Spacer">
    <w:name w:val="Spacer"/>
    <w:basedOn w:val="Normal"/>
    <w:rsid w:val="00EA3ECE"/>
    <w:rPr>
      <w:sz w:val="2"/>
      <w:szCs w:val="2"/>
    </w:rPr>
  </w:style>
  <w:style w:type="character" w:customStyle="1" w:styleId="Small">
    <w:name w:val="Small"/>
    <w:basedOn w:val="DefaultParagraphFont"/>
    <w:rsid w:val="00EA3ECE"/>
    <w:rPr>
      <w:sz w:val="16"/>
    </w:rPr>
  </w:style>
  <w:style w:type="paragraph" w:customStyle="1" w:styleId="WideTable">
    <w:name w:val="Wide Table"/>
    <w:basedOn w:val="Normal"/>
    <w:rsid w:val="00EA3ECE"/>
    <w:pPr>
      <w:ind w:left="-1418"/>
    </w:pPr>
    <w:rPr>
      <w:sz w:val="2"/>
      <w:szCs w:val="2"/>
    </w:rPr>
  </w:style>
  <w:style w:type="character" w:styleId="PageNumber">
    <w:name w:val="page number"/>
    <w:basedOn w:val="DefaultParagraphFont"/>
    <w:rsid w:val="00EA3ECE"/>
  </w:style>
  <w:style w:type="paragraph" w:styleId="Quote">
    <w:name w:val="Quote"/>
    <w:basedOn w:val="Heading1"/>
    <w:link w:val="QuoteChar"/>
    <w:qFormat/>
    <w:rsid w:val="00EA3ECE"/>
    <w:rPr>
      <w:b w:val="0"/>
      <w:sz w:val="72"/>
      <w:szCs w:val="72"/>
      <w:lang w:val="en-NZ"/>
    </w:rPr>
  </w:style>
  <w:style w:type="character" w:customStyle="1" w:styleId="QuoteChar">
    <w:name w:val="Quote Char"/>
    <w:basedOn w:val="DefaultParagraphFont"/>
    <w:link w:val="Quote"/>
    <w:rsid w:val="00EA3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ECE"/>
    <w:pPr>
      <w:pageBreakBefore/>
    </w:pPr>
  </w:style>
  <w:style w:type="paragraph" w:customStyle="1" w:styleId="Border">
    <w:name w:val="Border"/>
    <w:basedOn w:val="Normal"/>
    <w:qFormat/>
    <w:rsid w:val="00EA3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ECE"/>
    <w:rPr>
      <w:b/>
      <w:bCs/>
      <w:i/>
      <w:iCs/>
      <w:color w:val="auto"/>
    </w:rPr>
  </w:style>
  <w:style w:type="paragraph" w:styleId="IntenseQuote">
    <w:name w:val="Intense Quote"/>
    <w:basedOn w:val="Normal"/>
    <w:next w:val="Normal"/>
    <w:link w:val="IntenseQuoteChar"/>
    <w:uiPriority w:val="30"/>
    <w:qFormat/>
    <w:rsid w:val="00EA3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E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ECE"/>
    <w:rPr>
      <w:smallCaps/>
      <w:color w:val="auto"/>
      <w:u w:val="single"/>
    </w:rPr>
  </w:style>
  <w:style w:type="character" w:styleId="IntenseReference">
    <w:name w:val="Intense Reference"/>
    <w:basedOn w:val="DefaultParagraphFont"/>
    <w:uiPriority w:val="32"/>
    <w:qFormat/>
    <w:rsid w:val="00EA3ECE"/>
    <w:rPr>
      <w:b/>
      <w:bCs/>
      <w:smallCaps/>
      <w:color w:val="auto"/>
      <w:spacing w:val="5"/>
      <w:u w:val="single"/>
    </w:rPr>
  </w:style>
  <w:style w:type="paragraph" w:customStyle="1" w:styleId="2ColumnHeading">
    <w:name w:val="2Column Heading"/>
    <w:basedOn w:val="BodyText"/>
    <w:qFormat/>
    <w:rsid w:val="00EA3ECE"/>
    <w:pPr>
      <w:spacing w:after="60"/>
      <w:ind w:left="-2268"/>
    </w:pPr>
    <w:rPr>
      <w:b/>
    </w:rPr>
  </w:style>
  <w:style w:type="paragraph" w:customStyle="1" w:styleId="Heading1TOC">
    <w:name w:val="Heading1 TOC"/>
    <w:basedOn w:val="Normal"/>
    <w:qFormat/>
    <w:rsid w:val="00EA3ECE"/>
    <w:pPr>
      <w:spacing w:before="240" w:after="120"/>
    </w:pPr>
    <w:rPr>
      <w:rFonts w:ascii="Times New Roman" w:hAnsi="Times New Roman"/>
      <w:b/>
      <w:sz w:val="32"/>
    </w:rPr>
  </w:style>
  <w:style w:type="paragraph" w:customStyle="1" w:styleId="Heading2TOC">
    <w:name w:val="Heading2 TOC"/>
    <w:basedOn w:val="Normal"/>
    <w:qFormat/>
    <w:rsid w:val="00EA3ECE"/>
    <w:pPr>
      <w:spacing w:before="240" w:after="60"/>
    </w:pPr>
    <w:rPr>
      <w:rFonts w:ascii="Times New Roman" w:hAnsi="Times New Roman"/>
      <w:b/>
      <w:sz w:val="28"/>
    </w:rPr>
  </w:style>
  <w:style w:type="character" w:customStyle="1" w:styleId="Underline">
    <w:name w:val="Underline"/>
    <w:basedOn w:val="DefaultParagraphFont"/>
    <w:qFormat/>
    <w:rsid w:val="00EA3ECE"/>
    <w:rPr>
      <w:u w:val="single"/>
    </w:rPr>
  </w:style>
  <w:style w:type="character" w:customStyle="1" w:styleId="BoldandItalics">
    <w:name w:val="Bold and Italics"/>
    <w:qFormat/>
    <w:rsid w:val="00EA3ECE"/>
    <w:rPr>
      <w:b/>
      <w:i/>
      <w:u w:val="none"/>
    </w:rPr>
  </w:style>
  <w:style w:type="paragraph" w:styleId="BalloonText">
    <w:name w:val="Balloon Text"/>
    <w:basedOn w:val="Normal"/>
    <w:link w:val="BalloonTextChar"/>
    <w:rsid w:val="00EA3ECE"/>
    <w:rPr>
      <w:rFonts w:ascii="Tahoma" w:hAnsi="Tahoma" w:cs="Tahoma"/>
      <w:sz w:val="16"/>
      <w:szCs w:val="16"/>
    </w:rPr>
  </w:style>
  <w:style w:type="character" w:customStyle="1" w:styleId="BalloonTextChar">
    <w:name w:val="Balloon Text Char"/>
    <w:basedOn w:val="DefaultParagraphFont"/>
    <w:link w:val="BalloonText"/>
    <w:rsid w:val="00EA3E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E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3E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ECE"/>
    <w:rPr>
      <w:b/>
      <w:color w:val="660033"/>
      <w:spacing w:val="0"/>
    </w:rPr>
  </w:style>
  <w:style w:type="paragraph" w:customStyle="1" w:styleId="Nameditemlist">
    <w:name w:val="Named item list"/>
    <w:basedOn w:val="BodyText"/>
    <w:qFormat/>
    <w:rsid w:val="00EA3E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2140</Words>
  <Characters>13830</Characters>
  <Application>Microsoft Office Word</Application>
  <DocSecurity>0</DocSecurity>
  <Lines>444</Lines>
  <Paragraphs>191</Paragraphs>
  <ScaleCrop>false</ScaleCrop>
  <Company>Author-it Software Corporation Ltd.</Company>
  <LinksUpToDate>false</LinksUpToDate>
  <CharactersWithSpaces>15841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UEPOPS417B Monitor and implement environmental plans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2012-07-25T16:36:00Z</dcterms:created>
  <dcterms:modified xsi:type="dcterms:W3CDTF">2012-07-25T16:36:00Z</dcterms:modified>
</cp:coreProperties>
</file>