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233E" w:rsidP="00BA233E">
      <w:pPr>
        <w:pStyle w:val="Title"/>
      </w:pPr>
      <w:bookmarkStart w:id="0" w:name="_GoBack"/>
      <w:bookmarkEnd w:id="0"/>
      <w:r>
        <w:fldChar w:fldCharType="begin"/>
      </w:r>
      <w:r>
        <w:instrText xml:space="preserve"> TITLE   \* MERGEFORMAT </w:instrText>
      </w:r>
      <w:r>
        <w:fldChar w:fldCharType="separate"/>
      </w:r>
      <w:r>
        <w:t>UEPOPS416B Monitor the implementation of the enterprise’s production-maintenance quality control procedures</w:t>
      </w:r>
      <w:r>
        <w:fldChar w:fldCharType="end"/>
      </w:r>
    </w:p>
    <w:p w:rsidR="00BA233E" w:rsidP="00BA233E">
      <w:pPr>
        <w:pStyle w:val="Version"/>
        <w:sectPr w:rsidSect="001B4C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4C78" w:rsidP="001B4C78">
      <w:pPr>
        <w:pStyle w:val="SuperHeading"/>
      </w:pPr>
      <w:r w:rsidRPr="001B4C78">
        <w:t>UEPOPS416B Monitor the implementation of the enterprise’s production-maintenance quality control procedures</w:t>
      </w:r>
    </w:p>
    <w:p w:rsidR="00000000" w:rsidRPr="001B4C78" w:rsidP="001B4C78">
      <w:pPr>
        <w:pStyle w:val="Heading1"/>
      </w:pPr>
      <w:bookmarkStart w:id="1" w:name="O_474527"/>
      <w:bookmarkEnd w:id="1"/>
      <w:r w:rsidRPr="001B4C78">
        <w:t>Modification History</w:t>
      </w:r>
    </w:p>
    <w:p w:rsidR="00000000" w:rsidRPr="001B4C78" w:rsidP="001B4C78">
      <w:pPr>
        <w:pStyle w:val="BodyText"/>
      </w:pPr>
      <w:r w:rsidRPr="001B4C78">
        <w:t>Not applicable.</w:t>
      </w:r>
    </w:p>
    <w:p w:rsidR="00000000" w:rsidRPr="001B4C78" w:rsidP="001B4C78">
      <w:pPr>
        <w:pStyle w:val="AllowPageBreak"/>
      </w:pPr>
    </w:p>
    <w:p w:rsidR="00000000" w:rsidRPr="001B4C78" w:rsidP="001B4C78">
      <w:pPr>
        <w:pStyle w:val="Heading1"/>
      </w:pPr>
      <w:bookmarkStart w:id="2" w:name="O_474525"/>
      <w:bookmarkEnd w:id="2"/>
      <w:r w:rsidRPr="001B4C78">
        <w:t>Unit Descriptor</w:t>
      </w:r>
    </w:p>
    <w:tbl>
      <w:tblPr>
        <w:tblW w:w="0" w:type="auto"/>
        <w:tblLayout w:type="fixed"/>
        <w:tblCellMar>
          <w:left w:w="62" w:type="dxa"/>
          <w:right w:w="62" w:type="dxa"/>
        </w:tblCellMar>
        <w:tblLook w:val="0000"/>
      </w:tblPr>
      <w:tblGrid>
        <w:gridCol w:w="2700"/>
        <w:gridCol w:w="5760"/>
      </w:tblGrid>
      <w:tr w:rsidTr="00BA233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4C78" w:rsidP="001B4C78">
            <w:pPr>
              <w:pStyle w:val="BodyText"/>
            </w:pPr>
            <w:r w:rsidRPr="001B4C7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rPr>
                <w:rStyle w:val="SpecialBold"/>
              </w:rPr>
              <w:t>1)</w:t>
            </w:r>
            <w:r w:rsidRPr="001B4C78">
              <w:t xml:space="preserve"> </w:t>
            </w:r>
            <w:r w:rsidRPr="001B4C78">
              <w:rPr>
                <w:rStyle w:val="SpecialBold"/>
              </w:rPr>
              <w:t>Scope:</w:t>
            </w:r>
          </w:p>
        </w:tc>
      </w:tr>
      <w:tr w:rsidTr="00BA23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B4C7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rPr>
                <w:rStyle w:val="SpecialBold"/>
              </w:rPr>
              <w:t>1.1) Descriptor</w:t>
            </w:r>
          </w:p>
        </w:tc>
      </w:tr>
      <w:tr w:rsidTr="00BA23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4C78" w:rsidP="001B4C78">
            <w:pPr>
              <w:pStyle w:val="BodyText"/>
            </w:pPr>
            <w:r w:rsidRPr="001B4C78">
              <w:t>This unit deals with the skills and knowledge required to monitor the implementation of the production or maintenance quality control procedures at the enterprise level.</w:t>
            </w:r>
          </w:p>
        </w:tc>
      </w:tr>
    </w:tbl>
    <w:p w:rsidR="00000000" w:rsidRPr="001B4C78" w:rsidP="001B4C78">
      <w:pPr>
        <w:pStyle w:val="BodyText"/>
      </w:pPr>
    </w:p>
    <w:p w:rsidR="00000000" w:rsidRPr="001B4C78" w:rsidP="001B4C78">
      <w:pPr>
        <w:pStyle w:val="AllowPageBreak"/>
      </w:pPr>
    </w:p>
    <w:p w:rsidR="00000000" w:rsidRPr="001B4C78" w:rsidP="001B4C78">
      <w:pPr>
        <w:pStyle w:val="Heading1"/>
      </w:pPr>
      <w:bookmarkStart w:id="3" w:name="O_474514"/>
      <w:bookmarkEnd w:id="3"/>
      <w:r w:rsidRPr="001B4C78">
        <w:t>Application of the Unit</w:t>
      </w:r>
    </w:p>
    <w:tbl>
      <w:tblPr>
        <w:tblW w:w="0" w:type="auto"/>
        <w:tblLayout w:type="fixed"/>
        <w:tblCellMar>
          <w:left w:w="62" w:type="dxa"/>
          <w:right w:w="62" w:type="dxa"/>
        </w:tblCellMar>
        <w:tblLook w:val="0000"/>
      </w:tblPr>
      <w:tblGrid>
        <w:gridCol w:w="2672"/>
        <w:gridCol w:w="5699"/>
      </w:tblGrid>
      <w:tr w:rsidTr="00BA233E">
        <w:tblPrEx>
          <w:tblW w:w="0" w:type="auto"/>
          <w:tblLayout w:type="fixed"/>
          <w:tblCellMar>
            <w:left w:w="62" w:type="dxa"/>
            <w:right w:w="62" w:type="dxa"/>
          </w:tblCellMar>
          <w:tblLook w:val="0000"/>
        </w:tblPrEx>
        <w:trPr>
          <w:trHeight w:val="466"/>
        </w:trPr>
        <w:tc>
          <w:tcPr>
            <w:tcW w:w="2672" w:type="dxa"/>
            <w:tcBorders>
              <w:top w:val="nil"/>
              <w:left w:val="nil"/>
              <w:bottom w:val="nil"/>
              <w:right w:val="nil"/>
            </w:tcBorders>
            <w:tcMar>
              <w:top w:w="0" w:type="dxa"/>
              <w:left w:w="62" w:type="dxa"/>
              <w:bottom w:w="0" w:type="dxa"/>
              <w:right w:w="62" w:type="dxa"/>
            </w:tcMar>
          </w:tcPr>
          <w:p w:rsidR="00000000" w:rsidRPr="001B4C78" w:rsidP="001B4C78">
            <w:pPr>
              <w:pStyle w:val="BodyText"/>
            </w:pPr>
            <w:r w:rsidRPr="001B4C7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rPr>
                <w:rStyle w:val="SpecialBold"/>
              </w:rPr>
              <w:t>2)</w:t>
            </w:r>
          </w:p>
        </w:tc>
      </w:tr>
      <w:tr w:rsidTr="00BA233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B4C78" w:rsidP="001B4C78">
            <w:pPr>
              <w:pStyle w:val="BodyText"/>
            </w:pPr>
            <w:r w:rsidRPr="001B4C78">
              <w:t>This unit is intended to augment formally acquired competencies. It is suitable for employment-based programs under an approved contract of training.</w:t>
            </w:r>
          </w:p>
        </w:tc>
      </w:tr>
    </w:tbl>
    <w:p w:rsidR="00000000" w:rsidRPr="001B4C78" w:rsidP="001B4C78">
      <w:pPr>
        <w:pStyle w:val="BodyText"/>
      </w:pPr>
    </w:p>
    <w:p w:rsidR="00000000" w:rsidRPr="001B4C78" w:rsidP="001B4C78">
      <w:pPr>
        <w:pStyle w:val="AllowPageBreak"/>
      </w:pPr>
    </w:p>
    <w:p w:rsidR="00000000" w:rsidRPr="001B4C78" w:rsidP="001B4C78">
      <w:pPr>
        <w:pStyle w:val="Heading1"/>
      </w:pPr>
      <w:bookmarkStart w:id="4" w:name="O_474521"/>
      <w:bookmarkEnd w:id="4"/>
      <w:r w:rsidRPr="001B4C78">
        <w:t>Licensing/Regulatory Information</w:t>
      </w:r>
    </w:p>
    <w:tbl>
      <w:tblPr>
        <w:tblW w:w="0" w:type="auto"/>
        <w:tblLayout w:type="fixed"/>
        <w:tblCellMar>
          <w:left w:w="62" w:type="dxa"/>
          <w:right w:w="62" w:type="dxa"/>
        </w:tblCellMar>
        <w:tblLook w:val="0000"/>
      </w:tblPr>
      <w:tblGrid>
        <w:gridCol w:w="2700"/>
        <w:gridCol w:w="5760"/>
      </w:tblGrid>
      <w:tr w:rsidTr="00BA233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4C78" w:rsidP="001B4C78">
            <w:pPr>
              <w:pStyle w:val="BodyText"/>
            </w:pPr>
            <w:r w:rsidRPr="001B4C7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rPr>
                <w:rStyle w:val="SpecialBold"/>
              </w:rPr>
              <w:t xml:space="preserve">3) </w:t>
            </w:r>
          </w:p>
        </w:tc>
      </w:tr>
      <w:tr w:rsidTr="00BA23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4C78" w:rsidP="001B4C78">
            <w:pPr>
              <w:pStyle w:val="BodyText"/>
            </w:pPr>
            <w:r w:rsidRPr="001B4C78">
              <w:t>The skills and knowledge described in this unit do not require a licence to practise in the workplace. However, practice in this unit is subject to regulations directly related to Occupational Health and Safety.</w:t>
            </w:r>
          </w:p>
        </w:tc>
      </w:tr>
    </w:tbl>
    <w:p w:rsidR="00000000" w:rsidRPr="001B4C78" w:rsidP="001B4C78">
      <w:pPr>
        <w:pStyle w:val="BodyText"/>
      </w:pPr>
    </w:p>
    <w:p w:rsidR="00000000" w:rsidRPr="001B4C78" w:rsidP="001B4C78">
      <w:pPr>
        <w:pStyle w:val="AllowPageBreak"/>
      </w:pPr>
    </w:p>
    <w:p w:rsidR="00000000" w:rsidRPr="001B4C78" w:rsidP="001B4C78">
      <w:pPr>
        <w:pStyle w:val="Heading1"/>
      </w:pPr>
      <w:bookmarkStart w:id="5" w:name="O_474522"/>
      <w:bookmarkEnd w:id="5"/>
      <w:r w:rsidRPr="001B4C78">
        <w:t>Pre-Requisites</w:t>
      </w:r>
    </w:p>
    <w:tbl>
      <w:tblPr>
        <w:tblW w:w="0" w:type="auto"/>
        <w:tblLayout w:type="fixed"/>
        <w:tblCellMar>
          <w:left w:w="62" w:type="dxa"/>
          <w:right w:w="62" w:type="dxa"/>
        </w:tblCellMar>
        <w:tblLook w:val="0000"/>
      </w:tblPr>
      <w:tblGrid>
        <w:gridCol w:w="2700"/>
        <w:gridCol w:w="2068"/>
        <w:gridCol w:w="3696"/>
      </w:tblGrid>
      <w:tr w:rsidTr="00BA233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4C78" w:rsidP="001B4C78">
            <w:pPr>
              <w:pStyle w:val="BodyText"/>
            </w:pPr>
            <w:r w:rsidRPr="001B4C78">
              <w:rPr>
                <w:rStyle w:val="SpecialBold"/>
              </w:rPr>
              <w:t>Prerequisi</w:t>
            </w:r>
            <w:r w:rsidRPr="001B4C78">
              <w:rPr>
                <w:rStyle w:val="SpecialBold"/>
              </w:rPr>
              <w:t>te Unit(s)</w:t>
            </w:r>
          </w:p>
        </w:tc>
        <w:tc>
          <w:tcPr>
            <w:tcW w:w="5764" w:type="dxa"/>
            <w:gridSpan w:val="2"/>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rPr>
                <w:rStyle w:val="SpecialBold"/>
              </w:rPr>
              <w:t xml:space="preserve">4) </w:t>
            </w:r>
          </w:p>
        </w:tc>
      </w:tr>
      <w:tr w:rsidTr="00BA23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B4C78" w:rsidP="001B4C78">
            <w:pPr>
              <w:pStyle w:val="BodyText"/>
            </w:pPr>
            <w:r w:rsidRPr="001B4C78">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rPr>
                <w:rStyle w:val="SpecialBold"/>
              </w:rPr>
              <w:t>4.1)</w:t>
            </w:r>
          </w:p>
        </w:tc>
      </w:tr>
      <w:tr w:rsidTr="00BA23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1B4C78" w:rsidP="001B4C78">
            <w:pPr>
              <w:pStyle w:val="BodyText"/>
            </w:pPr>
            <w:r w:rsidRPr="001B4C78">
              <w:t>Granting of competency in this unit shall be made only after competency in the following unit(s) has/have been confirmed.</w:t>
            </w:r>
          </w:p>
          <w:p w:rsidR="00000000" w:rsidRPr="001B4C78" w:rsidP="001B4C78">
            <w:pPr>
              <w:pStyle w:val="BodyText"/>
            </w:pPr>
            <w:r w:rsidRPr="001B4C78">
              <w:t>Where pre-requisite pathways have been identified. All competencies in the Common Unit Group must be have been completed.</w:t>
            </w:r>
          </w:p>
          <w:p w:rsidR="00000000" w:rsidP="001B4C78">
            <w:pPr>
              <w:pStyle w:val="BodyText"/>
              <w:rPr>
                <w:lang w:val="en-NZ"/>
              </w:rPr>
            </w:pPr>
            <w:r w:rsidRPr="001B4C78">
              <w:t>Common Unit Group</w:t>
            </w:r>
          </w:p>
        </w:tc>
      </w:tr>
      <w:tr w:rsidTr="00BA23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t>Unit Code</w:t>
            </w:r>
            <w:r w:rsidRPr="001B4C78">
              <w:tab/>
            </w:r>
          </w:p>
        </w:tc>
        <w:tc>
          <w:tcPr>
            <w:tcW w:w="3696" w:type="dxa"/>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t>Unit Title</w:t>
            </w:r>
          </w:p>
        </w:tc>
      </w:tr>
      <w:tr w:rsidTr="00BA23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t xml:space="preserve">UEPOPS338B </w:t>
            </w:r>
          </w:p>
        </w:tc>
        <w:tc>
          <w:tcPr>
            <w:tcW w:w="3696" w:type="dxa"/>
            <w:tcBorders>
              <w:top w:val="nil"/>
              <w:left w:val="nil"/>
              <w:bottom w:val="nil"/>
              <w:right w:val="nil"/>
            </w:tcBorders>
            <w:tcMar>
              <w:top w:w="0" w:type="dxa"/>
              <w:left w:w="62" w:type="dxa"/>
              <w:bottom w:w="0" w:type="dxa"/>
              <w:right w:w="62" w:type="dxa"/>
            </w:tcMar>
          </w:tcPr>
          <w:p w:rsidR="00000000" w:rsidRPr="001B4C78" w:rsidP="001B4C78">
            <w:pPr>
              <w:pStyle w:val="BodyText"/>
            </w:pPr>
            <w:r w:rsidRPr="001B4C78">
              <w:t>Maintain quality systems within the team</w:t>
            </w:r>
          </w:p>
        </w:tc>
      </w:tr>
    </w:tbl>
    <w:p w:rsidR="00000000" w:rsidRPr="001B4C78" w:rsidP="001B4C7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A233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B4C78" w:rsidP="001B4C78">
            <w:pPr>
              <w:pStyle w:val="BodyText"/>
            </w:pPr>
            <w:r w:rsidRPr="001B4C7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rPr>
                <w:rStyle w:val="SpecialBold"/>
              </w:rPr>
              <w:t xml:space="preserve">4.2) </w:t>
            </w:r>
          </w:p>
        </w:tc>
      </w:tr>
      <w:tr w:rsidTr="00BA23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t>Participants are best equipped to achieve this unit if they have reading, writing and numeracy skills indicated by the following levels. A description of what each level entails is provided in Section 2.3.1 Language, Literacy and Numeracy.</w:t>
            </w:r>
          </w:p>
        </w:tc>
      </w:tr>
      <w:tr w:rsidTr="00BA23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t>Reading</w:t>
            </w:r>
          </w:p>
        </w:tc>
        <w:tc>
          <w:tcPr>
            <w:tcW w:w="810" w:type="dxa"/>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t>4</w:t>
            </w:r>
          </w:p>
        </w:tc>
        <w:tc>
          <w:tcPr>
            <w:tcW w:w="990" w:type="dxa"/>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t>Writing</w:t>
            </w:r>
          </w:p>
        </w:tc>
        <w:tc>
          <w:tcPr>
            <w:tcW w:w="900" w:type="dxa"/>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t>4</w:t>
            </w:r>
          </w:p>
        </w:tc>
        <w:tc>
          <w:tcPr>
            <w:tcW w:w="1260" w:type="dxa"/>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t>Numeracy</w:t>
            </w:r>
          </w:p>
        </w:tc>
        <w:tc>
          <w:tcPr>
            <w:tcW w:w="720" w:type="dxa"/>
            <w:tcBorders>
              <w:top w:val="nil"/>
              <w:left w:val="nil"/>
              <w:bottom w:val="nil"/>
              <w:right w:val="nil"/>
            </w:tcBorders>
            <w:tcMar>
              <w:top w:w="0" w:type="dxa"/>
              <w:left w:w="62" w:type="dxa"/>
              <w:bottom w:w="0" w:type="dxa"/>
              <w:right w:w="62" w:type="dxa"/>
            </w:tcMar>
          </w:tcPr>
          <w:p w:rsidR="00000000" w:rsidRPr="001B4C78" w:rsidP="001B4C78">
            <w:pPr>
              <w:pStyle w:val="BodyText"/>
            </w:pPr>
            <w:r w:rsidRPr="001B4C78">
              <w:t>4</w:t>
            </w:r>
          </w:p>
        </w:tc>
      </w:tr>
    </w:tbl>
    <w:p w:rsidR="00000000" w:rsidRPr="001B4C78" w:rsidP="001B4C78">
      <w:pPr>
        <w:pStyle w:val="BodyText"/>
      </w:pPr>
    </w:p>
    <w:p w:rsidR="00000000" w:rsidRPr="001B4C78" w:rsidP="001B4C78">
      <w:pPr>
        <w:pStyle w:val="AllowPageBreak"/>
      </w:pPr>
    </w:p>
    <w:p w:rsidR="00000000" w:rsidRPr="001B4C78" w:rsidP="001B4C78">
      <w:pPr>
        <w:pStyle w:val="Heading1"/>
      </w:pPr>
      <w:bookmarkStart w:id="6" w:name="O_474518"/>
      <w:bookmarkEnd w:id="6"/>
      <w:r w:rsidRPr="001B4C78">
        <w:t>Employability Skills Information</w:t>
      </w:r>
    </w:p>
    <w:tbl>
      <w:tblPr>
        <w:tblW w:w="0" w:type="auto"/>
        <w:tblLayout w:type="fixed"/>
        <w:tblCellMar>
          <w:left w:w="62" w:type="dxa"/>
          <w:right w:w="62" w:type="dxa"/>
        </w:tblCellMar>
        <w:tblLook w:val="0000"/>
      </w:tblPr>
      <w:tblGrid>
        <w:gridCol w:w="2700"/>
        <w:gridCol w:w="5760"/>
      </w:tblGrid>
      <w:tr w:rsidTr="00BA233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4C78" w:rsidP="001B4C78">
            <w:pPr>
              <w:pStyle w:val="BodyText"/>
            </w:pPr>
            <w:r w:rsidRPr="001B4C7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rPr>
                <w:rStyle w:val="SpecialBold"/>
              </w:rPr>
              <w:t xml:space="preserve">5) </w:t>
            </w:r>
          </w:p>
        </w:tc>
      </w:tr>
      <w:tr w:rsidTr="00BA23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4C78" w:rsidP="001B4C78">
            <w:pPr>
              <w:pStyle w:val="BodyText"/>
            </w:pPr>
            <w:r w:rsidRPr="001B4C78">
              <w:t xml:space="preserve">The required outcomes described in this unit of competency contain applicable facets of Employability Skills. The Employability Skills Summary </w:t>
            </w:r>
            <w:r w:rsidRPr="001B4C78">
              <w:t>of the qualification in which this unit of competency is packaged will assist in identifying Employability Skill requirements.</w:t>
            </w:r>
          </w:p>
        </w:tc>
      </w:tr>
    </w:tbl>
    <w:p w:rsidR="00000000" w:rsidRPr="001B4C78" w:rsidP="001B4C78">
      <w:pPr>
        <w:pStyle w:val="BodyText"/>
      </w:pPr>
    </w:p>
    <w:p w:rsidR="00000000" w:rsidRPr="001B4C78" w:rsidP="001B4C78">
      <w:pPr>
        <w:pStyle w:val="AllowPageBreak"/>
      </w:pPr>
    </w:p>
    <w:p w:rsidR="00000000" w:rsidRPr="001B4C78" w:rsidP="001B4C78">
      <w:pPr>
        <w:pStyle w:val="Heading1"/>
      </w:pPr>
      <w:bookmarkStart w:id="7" w:name="O_474517"/>
      <w:bookmarkEnd w:id="7"/>
      <w:r w:rsidRPr="001B4C78">
        <w:t>Elements and Performance Criteria Pre-Content</w:t>
      </w:r>
    </w:p>
    <w:tbl>
      <w:tblPr>
        <w:tblW w:w="0" w:type="auto"/>
        <w:tblLayout w:type="fixed"/>
        <w:tblCellMar>
          <w:left w:w="62" w:type="dxa"/>
          <w:right w:w="62" w:type="dxa"/>
        </w:tblCellMar>
        <w:tblLook w:val="0000"/>
      </w:tblPr>
      <w:tblGrid>
        <w:gridCol w:w="2700"/>
        <w:gridCol w:w="5760"/>
      </w:tblGrid>
      <w:tr w:rsidTr="00BA23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rPr>
                <w:rStyle w:val="SpecialBold"/>
              </w:rPr>
              <w:t>6)</w:t>
            </w:r>
            <w:r w:rsidRPr="001B4C78">
              <w:t xml:space="preserve"> Elements describe the essential outcomes of a competency stan</w:t>
            </w:r>
            <w:r w:rsidRPr="001B4C78">
              <w:t>dard unit</w:t>
            </w:r>
          </w:p>
        </w:tc>
        <w:tc>
          <w:tcPr>
            <w:tcW w:w="5760" w:type="dxa"/>
            <w:tcBorders>
              <w:top w:val="nil"/>
              <w:left w:val="nil"/>
              <w:bottom w:val="nil"/>
              <w:right w:val="nil"/>
            </w:tcBorders>
            <w:tcMar>
              <w:top w:w="0" w:type="dxa"/>
              <w:left w:w="62" w:type="dxa"/>
              <w:bottom w:w="0" w:type="dxa"/>
              <w:right w:w="62" w:type="dxa"/>
            </w:tcMar>
          </w:tcPr>
          <w:p w:rsidR="00000000" w:rsidRPr="001B4C78" w:rsidP="001B4C78">
            <w:pPr>
              <w:pStyle w:val="BodyText"/>
            </w:pPr>
            <w:r w:rsidRPr="001B4C78">
              <w:t>Performance Criteria describe the required performance needed to demonstrate achievement of the element. Assessment of performance is to be consistent with the Evidence Guide.</w:t>
            </w:r>
          </w:p>
        </w:tc>
      </w:tr>
    </w:tbl>
    <w:p w:rsidR="00000000" w:rsidRPr="001B4C78" w:rsidP="001B4C78">
      <w:pPr>
        <w:pStyle w:val="BodyText"/>
      </w:pPr>
    </w:p>
    <w:p w:rsidR="00000000" w:rsidRPr="001B4C78" w:rsidP="001B4C78">
      <w:pPr>
        <w:pStyle w:val="AllowPageBreak"/>
      </w:pPr>
    </w:p>
    <w:p w:rsidR="00000000" w:rsidRPr="001B4C78" w:rsidP="001B4C78">
      <w:pPr>
        <w:pStyle w:val="Heading1"/>
      </w:pPr>
      <w:bookmarkStart w:id="8" w:name="O_474516"/>
      <w:bookmarkEnd w:id="8"/>
      <w:r w:rsidRPr="001B4C78">
        <w:t>Elements and Performance Criteria</w:t>
      </w:r>
    </w:p>
    <w:tbl>
      <w:tblPr>
        <w:tblW w:w="0" w:type="auto"/>
        <w:tblLayout w:type="fixed"/>
        <w:tblCellMar>
          <w:left w:w="62" w:type="dxa"/>
          <w:right w:w="62" w:type="dxa"/>
        </w:tblCellMar>
        <w:tblLook w:val="0000"/>
      </w:tblPr>
      <w:tblGrid>
        <w:gridCol w:w="406"/>
        <w:gridCol w:w="2294"/>
        <w:gridCol w:w="14"/>
        <w:gridCol w:w="905"/>
        <w:gridCol w:w="4841"/>
        <w:gridCol w:w="45"/>
      </w:tblGrid>
      <w:tr w:rsidTr="00BA233E">
        <w:tblPrEx>
          <w:tblW w:w="0" w:type="auto"/>
          <w:tblLayout w:type="fixed"/>
          <w:tblCellMar>
            <w:left w:w="62" w:type="dxa"/>
            <w:right w:w="62" w:type="dxa"/>
          </w:tblCellMar>
          <w:tblLook w:val="0000"/>
        </w:tblPrEx>
        <w:trPr>
          <w:gridAfter w:val="1"/>
          <w:wAfter w:w="45" w:type="dxa"/>
          <w:tblHeader/>
        </w:trPr>
        <w:tc>
          <w:tcPr>
            <w:tcW w:w="2700" w:type="dxa"/>
            <w:gridSpan w:val="2"/>
            <w:tcBorders>
              <w:top w:val="nil"/>
              <w:left w:val="nil"/>
              <w:bottom w:val="nil"/>
              <w:right w:val="nil"/>
            </w:tcBorders>
            <w:tcMar>
              <w:top w:w="0" w:type="dxa"/>
              <w:left w:w="62" w:type="dxa"/>
              <w:bottom w:w="0" w:type="dxa"/>
              <w:right w:w="62" w:type="dxa"/>
            </w:tcMar>
          </w:tcPr>
          <w:p w:rsidR="00000000" w:rsidRPr="001B4C78" w:rsidP="001B4C78">
            <w:pPr>
              <w:pStyle w:val="BodyText"/>
            </w:pPr>
            <w:r w:rsidRPr="001B4C78">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rPr>
                <w:rStyle w:val="SpecialBold"/>
              </w:rPr>
              <w:t>PERFORMANCE CRITERIA</w:t>
            </w:r>
          </w:p>
        </w:tc>
      </w:tr>
      <w:tr w:rsidTr="00BA233E">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t>1</w:t>
            </w:r>
          </w:p>
        </w:tc>
        <w:tc>
          <w:tcPr>
            <w:tcW w:w="2308" w:type="dxa"/>
            <w:gridSpan w:val="2"/>
            <w:vMerge w:val="restart"/>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t>Plan for quality control</w:t>
            </w:r>
          </w:p>
        </w:tc>
        <w:tc>
          <w:tcPr>
            <w:tcW w:w="905" w:type="dxa"/>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t>1.1</w:t>
            </w:r>
          </w:p>
        </w:tc>
        <w:tc>
          <w:tcPr>
            <w:tcW w:w="4886" w:type="dxa"/>
            <w:gridSpan w:val="2"/>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t>Occupational Health and Safety standards, statutory requirements, relevant Australian standards, codes of practice, manufacturers’ specifications, environmental requirements and enterprise procedures ar</w:t>
            </w:r>
            <w:r w:rsidRPr="001B4C78">
              <w:t>e identified, applied and monitored throughout the work procedure</w:t>
            </w:r>
          </w:p>
        </w:tc>
      </w:tr>
      <w:tr w:rsidTr="00BA233E">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t>1.2</w:t>
            </w:r>
          </w:p>
        </w:tc>
        <w:tc>
          <w:tcPr>
            <w:tcW w:w="4886" w:type="dxa"/>
            <w:gridSpan w:val="2"/>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t>Parameters are established accordance with standard procedures</w:t>
            </w:r>
          </w:p>
        </w:tc>
      </w:tr>
      <w:tr w:rsidTr="00BA233E">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t>1.3</w:t>
            </w:r>
          </w:p>
        </w:tc>
        <w:tc>
          <w:tcPr>
            <w:tcW w:w="4886" w:type="dxa"/>
            <w:gridSpan w:val="2"/>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t>Knowledge of process improvement techniques are used to facilitate work groups to assist in the identification and resolution of quality variances</w:t>
            </w:r>
          </w:p>
        </w:tc>
      </w:tr>
      <w:tr w:rsidTr="00BA233E">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t>1.4</w:t>
            </w:r>
          </w:p>
        </w:tc>
        <w:tc>
          <w:tcPr>
            <w:tcW w:w="4886" w:type="dxa"/>
            <w:gridSpan w:val="2"/>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t xml:space="preserve">Where appropriate, the teams and individuals roles and responsibilities within the team are identified and, where required, assist in the provision of the on-the-job training </w:t>
            </w:r>
          </w:p>
        </w:tc>
      </w:tr>
      <w:tr w:rsidTr="00BA233E">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t>2</w:t>
            </w:r>
          </w:p>
        </w:tc>
        <w:tc>
          <w:tcPr>
            <w:tcW w:w="2308" w:type="dxa"/>
            <w:gridSpan w:val="2"/>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t>Monitor quality control</w:t>
            </w:r>
          </w:p>
        </w:tc>
        <w:tc>
          <w:tcPr>
            <w:tcW w:w="905" w:type="dxa"/>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t>2.1</w:t>
            </w:r>
          </w:p>
        </w:tc>
        <w:tc>
          <w:tcPr>
            <w:tcW w:w="4886" w:type="dxa"/>
            <w:gridSpan w:val="2"/>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t>Monitoring equipment is checked for correct calib</w:t>
            </w:r>
            <w:r w:rsidRPr="001B4C78">
              <w:t>ration and environmental conditions confirmed to ensure reliability and accuracy of tests and results where required</w:t>
            </w:r>
          </w:p>
        </w:tc>
      </w:tr>
      <w:tr w:rsidTr="00BA233E">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t>2.2</w:t>
            </w:r>
          </w:p>
        </w:tc>
        <w:tc>
          <w:tcPr>
            <w:tcW w:w="4886" w:type="dxa"/>
            <w:gridSpan w:val="2"/>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t>Implement the enterprise quality control procedures</w:t>
            </w:r>
          </w:p>
        </w:tc>
      </w:tr>
      <w:tr w:rsidTr="00BA233E">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t>2.3</w:t>
            </w:r>
          </w:p>
        </w:tc>
        <w:tc>
          <w:tcPr>
            <w:tcW w:w="4886" w:type="dxa"/>
            <w:gridSpan w:val="2"/>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t>Deviation and fault data is collected and reported in accordance with pro</w:t>
            </w:r>
            <w:r w:rsidRPr="001B4C78">
              <w:t>cedures</w:t>
            </w:r>
          </w:p>
        </w:tc>
      </w:tr>
      <w:tr w:rsidTr="00BA233E">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t>3</w:t>
            </w:r>
          </w:p>
        </w:tc>
        <w:tc>
          <w:tcPr>
            <w:tcW w:w="2308" w:type="dxa"/>
            <w:gridSpan w:val="2"/>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t>Complete documentation</w:t>
            </w:r>
          </w:p>
        </w:tc>
        <w:tc>
          <w:tcPr>
            <w:tcW w:w="905" w:type="dxa"/>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t>3.1</w:t>
            </w:r>
          </w:p>
        </w:tc>
        <w:tc>
          <w:tcPr>
            <w:tcW w:w="4886" w:type="dxa"/>
            <w:gridSpan w:val="2"/>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t>Calibration records of test equipment maintained in accordance with standard operating procedures where required</w:t>
            </w:r>
          </w:p>
        </w:tc>
      </w:tr>
      <w:tr w:rsidTr="00BA233E">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t>3.2</w:t>
            </w:r>
          </w:p>
        </w:tc>
        <w:tc>
          <w:tcPr>
            <w:tcW w:w="4886" w:type="dxa"/>
            <w:gridSpan w:val="2"/>
            <w:tcBorders>
              <w:top w:val="nil"/>
              <w:left w:val="nil"/>
              <w:bottom w:val="nil"/>
              <w:right w:val="nil"/>
            </w:tcBorders>
            <w:tcMar>
              <w:top w:w="0" w:type="dxa"/>
              <w:left w:w="62" w:type="dxa"/>
              <w:bottom w:w="0" w:type="dxa"/>
              <w:right w:w="62" w:type="dxa"/>
            </w:tcMar>
          </w:tcPr>
          <w:p w:rsidR="00000000" w:rsidRPr="001B4C78" w:rsidP="001B4C78">
            <w:pPr>
              <w:pStyle w:val="BodyText"/>
            </w:pPr>
            <w:r w:rsidRPr="001B4C78">
              <w:t>Documentation is completed in accordance with procedures</w:t>
            </w:r>
          </w:p>
        </w:tc>
      </w:tr>
    </w:tbl>
    <w:p w:rsidR="00000000" w:rsidRPr="001B4C78" w:rsidP="001B4C78">
      <w:pPr>
        <w:pStyle w:val="BodyText"/>
      </w:pPr>
    </w:p>
    <w:p w:rsidR="00000000" w:rsidRPr="001B4C78" w:rsidP="001B4C78">
      <w:pPr>
        <w:pStyle w:val="AllowPageBreak"/>
      </w:pPr>
    </w:p>
    <w:p w:rsidR="00000000" w:rsidRPr="001B4C78" w:rsidP="001B4C78">
      <w:pPr>
        <w:pStyle w:val="Heading1"/>
      </w:pPr>
      <w:bookmarkStart w:id="9" w:name="O_474524"/>
      <w:bookmarkEnd w:id="9"/>
      <w:r w:rsidRPr="001B4C78">
        <w:t>Req</w:t>
      </w:r>
      <w:r w:rsidRPr="001B4C78">
        <w:t>uired Skills and Knowledge</w:t>
      </w:r>
    </w:p>
    <w:tbl>
      <w:tblPr>
        <w:tblW w:w="0" w:type="auto"/>
        <w:tblLayout w:type="fixed"/>
        <w:tblCellMar>
          <w:left w:w="62" w:type="dxa"/>
          <w:right w:w="62" w:type="dxa"/>
        </w:tblCellMar>
        <w:tblLook w:val="0000"/>
      </w:tblPr>
      <w:tblGrid>
        <w:gridCol w:w="8460"/>
      </w:tblGrid>
      <w:tr w:rsidTr="00BA233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rPr>
                <w:rStyle w:val="SpecialBold"/>
              </w:rPr>
              <w:t>REQUIRED SKILLS AND KNOWLEDGE</w:t>
            </w:r>
          </w:p>
        </w:tc>
      </w:tr>
      <w:tr w:rsidTr="00BA233E">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B4C78" w:rsidP="001B4C78">
            <w:pPr>
              <w:pStyle w:val="BodyText"/>
            </w:pPr>
            <w:r w:rsidRPr="001B4C78">
              <w:rPr>
                <w:rStyle w:val="SpecialBold"/>
              </w:rPr>
              <w:t>8)</w:t>
            </w:r>
            <w:r w:rsidRPr="001B4C78">
              <w:t xml:space="preserve"> This describes the essential skills and knowledge and their level, required for this unit.</w:t>
            </w:r>
          </w:p>
          <w:p w:rsidR="00000000" w:rsidRPr="001B4C78" w:rsidP="001B4C78">
            <w:pPr>
              <w:pStyle w:val="BodyText"/>
            </w:pPr>
            <w:r w:rsidRPr="001B4C78">
              <w:t>Evidence shall show that knowledge has been acquired monitoring the implementation of the enterprise’s p</w:t>
            </w:r>
            <w:r w:rsidRPr="001B4C78">
              <w:t>roduction/maintenance quality control procedures.</w:t>
            </w:r>
          </w:p>
          <w:p w:rsidR="00000000" w:rsidRPr="001B4C78" w:rsidP="001B4C78">
            <w:pPr>
              <w:pStyle w:val="BodyText"/>
            </w:pPr>
            <w:r w:rsidRPr="001B4C78">
              <w:t>All knowledge and skills detailed in this unit should be contextualised to current industry practices and technologies.</w:t>
            </w:r>
          </w:p>
          <w:p w:rsidR="00000000" w:rsidRPr="001B4C78" w:rsidP="001B4C78">
            <w:pPr>
              <w:pStyle w:val="BodyText"/>
            </w:pPr>
            <w:r w:rsidRPr="001B4C78">
              <w:t>The extent of the Essential Knowledge and Associated Skills required follows:</w:t>
            </w:r>
          </w:p>
          <w:p w:rsidR="00000000" w:rsidRPr="001B4C78" w:rsidP="001B4C78">
            <w:pPr>
              <w:pStyle w:val="BodyText"/>
            </w:pPr>
            <w:r w:rsidRPr="001B4C78">
              <w:t>KS01 - PO416B Monitor the implementation of the enterprise’s production/maintenance quality control procedures</w:t>
            </w:r>
          </w:p>
          <w:p w:rsidR="00000000" w:rsidRPr="001B4C78" w:rsidP="001B4C78">
            <w:pPr>
              <w:pStyle w:val="BodyText"/>
            </w:pPr>
            <w:r w:rsidRPr="001B4C78">
              <w:t>T1 Evidence shall show that knowledge has been acquired for safe working practices of:</w:t>
            </w:r>
          </w:p>
          <w:p w:rsidR="00000000" w:rsidRPr="001B4C78" w:rsidP="001B4C78">
            <w:pPr>
              <w:pStyle w:val="ListBullet"/>
            </w:pPr>
            <w:r w:rsidRPr="001B4C78">
              <w:t>Relevant environmental, occupational health and safety le</w:t>
            </w:r>
            <w:r w:rsidRPr="001B4C78">
              <w:t>gislation and  regulations</w:t>
            </w:r>
          </w:p>
          <w:p w:rsidR="00000000" w:rsidRPr="001B4C78" w:rsidP="001B4C78">
            <w:pPr>
              <w:pStyle w:val="ListBullet"/>
            </w:pPr>
            <w:r w:rsidRPr="001B4C78">
              <w:t>Enterprise procedures</w:t>
            </w:r>
          </w:p>
          <w:p w:rsidR="00000000" w:rsidRPr="001B4C78" w:rsidP="001B4C78">
            <w:pPr>
              <w:pStyle w:val="ListBullet"/>
            </w:pPr>
            <w:r w:rsidRPr="001B4C78">
              <w:t>Plant drawings and manufacturers manuals</w:t>
            </w:r>
          </w:p>
          <w:p w:rsidR="00000000" w:rsidRPr="001B4C78" w:rsidP="001B4C78">
            <w:pPr>
              <w:pStyle w:val="ListBullet"/>
            </w:pPr>
            <w:r w:rsidRPr="001B4C78">
              <w:t>Introduction to and typical arrangements of power production plant</w:t>
            </w:r>
          </w:p>
          <w:p w:rsidR="00000000" w:rsidRPr="001B4C78" w:rsidP="001B4C78">
            <w:pPr>
              <w:pStyle w:val="ListBullet"/>
            </w:pPr>
            <w:r w:rsidRPr="001B4C78">
              <w:t>Relevant plant and equipment, its location and operating parameters</w:t>
            </w:r>
          </w:p>
          <w:p w:rsidR="00000000" w:rsidRPr="001B4C78" w:rsidP="001B4C78">
            <w:pPr>
              <w:pStyle w:val="ListBullet"/>
            </w:pPr>
            <w:r w:rsidRPr="001B4C78">
              <w:t>Relevant international and Aust</w:t>
            </w:r>
            <w:r w:rsidRPr="001B4C78">
              <w:t>ralian standards</w:t>
            </w:r>
          </w:p>
          <w:p w:rsidR="00000000" w:rsidRPr="001B4C78" w:rsidP="001B4C78">
            <w:pPr>
              <w:pStyle w:val="ListBullet"/>
            </w:pPr>
            <w:r w:rsidRPr="001B4C78">
              <w:t>Quality control procedures, processes and techniques</w:t>
            </w:r>
          </w:p>
          <w:p w:rsidR="00000000" w:rsidRPr="001B4C78" w:rsidP="001B4C78">
            <w:pPr>
              <w:pStyle w:val="ListBullet"/>
            </w:pPr>
            <w:r w:rsidRPr="001B4C78">
              <w:t>Statistical analysis</w:t>
            </w:r>
          </w:p>
          <w:p w:rsidR="00000000" w:rsidRPr="001B4C78" w:rsidP="001B4C78">
            <w:pPr>
              <w:pStyle w:val="ListBullet"/>
            </w:pPr>
            <w:r w:rsidRPr="001B4C78">
              <w:t>Monitoring equipment</w:t>
            </w:r>
          </w:p>
          <w:p w:rsidR="00000000" w:rsidRPr="001B4C78" w:rsidP="001B4C78">
            <w:pPr>
              <w:pStyle w:val="ListBullet"/>
            </w:pPr>
            <w:r w:rsidRPr="001B4C78">
              <w:t>Inspection techniques</w:t>
            </w:r>
          </w:p>
          <w:p w:rsidR="00000000" w:rsidRPr="001B4C78" w:rsidP="001B4C78">
            <w:pPr>
              <w:pStyle w:val="ListBullet"/>
            </w:pPr>
            <w:r w:rsidRPr="001B4C78">
              <w:t xml:space="preserve">Data analysis </w:t>
            </w:r>
          </w:p>
          <w:p w:rsidR="00000000" w:rsidRPr="001B4C78" w:rsidP="001B4C78">
            <w:pPr>
              <w:pStyle w:val="BodyText"/>
            </w:pPr>
            <w:r w:rsidRPr="001B4C78">
              <w:t>T2 Specific skills needed to achieve the Performance Criteria:</w:t>
            </w:r>
          </w:p>
          <w:p w:rsidR="00000000" w:rsidRPr="001B4C78" w:rsidP="001B4C78">
            <w:pPr>
              <w:pStyle w:val="ListBullet"/>
            </w:pPr>
            <w:r w:rsidRPr="001B4C78">
              <w:t xml:space="preserve">Interpret plant drawings and manufacturers </w:t>
            </w:r>
            <w:r w:rsidRPr="001B4C78">
              <w:t>manuals</w:t>
            </w:r>
          </w:p>
          <w:p w:rsidR="00000000" w:rsidRPr="001B4C78" w:rsidP="001B4C78">
            <w:pPr>
              <w:pStyle w:val="ListBullet"/>
            </w:pPr>
            <w:r w:rsidRPr="001B4C78">
              <w:t>Apply relevant state and territory regulations</w:t>
            </w:r>
          </w:p>
          <w:p w:rsidR="00000000" w:rsidRPr="001B4C78" w:rsidP="001B4C78">
            <w:pPr>
              <w:pStyle w:val="ListBullet"/>
            </w:pPr>
            <w:r w:rsidRPr="001B4C78">
              <w:t>Apply relevant international and Australian standards,</w:t>
            </w:r>
          </w:p>
          <w:p w:rsidR="00000000" w:rsidRPr="001B4C78" w:rsidP="001B4C78">
            <w:pPr>
              <w:pStyle w:val="ListBullet"/>
            </w:pPr>
            <w:r w:rsidRPr="001B4C78">
              <w:t>Apply quality control procedures, processes and techniques</w:t>
            </w:r>
          </w:p>
          <w:p w:rsidR="00000000" w:rsidRPr="001B4C78" w:rsidP="001B4C78">
            <w:pPr>
              <w:pStyle w:val="ListBullet"/>
            </w:pPr>
            <w:r w:rsidRPr="001B4C78">
              <w:t>Monitor quality control processes and techniques</w:t>
            </w:r>
          </w:p>
          <w:p w:rsidR="00000000" w:rsidRPr="001B4C78" w:rsidP="001B4C78">
            <w:pPr>
              <w:pStyle w:val="ListBullet"/>
            </w:pPr>
            <w:r w:rsidRPr="001B4C78">
              <w:t>Perform statistical analysis</w:t>
            </w:r>
          </w:p>
          <w:p w:rsidR="00000000" w:rsidRPr="001B4C78" w:rsidP="001B4C78">
            <w:pPr>
              <w:pStyle w:val="ListBullet"/>
            </w:pPr>
            <w:r w:rsidRPr="001B4C78">
              <w:t>Conduct inspections</w:t>
            </w:r>
          </w:p>
          <w:p w:rsidR="00000000" w:rsidRPr="001B4C78" w:rsidP="001B4C78">
            <w:pPr>
              <w:pStyle w:val="ListBullet"/>
            </w:pPr>
            <w:r w:rsidRPr="001B4C78">
              <w:t>Identify variances to specifications</w:t>
            </w:r>
          </w:p>
          <w:p w:rsidR="00000000" w:rsidRPr="001B4C78" w:rsidP="001B4C78">
            <w:pPr>
              <w:pStyle w:val="ListBullet"/>
            </w:pPr>
            <w:r w:rsidRPr="001B4C78">
              <w:t>Communicate effectively.</w:t>
            </w:r>
          </w:p>
        </w:tc>
      </w:tr>
    </w:tbl>
    <w:p w:rsidR="00000000" w:rsidRPr="001B4C78" w:rsidP="001B4C78">
      <w:pPr>
        <w:pStyle w:val="BodyText"/>
      </w:pPr>
    </w:p>
    <w:p w:rsidR="00000000" w:rsidRPr="001B4C78" w:rsidP="001B4C78">
      <w:pPr>
        <w:pStyle w:val="AllowPageBreak"/>
      </w:pPr>
    </w:p>
    <w:p w:rsidR="00000000" w:rsidRPr="001B4C78" w:rsidP="001B4C78">
      <w:pPr>
        <w:pStyle w:val="Heading1"/>
      </w:pPr>
      <w:bookmarkStart w:id="10" w:name="O_474519"/>
      <w:bookmarkEnd w:id="10"/>
      <w:r w:rsidRPr="001B4C78">
        <w:t>Evidence Guide</w:t>
      </w:r>
    </w:p>
    <w:tbl>
      <w:tblPr>
        <w:tblW w:w="0" w:type="auto"/>
        <w:tblLayout w:type="fixed"/>
        <w:tblCellMar>
          <w:left w:w="62" w:type="dxa"/>
          <w:right w:w="62" w:type="dxa"/>
        </w:tblCellMar>
        <w:tblLook w:val="0000"/>
      </w:tblPr>
      <w:tblGrid>
        <w:gridCol w:w="8460"/>
      </w:tblGrid>
      <w:tr w:rsidTr="00BA233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rPr>
                <w:rStyle w:val="SpecialBold"/>
              </w:rPr>
              <w:t>EVIDENCE GUIDE</w:t>
            </w:r>
          </w:p>
        </w:tc>
      </w:tr>
      <w:tr w:rsidTr="00BA233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B4C78" w:rsidP="001B4C78">
            <w:pPr>
              <w:pStyle w:val="BodyText"/>
            </w:pPr>
            <w:r w:rsidRPr="001B4C78">
              <w:rPr>
                <w:rStyle w:val="SpecialBold"/>
              </w:rPr>
              <w:t>9)</w:t>
            </w:r>
            <w:r w:rsidRPr="001B4C78">
              <w:t xml:space="preserve"> This provides essential advice for assessment of the competency standard unit and must be read </w:t>
            </w:r>
            <w:r w:rsidRPr="001B4C78">
              <w:t>in conjunction with the Performance Criteria and the Range Statement of the unit and the Training Package Assessment Guidelines.</w:t>
            </w:r>
          </w:p>
          <w:p w:rsidR="00000000" w:rsidRPr="001B4C78" w:rsidP="001B4C78">
            <w:pPr>
              <w:pStyle w:val="BodyText"/>
            </w:pPr>
            <w:r w:rsidRPr="001B4C78">
              <w:t>The Evidence Guide forms an integral part of this competency standard unit and shall be used in conjunction with all components</w:t>
            </w:r>
            <w:r w:rsidRPr="001B4C78">
              <w:t xml:space="preserve"> parts of this unit and, performed in accordance with the Assessment Guidelines of this Training Package.</w:t>
            </w:r>
          </w:p>
        </w:tc>
      </w:tr>
    </w:tbl>
    <w:p w:rsidR="00000000" w:rsidRPr="001B4C78" w:rsidP="001B4C78">
      <w:pPr>
        <w:pStyle w:val="BodyText"/>
      </w:pPr>
    </w:p>
    <w:tbl>
      <w:tblPr>
        <w:tblW w:w="0" w:type="auto"/>
        <w:tblLayout w:type="fixed"/>
        <w:tblCellMar>
          <w:left w:w="62" w:type="dxa"/>
          <w:right w:w="62" w:type="dxa"/>
        </w:tblCellMar>
        <w:tblLook w:val="0000"/>
      </w:tblPr>
      <w:tblGrid>
        <w:gridCol w:w="1890"/>
        <w:gridCol w:w="6570"/>
      </w:tblGrid>
      <w:tr w:rsidTr="00BA23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B4C78" w:rsidP="001B4C78">
            <w:pPr>
              <w:pStyle w:val="BodyText"/>
            </w:pPr>
            <w:r w:rsidRPr="001B4C7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rPr>
                <w:rStyle w:val="SpecialBold"/>
              </w:rPr>
              <w:t>9.1)</w:t>
            </w:r>
          </w:p>
        </w:tc>
      </w:tr>
      <w:tr w:rsidTr="00BA23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B4C78" w:rsidP="001B4C78">
            <w:pPr>
              <w:pStyle w:val="BodyText"/>
            </w:pPr>
            <w:r w:rsidRPr="001B4C78">
              <w:t xml:space="preserve">Longitude competency development approaches to assessment, such as Profiling, require data to be reliably gathered in </w:t>
            </w:r>
            <w:r w:rsidRPr="001B4C78">
              <w:t xml:space="preserve">a form that can be consistently interpreted over time. This approach is best utilised in Apprenticeship programs and reduces assessment intervention. It is the Industry preferred model for apprenticeships. However, where summative (or final) assessment is </w:t>
            </w:r>
            <w:r w:rsidRPr="001B4C78">
              <w:t>used it is to include the application of the competency in the normal work environment or, at a minimum, the application of the competency in a realistically simulated work environment. It is recognised that, in some circumstances, assessment in part or fu</w:t>
            </w:r>
            <w:r w:rsidRPr="001B4C78">
              <w:t>ll can occur outside the workplace. However, it must be in accord with Industry and regulatory policy.</w:t>
            </w:r>
          </w:p>
          <w:p w:rsidR="00000000" w:rsidRPr="001B4C78" w:rsidP="001B4C78">
            <w:pPr>
              <w:pStyle w:val="BodyText"/>
            </w:pPr>
            <w:r w:rsidRPr="001B4C78">
              <w:t>Methods chosen for a particular assessment will be influenced by various factors. These include the extent of the assessment, the most effective location</w:t>
            </w:r>
            <w:r w:rsidRPr="001B4C78">
              <w:t>s for the assessment activities to take place, access to physical resources, additional safety measures that may be required and the critical nature of the competencies being assessed.</w:t>
            </w:r>
          </w:p>
          <w:p w:rsidR="00000000" w:rsidRPr="001B4C78" w:rsidP="001B4C78">
            <w:pPr>
              <w:pStyle w:val="BodyText"/>
            </w:pPr>
            <w:r w:rsidRPr="001B4C78">
              <w:t>The critical safety nature of working with electricity, electrical equi</w:t>
            </w:r>
            <w:r w:rsidRPr="001B4C78">
              <w:t>pment, gas or any other hazardous substance/material carries risk in deeming a person competent. Hence, sources of evidence need to be ‘rich’ in nature so as to minimise error in judgment.</w:t>
            </w:r>
          </w:p>
          <w:p w:rsidR="00000000" w:rsidRPr="001B4C78" w:rsidP="001B4C78">
            <w:pPr>
              <w:pStyle w:val="BodyText"/>
            </w:pPr>
            <w:r w:rsidRPr="001B4C78">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1B4C78">
              <w:t>may be more or less frequently practised. These points are raised for the assessors to consider when choosing an assessment method and developing assessment instruments. Sample assessment instruments are included in the Assessment Guidelines of this Traini</w:t>
            </w:r>
            <w:r w:rsidRPr="001B4C78">
              <w:t>ng Package.</w:t>
            </w:r>
          </w:p>
        </w:tc>
      </w:tr>
    </w:tbl>
    <w:p w:rsidR="00000000" w:rsidRPr="001B4C78" w:rsidP="001B4C78">
      <w:pPr>
        <w:pStyle w:val="BodyText"/>
      </w:pPr>
    </w:p>
    <w:tbl>
      <w:tblPr>
        <w:tblW w:w="0" w:type="auto"/>
        <w:tblLayout w:type="fixed"/>
        <w:tblCellMar>
          <w:left w:w="62" w:type="dxa"/>
          <w:right w:w="62" w:type="dxa"/>
        </w:tblCellMar>
        <w:tblLook w:val="0000"/>
      </w:tblPr>
      <w:tblGrid>
        <w:gridCol w:w="1890"/>
        <w:gridCol w:w="6570"/>
      </w:tblGrid>
      <w:tr w:rsidTr="00BA23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B4C78" w:rsidP="001B4C78">
            <w:pPr>
              <w:pStyle w:val="BodyText"/>
            </w:pPr>
            <w:r w:rsidRPr="001B4C78">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rPr>
                <w:rStyle w:val="SpecialBold"/>
              </w:rPr>
              <w:t>9.2)</w:t>
            </w:r>
          </w:p>
        </w:tc>
      </w:tr>
      <w:tr w:rsidTr="00BA23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B4C78" w:rsidP="001B4C78">
            <w:pPr>
              <w:pStyle w:val="BodyText"/>
            </w:pPr>
            <w:r w:rsidRPr="001B4C78">
              <w:t>Before the critical aspects of evidence are considered all pre-requisites shall be met.</w:t>
            </w:r>
          </w:p>
          <w:p w:rsidR="00000000" w:rsidRPr="001B4C78" w:rsidP="001B4C78">
            <w:pPr>
              <w:pStyle w:val="BodyText"/>
            </w:pPr>
            <w:r w:rsidRPr="001B4C78">
              <w:t>Evidence for competence in this unit shall be considered holistically.</w:t>
            </w:r>
            <w:r w:rsidRPr="001B4C78">
              <w:t xml:space="preserve">  Each element and associated Performance Criteria shall be demonstrated on at least two occasions in accordance with the “Assessment Guidelines – UEP12”.  Evidence shall also comprise:</w:t>
            </w:r>
          </w:p>
          <w:p w:rsidR="00000000" w:rsidRPr="001B4C78" w:rsidP="001B4C78">
            <w:pPr>
              <w:pStyle w:val="ListBullet"/>
            </w:pPr>
            <w:r w:rsidRPr="001B4C78">
              <w:t>A representative body of work performance demonstrated within the tim</w:t>
            </w:r>
            <w:r w:rsidRPr="001B4C78">
              <w:t>eframes typically expected of the discipline, work function and industrial environment. In particular this shall incorporate evidence that shows a candidate is able to:</w:t>
            </w:r>
          </w:p>
          <w:p w:rsidR="00000000" w:rsidRPr="001B4C78" w:rsidP="001B4C78">
            <w:pPr>
              <w:pStyle w:val="ListBullet2"/>
            </w:pPr>
            <w:r w:rsidRPr="001B4C78">
              <w:t xml:space="preserve">Implement Occupational Health and Safety workplace procedures and practices including </w:t>
            </w:r>
            <w:r w:rsidRPr="001B4C78">
              <w:t>the use of risk control measures as specified in the Performance Criteria and Range Statement</w:t>
            </w:r>
          </w:p>
          <w:p w:rsidR="00000000" w:rsidRPr="001B4C78" w:rsidP="001B4C78">
            <w:pPr>
              <w:pStyle w:val="ListBullet2"/>
            </w:pPr>
            <w:r w:rsidRPr="001B4C78">
              <w:t>Apply sustainable energy principles and practices as specified in the Performance Criteria and Range Statement</w:t>
            </w:r>
          </w:p>
          <w:p w:rsidR="00000000" w:rsidRPr="001B4C78" w:rsidP="001B4C78">
            <w:pPr>
              <w:pStyle w:val="ListBullet2"/>
            </w:pPr>
            <w:r w:rsidRPr="001B4C78">
              <w:t>Demonstrate an understanding of the essential knowledge and associated skills as described in 6) Essential Knowledge and Associated Skills of this unit</w:t>
            </w:r>
          </w:p>
          <w:p w:rsidR="00000000" w:rsidRPr="001B4C78" w:rsidP="001B4C78">
            <w:pPr>
              <w:pStyle w:val="ListBullet2"/>
            </w:pPr>
            <w:r w:rsidRPr="001B4C78">
              <w:t>Demonstrate an appropriate level of employability skills</w:t>
            </w:r>
          </w:p>
          <w:p w:rsidR="00000000" w:rsidRPr="001B4C78" w:rsidP="001B4C78">
            <w:pPr>
              <w:pStyle w:val="ListBullet2"/>
            </w:pPr>
            <w:r w:rsidRPr="001B4C78">
              <w:t>Conduct work observing the relevant Anti-Discri</w:t>
            </w:r>
            <w:r w:rsidRPr="001B4C78">
              <w:t>mination legislation, regulations, polices and workplace procedure</w:t>
            </w:r>
          </w:p>
          <w:p w:rsidR="00000000" w:rsidRPr="001B4C78" w:rsidP="001B4C78">
            <w:pPr>
              <w:pStyle w:val="ListBullet"/>
            </w:pPr>
            <w:r w:rsidRPr="001B4C78">
              <w:t>Demonstrated performance across a representative range of contexts from the prescribed items below:</w:t>
            </w:r>
          </w:p>
          <w:p w:rsidR="00000000" w:rsidRPr="001B4C78" w:rsidP="001B4C78">
            <w:pPr>
              <w:pStyle w:val="ListBullet2"/>
            </w:pPr>
            <w:r w:rsidRPr="001B4C78">
              <w:t>The knowledge and application of relevant sections of: Occupational Health and Safety l</w:t>
            </w:r>
            <w:r w:rsidRPr="001B4C78">
              <w:t>egislation; Statutory legislation; Enterprise/site safety procedures; Enterprise/site emergency procedures</w:t>
            </w:r>
          </w:p>
          <w:p w:rsidR="00000000" w:rsidRPr="001B4C78" w:rsidP="001B4C78">
            <w:pPr>
              <w:pStyle w:val="ListBullet2"/>
            </w:pPr>
            <w:r w:rsidRPr="001B4C78">
              <w:t>The application of quality control procedures, processes and techniques</w:t>
            </w:r>
          </w:p>
          <w:p w:rsidR="00000000" w:rsidRPr="001B4C78" w:rsidP="001B4C78">
            <w:pPr>
              <w:pStyle w:val="ListBullet2"/>
            </w:pPr>
            <w:r w:rsidRPr="001B4C78">
              <w:t>Using specifications and manuals</w:t>
            </w:r>
          </w:p>
          <w:p w:rsidR="00000000" w:rsidRPr="001B4C78" w:rsidP="001B4C78">
            <w:pPr>
              <w:pStyle w:val="ListBullet2"/>
            </w:pPr>
            <w:r w:rsidRPr="001B4C78">
              <w:t>Dealing with an unplanned event by drawing o</w:t>
            </w:r>
            <w:r w:rsidRPr="001B4C78">
              <w:t>n essential knowledge and skills to provide appropriate solutions incorporated in the holistic assessment with the above listed items.</w:t>
            </w:r>
          </w:p>
        </w:tc>
      </w:tr>
    </w:tbl>
    <w:p w:rsidR="00000000" w:rsidRPr="001B4C78" w:rsidP="001B4C78">
      <w:pPr>
        <w:pStyle w:val="BodyText"/>
      </w:pPr>
    </w:p>
    <w:tbl>
      <w:tblPr>
        <w:tblW w:w="0" w:type="auto"/>
        <w:tblLayout w:type="fixed"/>
        <w:tblCellMar>
          <w:left w:w="62" w:type="dxa"/>
          <w:right w:w="62" w:type="dxa"/>
        </w:tblCellMar>
        <w:tblLook w:val="0000"/>
      </w:tblPr>
      <w:tblGrid>
        <w:gridCol w:w="1890"/>
        <w:gridCol w:w="6570"/>
      </w:tblGrid>
      <w:tr w:rsidTr="00BA233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B4C78" w:rsidP="001B4C78">
            <w:pPr>
              <w:pStyle w:val="BodyText"/>
            </w:pPr>
            <w:r w:rsidRPr="001B4C7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rPr>
                <w:rStyle w:val="SpecialBold"/>
              </w:rPr>
              <w:t>9.3)</w:t>
            </w:r>
          </w:p>
        </w:tc>
      </w:tr>
      <w:tr w:rsidTr="00BA233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B4C78" w:rsidP="001B4C78">
            <w:pPr>
              <w:pStyle w:val="BodyText"/>
            </w:pPr>
            <w:r w:rsidRPr="001B4C78">
              <w:t>This unit should be assessed as it relates to normal work practice using procedures, information and resources typical of a workplace. This should include:</w:t>
            </w:r>
          </w:p>
          <w:p w:rsidR="00000000" w:rsidRPr="001B4C78" w:rsidP="001B4C78">
            <w:pPr>
              <w:pStyle w:val="ListBullet"/>
            </w:pPr>
            <w:r w:rsidRPr="001B4C78">
              <w:t>OHS policy and work procedures and instructions.</w:t>
            </w:r>
          </w:p>
          <w:p w:rsidR="00000000" w:rsidRPr="001B4C78" w:rsidP="001B4C78">
            <w:pPr>
              <w:pStyle w:val="ListBullet"/>
            </w:pPr>
            <w:r w:rsidRPr="001B4C78">
              <w:t>Suitable work environment, facilities, equipment a</w:t>
            </w:r>
            <w:r w:rsidRPr="001B4C78">
              <w:t>nd materials to undertake actual work as prescribed by this unit.</w:t>
            </w:r>
          </w:p>
          <w:p w:rsidR="00000000" w:rsidRPr="001B4C78" w:rsidP="001B4C78">
            <w:pPr>
              <w:pStyle w:val="BodyText"/>
            </w:pPr>
            <w:r w:rsidRPr="001B4C78">
              <w:t>Competency Standards should be assessed in the workplace or simulated workplace and under the normal range of workplace conditions.</w:t>
            </w:r>
          </w:p>
          <w:p w:rsidR="00000000" w:rsidRPr="001B4C78" w:rsidP="001B4C78">
            <w:pPr>
              <w:pStyle w:val="BodyText"/>
            </w:pPr>
            <w:r w:rsidRPr="001B4C78">
              <w:t>Assessment of this unit will be supported with document</w:t>
            </w:r>
            <w:r w:rsidRPr="001B4C78">
              <w:t>ary evidence, by means of endorsement stating type and application of work.</w:t>
            </w:r>
          </w:p>
          <w:p w:rsidR="00000000" w:rsidRPr="001B4C78" w:rsidP="001B4C78">
            <w:pPr>
              <w:pStyle w:val="BodyText"/>
            </w:pPr>
            <w:r w:rsidRPr="001B4C78">
              <w:t>In addition to the resources listed above in Context of assessment’, evidence should show competency working in limited spaces with different types of plant and equipment as well a</w:t>
            </w:r>
            <w:r w:rsidRPr="001B4C78">
              <w:t>s different structural/construction types and methods and in a variety of environments.</w:t>
            </w:r>
          </w:p>
        </w:tc>
      </w:tr>
    </w:tbl>
    <w:p w:rsidR="00000000" w:rsidRPr="001B4C78" w:rsidP="001B4C78">
      <w:pPr>
        <w:pStyle w:val="BodyText"/>
      </w:pPr>
    </w:p>
    <w:tbl>
      <w:tblPr>
        <w:tblW w:w="0" w:type="auto"/>
        <w:tblLayout w:type="fixed"/>
        <w:tblCellMar>
          <w:left w:w="62" w:type="dxa"/>
          <w:right w:w="62" w:type="dxa"/>
        </w:tblCellMar>
        <w:tblLook w:val="0000"/>
      </w:tblPr>
      <w:tblGrid>
        <w:gridCol w:w="1890"/>
        <w:gridCol w:w="6570"/>
      </w:tblGrid>
      <w:tr w:rsidTr="00BA23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B4C78" w:rsidP="001B4C78">
            <w:pPr>
              <w:pStyle w:val="BodyText"/>
            </w:pPr>
            <w:r w:rsidRPr="001B4C7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rPr>
                <w:rStyle w:val="SpecialBold"/>
              </w:rPr>
              <w:t>9.4)</w:t>
            </w:r>
          </w:p>
        </w:tc>
      </w:tr>
      <w:tr w:rsidTr="00BA23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B4C78" w:rsidP="001B4C78">
            <w:pPr>
              <w:pStyle w:val="BodyText"/>
            </w:pPr>
            <w:r w:rsidRPr="001B4C78">
              <w:t>This unit shall be assessed by methods given in Section 1.3.00 Assessment Guidelines.</w:t>
            </w:r>
          </w:p>
          <w:p w:rsidR="00000000" w:rsidRPr="001B4C78" w:rsidP="001B4C78">
            <w:pPr>
              <w:pStyle w:val="BodyText"/>
            </w:pPr>
            <w:r w:rsidRPr="001B4C78">
              <w:t xml:space="preserve">Note: </w:t>
            </w:r>
          </w:p>
          <w:p w:rsidR="00000000" w:rsidRPr="001B4C78" w:rsidP="001B4C78">
            <w:pPr>
              <w:pStyle w:val="BodyText"/>
            </w:pPr>
            <w:r w:rsidRPr="001B4C78">
              <w:t>Competent performance with inherent safe working practices is expected in the Industry to which this unit applies. This requires that the specified essential knowledge and associated skills are assessed in a structured environment which is primarily intend</w:t>
            </w:r>
            <w:r w:rsidRPr="001B4C78">
              <w:t>ed for learning/assessment and incorporates all necessary equipment and facilities for learners to develop and demonstrate the essential knowledge and skills described in this unit.</w:t>
            </w:r>
          </w:p>
        </w:tc>
      </w:tr>
    </w:tbl>
    <w:p w:rsidR="00000000" w:rsidRPr="001B4C78" w:rsidP="001B4C78">
      <w:pPr>
        <w:pStyle w:val="BodyText"/>
      </w:pPr>
    </w:p>
    <w:tbl>
      <w:tblPr>
        <w:tblW w:w="0" w:type="auto"/>
        <w:tblLayout w:type="fixed"/>
        <w:tblCellMar>
          <w:left w:w="62" w:type="dxa"/>
          <w:right w:w="62" w:type="dxa"/>
        </w:tblCellMar>
        <w:tblLook w:val="0000"/>
      </w:tblPr>
      <w:tblGrid>
        <w:gridCol w:w="1890"/>
        <w:gridCol w:w="6570"/>
      </w:tblGrid>
      <w:tr w:rsidTr="00BA23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B4C78" w:rsidP="001B4C78">
            <w:pPr>
              <w:pStyle w:val="BodyText"/>
            </w:pPr>
            <w:r w:rsidRPr="001B4C7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rPr>
                <w:rStyle w:val="SpecialBold"/>
              </w:rPr>
              <w:t>9.5)</w:t>
            </w:r>
          </w:p>
        </w:tc>
      </w:tr>
      <w:tr w:rsidTr="00BA23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B4C78" w:rsidP="001B4C78">
            <w:pPr>
              <w:pStyle w:val="BodyText"/>
            </w:pPr>
            <w:r w:rsidRPr="001B4C78">
              <w:t>There are</w:t>
            </w:r>
            <w:r w:rsidRPr="001B4C78">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1B4C78" w:rsidP="001B4C78">
            <w:pPr>
              <w:pStyle w:val="BodyText"/>
            </w:pPr>
            <w:r w:rsidRPr="001B4C78">
              <w:t>Nil</w:t>
            </w:r>
            <w:r w:rsidRPr="001B4C78">
              <w:tab/>
            </w:r>
          </w:p>
        </w:tc>
      </w:tr>
    </w:tbl>
    <w:p w:rsidR="00000000" w:rsidRPr="001B4C78" w:rsidP="001B4C78">
      <w:pPr>
        <w:pStyle w:val="BodyText"/>
      </w:pPr>
    </w:p>
    <w:p w:rsidR="00000000" w:rsidRPr="001B4C78" w:rsidP="001B4C78">
      <w:pPr>
        <w:pStyle w:val="AllowPageBreak"/>
      </w:pPr>
    </w:p>
    <w:p w:rsidR="00000000" w:rsidRPr="001B4C78" w:rsidP="001B4C78">
      <w:pPr>
        <w:pStyle w:val="Heading1"/>
      </w:pPr>
      <w:bookmarkStart w:id="11" w:name="O_474523"/>
      <w:bookmarkEnd w:id="11"/>
      <w:r w:rsidRPr="001B4C78">
        <w:t xml:space="preserve">Range </w:t>
      </w:r>
      <w:r w:rsidRPr="001B4C78">
        <w:t>Statement</w:t>
      </w:r>
    </w:p>
    <w:tbl>
      <w:tblPr>
        <w:tblW w:w="0" w:type="auto"/>
        <w:tblLayout w:type="fixed"/>
        <w:tblCellMar>
          <w:left w:w="62" w:type="dxa"/>
          <w:right w:w="62" w:type="dxa"/>
        </w:tblCellMar>
        <w:tblLook w:val="0000"/>
      </w:tblPr>
      <w:tblGrid>
        <w:gridCol w:w="8460"/>
      </w:tblGrid>
      <w:tr w:rsidTr="00BA233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rPr>
                <w:rStyle w:val="SpecialBold"/>
              </w:rPr>
              <w:t>RANGE STATEMENT</w:t>
            </w:r>
          </w:p>
        </w:tc>
      </w:tr>
      <w:tr w:rsidTr="00BA233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B4C78" w:rsidP="001B4C78">
            <w:pPr>
              <w:pStyle w:val="BodyText"/>
            </w:pPr>
            <w:r w:rsidRPr="001B4C78">
              <w:rPr>
                <w:rStyle w:val="SpecialBold"/>
              </w:rPr>
              <w:t>10)</w:t>
            </w:r>
            <w:r w:rsidRPr="001B4C78">
              <w:t xml:space="preserve"> This relates to the competency standard unit as a whole, providing the range of contexts and conditions to which the Performance Criteria apply. It allows for different work environments</w:t>
            </w:r>
            <w:r w:rsidRPr="001B4C78">
              <w:t xml:space="preserve"> and situations that will affect performance.</w:t>
            </w:r>
          </w:p>
          <w:p w:rsidR="00000000" w:rsidRPr="001B4C78" w:rsidP="001B4C78">
            <w:pPr>
              <w:pStyle w:val="BodyText"/>
            </w:pPr>
            <w:r w:rsidRPr="001B4C78">
              <w:t>Quality assurance and quality control standards may refer to international and Australian standards.</w:t>
            </w:r>
          </w:p>
          <w:p w:rsidR="00000000" w:rsidRPr="001B4C78" w:rsidP="001B4C78">
            <w:pPr>
              <w:pStyle w:val="BodyText"/>
            </w:pPr>
            <w:r w:rsidRPr="001B4C78">
              <w:t>Customers may be internal or external.</w:t>
            </w:r>
          </w:p>
          <w:p w:rsidR="00000000" w:rsidRPr="001B4C78" w:rsidP="001B4C78">
            <w:pPr>
              <w:pStyle w:val="BodyText"/>
            </w:pPr>
            <w:r w:rsidRPr="001B4C78">
              <w:t>Monitoring equipment may include precision measuring instrument such a</w:t>
            </w:r>
            <w:r w:rsidRPr="001B4C78">
              <w:t>s micrometres, multimeter, oscilloscope and vernier callipers, pressure and temperature indicators/recorders and vibration monitors/recorders.</w:t>
            </w:r>
          </w:p>
          <w:p w:rsidR="00000000" w:rsidRPr="001B4C78" w:rsidP="001B4C78">
            <w:pPr>
              <w:pStyle w:val="BodyText"/>
            </w:pPr>
            <w:r w:rsidRPr="001B4C78">
              <w:t>Environmental conditions may be affected by nearby plant or processes.</w:t>
            </w:r>
          </w:p>
          <w:p w:rsidR="00000000" w:rsidRPr="001B4C78" w:rsidP="001B4C78">
            <w:pPr>
              <w:pStyle w:val="BodyText"/>
            </w:pPr>
            <w:r w:rsidRPr="001B4C78">
              <w:t>Generic terms are used throughout this Tra</w:t>
            </w:r>
            <w:r w:rsidRPr="001B4C78">
              <w:t>ining Package for vocational standard shall be regarded as part of the Range Statement in which competency is demonstrated. The definition of these and other terms are given in Section 2.1 Preliminary Information and Glossaries.</w:t>
            </w:r>
          </w:p>
        </w:tc>
      </w:tr>
    </w:tbl>
    <w:p w:rsidR="00000000" w:rsidRPr="001B4C78" w:rsidP="001B4C78">
      <w:pPr>
        <w:pStyle w:val="BodyText"/>
      </w:pPr>
    </w:p>
    <w:p w:rsidR="00000000" w:rsidRPr="001B4C78" w:rsidP="001B4C78">
      <w:pPr>
        <w:pStyle w:val="AllowPageBreak"/>
      </w:pPr>
    </w:p>
    <w:p w:rsidR="00000000" w:rsidRPr="001B4C78" w:rsidP="001B4C78">
      <w:pPr>
        <w:pStyle w:val="Heading1"/>
      </w:pPr>
      <w:bookmarkStart w:id="12" w:name="O_474526"/>
      <w:bookmarkEnd w:id="12"/>
      <w:r w:rsidRPr="001B4C78">
        <w:t>Unit Sec</w:t>
      </w:r>
      <w:r w:rsidRPr="001B4C78">
        <w:t>tor(s)</w:t>
      </w:r>
    </w:p>
    <w:p w:rsidR="00000000" w:rsidRPr="001B4C78" w:rsidP="001B4C78">
      <w:pPr>
        <w:pStyle w:val="BodyText"/>
      </w:pPr>
      <w:r w:rsidRPr="001B4C78">
        <w:t>Not applicable.</w:t>
      </w:r>
    </w:p>
    <w:p w:rsidR="00000000" w:rsidRPr="001B4C78" w:rsidP="001B4C78">
      <w:pPr>
        <w:pStyle w:val="AllowPageBreak"/>
      </w:pPr>
    </w:p>
    <w:p w:rsidR="00000000" w:rsidRPr="001B4C78" w:rsidP="001B4C78">
      <w:pPr>
        <w:pStyle w:val="Heading1"/>
      </w:pPr>
      <w:bookmarkStart w:id="13" w:name="O_474515"/>
      <w:bookmarkEnd w:id="13"/>
      <w:r w:rsidRPr="001B4C78">
        <w:t>Competency Field</w:t>
      </w:r>
    </w:p>
    <w:tbl>
      <w:tblPr>
        <w:tblW w:w="0" w:type="auto"/>
        <w:tblLayout w:type="fixed"/>
        <w:tblCellMar>
          <w:left w:w="62" w:type="dxa"/>
          <w:right w:w="62" w:type="dxa"/>
        </w:tblCellMar>
        <w:tblLook w:val="0000"/>
      </w:tblPr>
      <w:tblGrid>
        <w:gridCol w:w="2700"/>
        <w:gridCol w:w="5760"/>
      </w:tblGrid>
      <w:tr w:rsidTr="00BA233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4C78" w:rsidP="001B4C78">
            <w:pPr>
              <w:pStyle w:val="BodyText"/>
            </w:pPr>
            <w:r w:rsidRPr="001B4C7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B4C78">
            <w:pPr>
              <w:pStyle w:val="BodyText"/>
              <w:rPr>
                <w:lang w:val="en-NZ"/>
              </w:rPr>
            </w:pPr>
            <w:r w:rsidRPr="001B4C78">
              <w:rPr>
                <w:rStyle w:val="SpecialBold"/>
              </w:rPr>
              <w:t xml:space="preserve">11) </w:t>
            </w:r>
          </w:p>
        </w:tc>
      </w:tr>
      <w:tr w:rsidTr="00BA23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4C78" w:rsidP="001B4C78">
            <w:pPr>
              <w:pStyle w:val="BodyText"/>
            </w:pPr>
            <w:r w:rsidRPr="001B4C78">
              <w:t>Operations</w:t>
            </w:r>
          </w:p>
        </w:tc>
      </w:tr>
    </w:tbl>
    <w:p w:rsidR="00000000" w:rsidRPr="001B4C78" w:rsidP="001B4C78">
      <w:pPr>
        <w:pStyle w:val="BodyText"/>
      </w:pPr>
    </w:p>
    <w:p w:rsidR="00000000" w:rsidRPr="001B4C78" w:rsidP="001B4C78"/>
    <w:sectPr w:rsidSect="001B4C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C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233E" w:rsidP="00BA233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C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33E" w:rsidP="001B4C7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A233E" w:rsidP="001B4C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A233E" w:rsidP="001B4C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C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C78" w:rsidRPr="00BA233E" w:rsidP="00BA233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C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33E" w:rsidRPr="002D2AF8" w:rsidP="001B4C78">
    <w:pPr>
      <w:pStyle w:val="Header"/>
      <w:framePr w:wrap="around"/>
    </w:pPr>
    <w:r>
      <w:fldChar w:fldCharType="begin"/>
    </w:r>
    <w:r>
      <w:instrText xml:space="preserve"> TITLE   \* MERGEFORMAT </w:instrText>
    </w:r>
    <w:r>
      <w:fldChar w:fldCharType="separate"/>
    </w:r>
    <w:r>
      <w:t>UEPOPS416B Monitor the implementation of the enterprise’s production-maintenance quality control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BA233E" w:rsidP="001B4C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06E6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5CB8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0C1A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C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4C78"/>
    <w:pPr>
      <w:spacing w:before="360" w:after="60"/>
      <w:outlineLvl w:val="0"/>
    </w:pPr>
    <w:rPr>
      <w:sz w:val="32"/>
    </w:rPr>
  </w:style>
  <w:style w:type="paragraph" w:styleId="Heading2">
    <w:name w:val="heading 2"/>
    <w:basedOn w:val="HeadingBase"/>
    <w:next w:val="BodyText"/>
    <w:link w:val="Heading2Char"/>
    <w:qFormat/>
    <w:rsid w:val="001B4C78"/>
    <w:pPr>
      <w:keepLines/>
      <w:spacing w:before="240" w:after="120"/>
      <w:outlineLvl w:val="1"/>
    </w:pPr>
    <w:rPr>
      <w:sz w:val="28"/>
      <w:szCs w:val="40"/>
    </w:rPr>
  </w:style>
  <w:style w:type="paragraph" w:styleId="Heading3">
    <w:name w:val="heading 3"/>
    <w:basedOn w:val="HeadingBase"/>
    <w:next w:val="BodyText"/>
    <w:link w:val="Heading3Char"/>
    <w:qFormat/>
    <w:rsid w:val="001B4C78"/>
    <w:pPr>
      <w:spacing w:before="180" w:after="120"/>
      <w:outlineLvl w:val="2"/>
    </w:pPr>
    <w:rPr>
      <w:spacing w:val="-10"/>
      <w:kern w:val="32"/>
    </w:rPr>
  </w:style>
  <w:style w:type="paragraph" w:styleId="Heading4">
    <w:name w:val="heading 4"/>
    <w:basedOn w:val="HeadingBase"/>
    <w:next w:val="BodyText"/>
    <w:link w:val="Heading4Char"/>
    <w:qFormat/>
    <w:rsid w:val="001B4C78"/>
    <w:pPr>
      <w:spacing w:before="160" w:after="120"/>
      <w:outlineLvl w:val="3"/>
    </w:pPr>
    <w:rPr>
      <w:sz w:val="22"/>
    </w:rPr>
  </w:style>
  <w:style w:type="paragraph" w:styleId="Heading5">
    <w:name w:val="heading 5"/>
    <w:basedOn w:val="HeadingBase"/>
    <w:next w:val="Normal"/>
    <w:link w:val="Heading5Char"/>
    <w:qFormat/>
    <w:rsid w:val="001B4C78"/>
    <w:pPr>
      <w:spacing w:before="80"/>
      <w:outlineLvl w:val="4"/>
    </w:pPr>
    <w:rPr>
      <w:color w:val="918585"/>
      <w:sz w:val="20"/>
    </w:rPr>
  </w:style>
  <w:style w:type="paragraph" w:styleId="Heading6">
    <w:name w:val="heading 6"/>
    <w:basedOn w:val="HeadingBase"/>
    <w:next w:val="Normal"/>
    <w:link w:val="Heading6Char"/>
    <w:qFormat/>
    <w:rsid w:val="001B4C78"/>
    <w:pPr>
      <w:spacing w:before="60"/>
      <w:outlineLvl w:val="5"/>
    </w:pPr>
    <w:rPr>
      <w:color w:val="918585"/>
      <w:sz w:val="20"/>
    </w:rPr>
  </w:style>
  <w:style w:type="paragraph" w:styleId="Heading7">
    <w:name w:val="heading 7"/>
    <w:basedOn w:val="Normal"/>
    <w:next w:val="Normal"/>
    <w:link w:val="Heading7Char"/>
    <w:qFormat/>
    <w:rsid w:val="001B4C78"/>
    <w:pPr>
      <w:ind w:left="720"/>
      <w:outlineLvl w:val="6"/>
    </w:pPr>
    <w:rPr>
      <w:i/>
    </w:rPr>
  </w:style>
  <w:style w:type="paragraph" w:styleId="Heading8">
    <w:name w:val="heading 8"/>
    <w:basedOn w:val="Normal"/>
    <w:next w:val="Normal"/>
    <w:link w:val="Heading8Char"/>
    <w:qFormat/>
    <w:rsid w:val="001B4C78"/>
    <w:pPr>
      <w:ind w:left="720"/>
      <w:outlineLvl w:val="7"/>
    </w:pPr>
    <w:rPr>
      <w:i/>
    </w:rPr>
  </w:style>
  <w:style w:type="paragraph" w:styleId="Heading9">
    <w:name w:val="heading 9"/>
    <w:basedOn w:val="Normal"/>
    <w:next w:val="Normal"/>
    <w:link w:val="Heading9Char"/>
    <w:qFormat/>
    <w:rsid w:val="001B4C78"/>
    <w:pPr>
      <w:ind w:left="720"/>
      <w:outlineLvl w:val="8"/>
    </w:pPr>
    <w:rPr>
      <w:i/>
    </w:rPr>
  </w:style>
  <w:style w:type="character" w:default="1" w:styleId="DefaultParagraphFont">
    <w:name w:val="Default Paragraph Font"/>
    <w:uiPriority w:val="1"/>
    <w:unhideWhenUsed/>
    <w:rsid w:val="001B4C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4C78"/>
  </w:style>
  <w:style w:type="character" w:customStyle="1" w:styleId="Heading1Char">
    <w:name w:val="Heading 1 Char"/>
    <w:basedOn w:val="DefaultParagraphFont"/>
    <w:link w:val="Heading1"/>
    <w:rsid w:val="001B4C78"/>
    <w:rPr>
      <w:rFonts w:ascii="Times New Roman" w:eastAsia="Times New Roman" w:hAnsi="Times New Roman" w:cs="Times New Roman"/>
      <w:b/>
      <w:sz w:val="32"/>
      <w:szCs w:val="20"/>
      <w:lang w:eastAsia="en-US"/>
    </w:rPr>
  </w:style>
  <w:style w:type="paragraph" w:styleId="BodyText">
    <w:name w:val="Body Text"/>
    <w:basedOn w:val="Normal"/>
    <w:link w:val="BodyTextChar"/>
    <w:rsid w:val="001B4C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4C78"/>
    <w:rPr>
      <w:rFonts w:ascii="Times New Roman" w:eastAsia="Times New Roman" w:hAnsi="Times New Roman" w:cs="Times New Roman"/>
      <w:sz w:val="24"/>
      <w:lang w:eastAsia="en-US"/>
    </w:rPr>
  </w:style>
  <w:style w:type="paragraph" w:styleId="Footer">
    <w:name w:val="footer"/>
    <w:basedOn w:val="Normal"/>
    <w:link w:val="FooterChar"/>
    <w:rsid w:val="001B4C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4C78"/>
    <w:rPr>
      <w:rFonts w:ascii="Times New Roman" w:eastAsia="Times New Roman" w:hAnsi="Times New Roman" w:cs="Times New Roman"/>
      <w:sz w:val="16"/>
      <w:lang w:eastAsia="en-US"/>
    </w:rPr>
  </w:style>
  <w:style w:type="paragraph" w:styleId="ListBullet">
    <w:name w:val="List Bullet"/>
    <w:basedOn w:val="List"/>
    <w:rsid w:val="001B4C78"/>
    <w:pPr>
      <w:numPr>
        <w:numId w:val="13"/>
      </w:numPr>
      <w:tabs>
        <w:tab w:val="clear" w:pos="340"/>
      </w:tabs>
      <w:spacing w:before="40" w:after="40"/>
    </w:pPr>
  </w:style>
  <w:style w:type="character" w:customStyle="1" w:styleId="SpecialBold">
    <w:name w:val="Special Bold"/>
    <w:basedOn w:val="DefaultParagraphFont"/>
    <w:rsid w:val="001B4C78"/>
    <w:rPr>
      <w:b/>
      <w:spacing w:val="0"/>
    </w:rPr>
  </w:style>
  <w:style w:type="paragraph" w:styleId="ListBullet2">
    <w:name w:val="List Bullet 2"/>
    <w:basedOn w:val="List2"/>
    <w:rsid w:val="001B4C78"/>
    <w:pPr>
      <w:numPr>
        <w:numId w:val="14"/>
      </w:numPr>
      <w:tabs>
        <w:tab w:val="clear" w:pos="680"/>
      </w:tabs>
    </w:pPr>
  </w:style>
  <w:style w:type="paragraph" w:customStyle="1" w:styleId="SuperHeading">
    <w:name w:val="SuperHeading"/>
    <w:basedOn w:val="Normal"/>
    <w:rsid w:val="001B4C78"/>
    <w:pPr>
      <w:spacing w:before="240" w:after="120"/>
      <w:outlineLvl w:val="0"/>
    </w:pPr>
    <w:rPr>
      <w:rFonts w:ascii="Times New Roman" w:hAnsi="Times New Roman"/>
      <w:b/>
      <w:sz w:val="28"/>
    </w:rPr>
  </w:style>
  <w:style w:type="paragraph" w:customStyle="1" w:styleId="AllowPageBreak">
    <w:name w:val="AllowPageBreak"/>
    <w:rsid w:val="001B4C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4C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4C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4C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4C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4C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4C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4C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4C78"/>
    <w:rPr>
      <w:rFonts w:ascii="Courier New" w:eastAsia="Times New Roman" w:hAnsi="Courier New" w:cs="Times New Roman"/>
      <w:i/>
      <w:szCs w:val="20"/>
      <w:lang w:eastAsia="en-US"/>
    </w:rPr>
  </w:style>
  <w:style w:type="paragraph" w:customStyle="1" w:styleId="HeadingBase">
    <w:name w:val="Heading Base"/>
    <w:rsid w:val="001B4C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4C78"/>
    <w:pPr>
      <w:tabs>
        <w:tab w:val="right" w:leader="dot" w:pos="9072"/>
      </w:tabs>
      <w:ind w:left="567"/>
    </w:pPr>
    <w:rPr>
      <w:szCs w:val="22"/>
    </w:rPr>
  </w:style>
  <w:style w:type="paragraph" w:customStyle="1" w:styleId="TOCBase">
    <w:name w:val="TOC Base"/>
    <w:rsid w:val="001B4C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4C78"/>
    <w:pPr>
      <w:tabs>
        <w:tab w:val="right" w:leader="dot" w:pos="9072"/>
      </w:tabs>
      <w:spacing w:before="40" w:after="40"/>
      <w:ind w:left="284"/>
    </w:pPr>
    <w:rPr>
      <w:rFonts w:ascii="Times New Roman" w:hAnsi="Times New Roman"/>
    </w:rPr>
  </w:style>
  <w:style w:type="paragraph" w:styleId="TOC1">
    <w:name w:val="toc 1"/>
    <w:basedOn w:val="TOCBase"/>
    <w:next w:val="Normal"/>
    <w:rsid w:val="001B4C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4C78"/>
    <w:pPr>
      <w:spacing w:before="5040"/>
      <w:jc w:val="center"/>
    </w:pPr>
    <w:rPr>
      <w:sz w:val="48"/>
      <w:szCs w:val="72"/>
      <w:lang w:val="en-US"/>
    </w:rPr>
  </w:style>
  <w:style w:type="character" w:customStyle="1" w:styleId="TitleChar">
    <w:name w:val="Title Char"/>
    <w:basedOn w:val="DefaultParagraphFont"/>
    <w:link w:val="Title"/>
    <w:rsid w:val="001B4C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4C78"/>
    <w:pPr>
      <w:tabs>
        <w:tab w:val="left" w:pos="3600"/>
        <w:tab w:val="left" w:pos="3958"/>
      </w:tabs>
    </w:pPr>
  </w:style>
  <w:style w:type="paragraph" w:styleId="List">
    <w:name w:val="List"/>
    <w:basedOn w:val="BodyText"/>
    <w:next w:val="BodyText"/>
    <w:rsid w:val="001B4C78"/>
    <w:pPr>
      <w:tabs>
        <w:tab w:val="left" w:pos="340"/>
      </w:tabs>
      <w:spacing w:before="60" w:after="60"/>
      <w:ind w:left="340" w:hanging="340"/>
    </w:pPr>
  </w:style>
  <w:style w:type="paragraph" w:customStyle="1" w:styleId="Note">
    <w:name w:val="Note"/>
    <w:basedOn w:val="BodyText"/>
    <w:rsid w:val="001B4C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4C78"/>
    <w:pPr>
      <w:framePr w:wrap="auto" w:hAnchor="text" w:y="6049"/>
    </w:pPr>
    <w:rPr>
      <w:color w:val="000000"/>
      <w:sz w:val="40"/>
    </w:rPr>
  </w:style>
  <w:style w:type="paragraph" w:customStyle="1" w:styleId="TOCTitle">
    <w:name w:val="TOCTitle"/>
    <w:basedOn w:val="Heading1"/>
    <w:rsid w:val="001B4C78"/>
    <w:pPr>
      <w:spacing w:after="240"/>
      <w:jc w:val="center"/>
      <w:outlineLvl w:val="9"/>
    </w:pPr>
    <w:rPr>
      <w:caps/>
    </w:rPr>
  </w:style>
  <w:style w:type="paragraph" w:customStyle="1" w:styleId="Version">
    <w:name w:val="Version"/>
    <w:rsid w:val="001B4C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4C78"/>
    <w:pPr>
      <w:keepNext w:val="0"/>
      <w:tabs>
        <w:tab w:val="right" w:pos="4176"/>
      </w:tabs>
      <w:ind w:left="198" w:hanging="198"/>
    </w:pPr>
    <w:rPr>
      <w:rFonts w:ascii="Garamond" w:hAnsi="Garamond"/>
    </w:rPr>
  </w:style>
  <w:style w:type="paragraph" w:styleId="IndexHeading">
    <w:name w:val="index heading"/>
    <w:basedOn w:val="Normal"/>
    <w:next w:val="Index1"/>
    <w:semiHidden/>
    <w:rsid w:val="001B4C78"/>
    <w:pPr>
      <w:spacing w:before="120" w:after="120"/>
    </w:pPr>
    <w:rPr>
      <w:rFonts w:ascii="Arial" w:hAnsi="Arial"/>
      <w:b/>
      <w:color w:val="918585"/>
      <w:sz w:val="24"/>
    </w:rPr>
  </w:style>
  <w:style w:type="paragraph" w:styleId="Header">
    <w:name w:val="header"/>
    <w:basedOn w:val="Normal"/>
    <w:link w:val="HeaderChar"/>
    <w:rsid w:val="001B4C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4C78"/>
    <w:rPr>
      <w:rFonts w:ascii="Times New Roman" w:eastAsia="Times New Roman" w:hAnsi="Times New Roman" w:cs="Times New Roman"/>
      <w:sz w:val="16"/>
      <w:szCs w:val="20"/>
      <w:lang w:val="en-GB" w:eastAsia="en-US"/>
    </w:rPr>
  </w:style>
  <w:style w:type="paragraph" w:customStyle="1" w:styleId="Chapter">
    <w:name w:val="Chapter"/>
    <w:basedOn w:val="Normal"/>
    <w:rsid w:val="001B4C78"/>
    <w:pPr>
      <w:spacing w:before="240"/>
    </w:pPr>
    <w:rPr>
      <w:rFonts w:ascii="Times New Roman" w:hAnsi="Times New Roman"/>
      <w:smallCaps/>
      <w:spacing w:val="80"/>
      <w:sz w:val="28"/>
    </w:rPr>
  </w:style>
  <w:style w:type="paragraph" w:customStyle="1" w:styleId="InChapter">
    <w:name w:val="InChapter"/>
    <w:basedOn w:val="Heading3"/>
    <w:rsid w:val="001B4C78"/>
    <w:pPr>
      <w:spacing w:after="240"/>
      <w:outlineLvl w:val="9"/>
    </w:pPr>
    <w:rPr>
      <w:noProof/>
    </w:rPr>
  </w:style>
  <w:style w:type="paragraph" w:styleId="Index2">
    <w:name w:val="index 2"/>
    <w:basedOn w:val="Normal"/>
    <w:next w:val="Normal"/>
    <w:semiHidden/>
    <w:rsid w:val="001B4C78"/>
    <w:pPr>
      <w:tabs>
        <w:tab w:val="right" w:pos="4176"/>
      </w:tabs>
      <w:ind w:left="568" w:hanging="284"/>
    </w:pPr>
    <w:rPr>
      <w:rFonts w:ascii="Garamond" w:hAnsi="Garamond"/>
    </w:rPr>
  </w:style>
  <w:style w:type="paragraph" w:customStyle="1" w:styleId="Byline">
    <w:name w:val="Byline"/>
    <w:rsid w:val="001B4C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4C78"/>
    <w:pPr>
      <w:tabs>
        <w:tab w:val="clear" w:pos="3600"/>
        <w:tab w:val="clear" w:pos="3958"/>
      </w:tabs>
      <w:jc w:val="right"/>
    </w:pPr>
  </w:style>
  <w:style w:type="character" w:styleId="Emphasis">
    <w:name w:val="Emphasis"/>
    <w:basedOn w:val="DefaultParagraphFont"/>
    <w:qFormat/>
    <w:rsid w:val="001B4C78"/>
    <w:rPr>
      <w:i/>
    </w:rPr>
  </w:style>
  <w:style w:type="paragraph" w:styleId="Caption">
    <w:name w:val="caption"/>
    <w:basedOn w:val="BodyText"/>
    <w:next w:val="Normal"/>
    <w:qFormat/>
    <w:rsid w:val="001B4C78"/>
    <w:pPr>
      <w:framePr w:w="2268" w:hSpace="181" w:vSpace="181" w:wrap="around" w:vAnchor="text" w:hAnchor="page" w:x="1135" w:y="285" w:anchorLock="1"/>
    </w:pPr>
    <w:rPr>
      <w:i/>
    </w:rPr>
  </w:style>
  <w:style w:type="paragraph" w:customStyle="1" w:styleId="MiniTOCTitle">
    <w:name w:val="MiniTOCTitle"/>
    <w:basedOn w:val="Heading4"/>
    <w:rsid w:val="001B4C78"/>
    <w:pPr>
      <w:spacing w:before="240"/>
      <w:outlineLvl w:val="9"/>
    </w:pPr>
    <w:rPr>
      <w:noProof/>
      <w:sz w:val="24"/>
    </w:rPr>
  </w:style>
  <w:style w:type="paragraph" w:customStyle="1" w:styleId="MiniTOCItem">
    <w:name w:val="MiniTOCItem"/>
    <w:basedOn w:val="ListBullet"/>
    <w:rsid w:val="001B4C78"/>
    <w:pPr>
      <w:numPr>
        <w:numId w:val="0"/>
      </w:numPr>
      <w:tabs>
        <w:tab w:val="right" w:leader="dot" w:pos="6521"/>
      </w:tabs>
      <w:spacing w:before="0" w:after="0"/>
    </w:pPr>
  </w:style>
  <w:style w:type="paragraph" w:customStyle="1" w:styleId="TOFTitle">
    <w:name w:val="TOFTitle"/>
    <w:basedOn w:val="TOCTitle"/>
    <w:rsid w:val="001B4C78"/>
  </w:style>
  <w:style w:type="paragraph" w:styleId="TableofFigures">
    <w:name w:val="table of figures"/>
    <w:basedOn w:val="Normal"/>
    <w:next w:val="Normal"/>
    <w:semiHidden/>
    <w:rsid w:val="001B4C78"/>
    <w:pPr>
      <w:tabs>
        <w:tab w:val="right" w:leader="dot" w:pos="9072"/>
      </w:tabs>
      <w:ind w:left="970" w:hanging="403"/>
    </w:pPr>
    <w:rPr>
      <w:rFonts w:ascii="Times New Roman" w:hAnsi="Times New Roman"/>
      <w:b/>
    </w:rPr>
  </w:style>
  <w:style w:type="paragraph" w:styleId="ListNumber">
    <w:name w:val="List Number"/>
    <w:basedOn w:val="List"/>
    <w:rsid w:val="001B4C78"/>
    <w:pPr>
      <w:numPr>
        <w:numId w:val="11"/>
      </w:numPr>
    </w:pPr>
  </w:style>
  <w:style w:type="character" w:customStyle="1" w:styleId="WingdingSymbols">
    <w:name w:val="Wingding Symbols"/>
    <w:rsid w:val="001B4C78"/>
    <w:rPr>
      <w:rFonts w:ascii="Wingdings" w:hAnsi="Wingdings"/>
    </w:rPr>
  </w:style>
  <w:style w:type="paragraph" w:customStyle="1" w:styleId="TableHeading">
    <w:name w:val="Table Heading"/>
    <w:basedOn w:val="HeadingBase"/>
    <w:rsid w:val="001B4C78"/>
    <w:pPr>
      <w:keepLines/>
      <w:pBdr>
        <w:bottom w:val="single" w:sz="6" w:space="1" w:color="918585"/>
      </w:pBdr>
      <w:spacing w:before="240"/>
    </w:pPr>
  </w:style>
  <w:style w:type="character" w:customStyle="1" w:styleId="HotSpot">
    <w:name w:val="HotSpot"/>
    <w:rsid w:val="001B4C78"/>
    <w:rPr>
      <w:color w:val="0033CC"/>
      <w:u w:val="none"/>
    </w:rPr>
  </w:style>
  <w:style w:type="paragraph" w:customStyle="1" w:styleId="BodyTextRight">
    <w:name w:val="Body Text Right"/>
    <w:basedOn w:val="BodyText"/>
    <w:rsid w:val="001B4C78"/>
    <w:pPr>
      <w:spacing w:before="0" w:after="0"/>
      <w:jc w:val="right"/>
    </w:pPr>
  </w:style>
  <w:style w:type="paragraph" w:styleId="Index3">
    <w:name w:val="index 3"/>
    <w:basedOn w:val="ListNumber2"/>
    <w:next w:val="Normal"/>
    <w:semiHidden/>
    <w:rsid w:val="001B4C78"/>
    <w:pPr>
      <w:numPr>
        <w:numId w:val="0"/>
      </w:numPr>
      <w:tabs>
        <w:tab w:val="right" w:leader="dot" w:pos="4176"/>
      </w:tabs>
    </w:pPr>
  </w:style>
  <w:style w:type="paragraph" w:styleId="ListNumber2">
    <w:name w:val="List Number 2"/>
    <w:basedOn w:val="List2"/>
    <w:rsid w:val="001B4C78"/>
    <w:pPr>
      <w:numPr>
        <w:numId w:val="10"/>
      </w:numPr>
      <w:tabs>
        <w:tab w:val="clear" w:pos="1060"/>
      </w:tabs>
    </w:pPr>
  </w:style>
  <w:style w:type="paragraph" w:customStyle="1" w:styleId="MarginNote">
    <w:name w:val="Margin Note"/>
    <w:basedOn w:val="BodyText"/>
    <w:rsid w:val="001B4C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4C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4C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4C78"/>
    <w:rPr>
      <w:sz w:val="32"/>
    </w:rPr>
  </w:style>
  <w:style w:type="paragraph" w:customStyle="1" w:styleId="HeadingProcedure">
    <w:name w:val="Heading Procedure"/>
    <w:basedOn w:val="HeadingBase"/>
    <w:next w:val="Normal"/>
    <w:rsid w:val="001B4C78"/>
    <w:pPr>
      <w:tabs>
        <w:tab w:val="left" w:pos="0"/>
      </w:tabs>
      <w:spacing w:before="120" w:after="60"/>
    </w:pPr>
    <w:rPr>
      <w:i/>
      <w:color w:val="918585"/>
      <w:sz w:val="22"/>
    </w:rPr>
  </w:style>
  <w:style w:type="paragraph" w:customStyle="1" w:styleId="TableBodyText">
    <w:name w:val="Table Body Text"/>
    <w:basedOn w:val="BodyText"/>
    <w:rsid w:val="001B4C78"/>
    <w:pPr>
      <w:spacing w:before="60" w:after="60"/>
    </w:pPr>
  </w:style>
  <w:style w:type="paragraph" w:styleId="ListContinue">
    <w:name w:val="List Continue"/>
    <w:basedOn w:val="List"/>
    <w:rsid w:val="001B4C78"/>
    <w:pPr>
      <w:ind w:firstLine="0"/>
    </w:pPr>
  </w:style>
  <w:style w:type="paragraph" w:customStyle="1" w:styleId="ListNote">
    <w:name w:val="List Note"/>
    <w:basedOn w:val="List"/>
    <w:rsid w:val="001B4C78"/>
    <w:pPr>
      <w:pBdr>
        <w:top w:val="single" w:sz="6" w:space="2" w:color="918585"/>
        <w:bottom w:val="single" w:sz="6" w:space="2" w:color="918585"/>
      </w:pBdr>
      <w:tabs>
        <w:tab w:val="left" w:pos="1021"/>
      </w:tabs>
      <w:ind w:firstLine="0"/>
    </w:pPr>
  </w:style>
  <w:style w:type="paragraph" w:customStyle="1" w:styleId="Warning">
    <w:name w:val="Warning"/>
    <w:basedOn w:val="BodyText"/>
    <w:rsid w:val="001B4C78"/>
    <w:pPr>
      <w:shd w:val="clear" w:color="auto" w:fill="D9D9D9"/>
      <w:tabs>
        <w:tab w:val="left" w:pos="992"/>
      </w:tabs>
      <w:ind w:left="119" w:right="119"/>
    </w:pPr>
    <w:rPr>
      <w:sz w:val="20"/>
    </w:rPr>
  </w:style>
  <w:style w:type="paragraph" w:customStyle="1" w:styleId="MarginIcons">
    <w:name w:val="Margin Icons"/>
    <w:basedOn w:val="BodyText"/>
    <w:rsid w:val="001B4C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4C78"/>
    <w:rPr>
      <w:rFonts w:ascii="Courier New" w:hAnsi="Courier New"/>
    </w:rPr>
  </w:style>
  <w:style w:type="paragraph" w:customStyle="1" w:styleId="NoteBullet">
    <w:name w:val="Note Bullet"/>
    <w:basedOn w:val="Note"/>
    <w:rsid w:val="001B4C78"/>
    <w:pPr>
      <w:tabs>
        <w:tab w:val="clear" w:pos="680"/>
      </w:tabs>
      <w:spacing w:before="60" w:after="60"/>
    </w:pPr>
  </w:style>
  <w:style w:type="paragraph" w:customStyle="1" w:styleId="SubHeading2">
    <w:name w:val="SubHeading2"/>
    <w:basedOn w:val="HeadingBase"/>
    <w:rsid w:val="001B4C78"/>
    <w:pPr>
      <w:spacing w:before="240" w:after="60"/>
    </w:pPr>
    <w:rPr>
      <w:sz w:val="20"/>
    </w:rPr>
  </w:style>
  <w:style w:type="paragraph" w:customStyle="1" w:styleId="SubHeading1">
    <w:name w:val="SubHeading1"/>
    <w:basedOn w:val="HeadingBase"/>
    <w:rsid w:val="001B4C78"/>
    <w:pPr>
      <w:spacing w:before="240" w:after="60"/>
    </w:pPr>
    <w:rPr>
      <w:color w:val="918585"/>
      <w:sz w:val="22"/>
    </w:rPr>
  </w:style>
  <w:style w:type="paragraph" w:customStyle="1" w:styleId="SideHeading">
    <w:name w:val="Side Heading"/>
    <w:basedOn w:val="HeadingBase"/>
    <w:rsid w:val="001B4C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4C78"/>
    <w:pPr>
      <w:numPr>
        <w:numId w:val="12"/>
      </w:numPr>
    </w:pPr>
  </w:style>
  <w:style w:type="paragraph" w:styleId="PlainText">
    <w:name w:val="Plain Text"/>
    <w:basedOn w:val="Normal"/>
    <w:link w:val="PlainTextChar"/>
    <w:rsid w:val="001B4C78"/>
    <w:rPr>
      <w:sz w:val="20"/>
    </w:rPr>
  </w:style>
  <w:style w:type="character" w:customStyle="1" w:styleId="PlainTextChar">
    <w:name w:val="Plain Text Char"/>
    <w:basedOn w:val="DefaultParagraphFont"/>
    <w:link w:val="PlainText"/>
    <w:rsid w:val="001B4C78"/>
    <w:rPr>
      <w:rFonts w:ascii="Courier New" w:eastAsia="Times New Roman" w:hAnsi="Courier New" w:cs="Times New Roman"/>
      <w:sz w:val="20"/>
      <w:szCs w:val="20"/>
      <w:lang w:eastAsia="en-US"/>
    </w:rPr>
  </w:style>
  <w:style w:type="character" w:customStyle="1" w:styleId="MenuOption">
    <w:name w:val="Menu Option"/>
    <w:basedOn w:val="DefaultParagraphFont"/>
    <w:rsid w:val="001B4C78"/>
    <w:rPr>
      <w:b/>
      <w:smallCaps/>
    </w:rPr>
  </w:style>
  <w:style w:type="paragraph" w:customStyle="1" w:styleId="TableListNumber">
    <w:name w:val="Table List Number"/>
    <w:basedOn w:val="ListNumber"/>
    <w:rsid w:val="001B4C78"/>
    <w:pPr>
      <w:numPr>
        <w:numId w:val="0"/>
      </w:numPr>
    </w:pPr>
  </w:style>
  <w:style w:type="paragraph" w:styleId="TOC4">
    <w:name w:val="toc 4"/>
    <w:basedOn w:val="TOCBase"/>
    <w:next w:val="Normal"/>
    <w:semiHidden/>
    <w:rsid w:val="001B4C78"/>
    <w:pPr>
      <w:tabs>
        <w:tab w:val="right" w:leader="dot" w:pos="9071"/>
      </w:tabs>
      <w:ind w:left="1701"/>
    </w:pPr>
  </w:style>
  <w:style w:type="paragraph" w:customStyle="1" w:styleId="ListAlpha">
    <w:name w:val="List Alpha"/>
    <w:basedOn w:val="List"/>
    <w:rsid w:val="001B4C78"/>
    <w:pPr>
      <w:numPr>
        <w:numId w:val="9"/>
      </w:numPr>
    </w:pPr>
  </w:style>
  <w:style w:type="paragraph" w:customStyle="1" w:styleId="ListAlpha2">
    <w:name w:val="List Alpha 2"/>
    <w:basedOn w:val="List2"/>
    <w:rsid w:val="001B4C78"/>
    <w:pPr>
      <w:numPr>
        <w:numId w:val="8"/>
      </w:numPr>
    </w:pPr>
  </w:style>
  <w:style w:type="paragraph" w:styleId="List2">
    <w:name w:val="List 2"/>
    <w:basedOn w:val="BodyText"/>
    <w:rsid w:val="001B4C78"/>
    <w:pPr>
      <w:tabs>
        <w:tab w:val="left" w:pos="680"/>
      </w:tabs>
      <w:spacing w:before="60" w:after="60"/>
      <w:ind w:left="680" w:hanging="340"/>
    </w:pPr>
  </w:style>
  <w:style w:type="paragraph" w:styleId="List3">
    <w:name w:val="List 3"/>
    <w:basedOn w:val="BodyText"/>
    <w:rsid w:val="001B4C78"/>
    <w:pPr>
      <w:tabs>
        <w:tab w:val="left" w:pos="1021"/>
      </w:tabs>
      <w:spacing w:before="60" w:after="60"/>
      <w:ind w:left="1020" w:hanging="340"/>
    </w:pPr>
  </w:style>
  <w:style w:type="paragraph" w:styleId="List4">
    <w:name w:val="List 4"/>
    <w:basedOn w:val="BodyText"/>
    <w:rsid w:val="001B4C78"/>
    <w:pPr>
      <w:tabs>
        <w:tab w:val="left" w:pos="1361"/>
      </w:tabs>
      <w:spacing w:before="60" w:after="60"/>
      <w:ind w:left="1361" w:hanging="340"/>
    </w:pPr>
  </w:style>
  <w:style w:type="paragraph" w:styleId="List5">
    <w:name w:val="List 5"/>
    <w:basedOn w:val="BodyText"/>
    <w:rsid w:val="001B4C78"/>
    <w:pPr>
      <w:tabs>
        <w:tab w:val="left" w:pos="1701"/>
      </w:tabs>
      <w:spacing w:before="60" w:after="60"/>
      <w:ind w:left="1701" w:hanging="340"/>
    </w:pPr>
  </w:style>
  <w:style w:type="paragraph" w:styleId="ListBullet3">
    <w:name w:val="List Bullet 3"/>
    <w:basedOn w:val="List3"/>
    <w:rsid w:val="001B4C78"/>
    <w:pPr>
      <w:numPr>
        <w:numId w:val="15"/>
      </w:numPr>
      <w:tabs>
        <w:tab w:val="clear" w:pos="1021"/>
      </w:tabs>
      <w:ind w:left="1037" w:hanging="357"/>
    </w:pPr>
  </w:style>
  <w:style w:type="paragraph" w:styleId="ListBullet4">
    <w:name w:val="List Bullet 4"/>
    <w:basedOn w:val="List4"/>
    <w:rsid w:val="001B4C78"/>
    <w:pPr>
      <w:numPr>
        <w:numId w:val="3"/>
      </w:numPr>
    </w:pPr>
  </w:style>
  <w:style w:type="paragraph" w:styleId="ListBullet5">
    <w:name w:val="List Bullet 5"/>
    <w:basedOn w:val="List5"/>
    <w:rsid w:val="001B4C78"/>
    <w:pPr>
      <w:numPr>
        <w:numId w:val="4"/>
      </w:numPr>
    </w:pPr>
  </w:style>
  <w:style w:type="paragraph" w:styleId="ListContinue2">
    <w:name w:val="List Continue 2"/>
    <w:basedOn w:val="List2"/>
    <w:rsid w:val="001B4C78"/>
    <w:pPr>
      <w:ind w:firstLine="0"/>
    </w:pPr>
  </w:style>
  <w:style w:type="paragraph" w:styleId="ListContinue3">
    <w:name w:val="List Continue 3"/>
    <w:basedOn w:val="List3"/>
    <w:rsid w:val="001B4C78"/>
    <w:pPr>
      <w:ind w:left="1021" w:firstLine="0"/>
    </w:pPr>
  </w:style>
  <w:style w:type="paragraph" w:styleId="ListContinue4">
    <w:name w:val="List Continue 4"/>
    <w:basedOn w:val="List4"/>
    <w:rsid w:val="001B4C78"/>
    <w:pPr>
      <w:ind w:firstLine="0"/>
    </w:pPr>
  </w:style>
  <w:style w:type="paragraph" w:styleId="ListContinue5">
    <w:name w:val="List Continue 5"/>
    <w:basedOn w:val="List5"/>
    <w:rsid w:val="001B4C78"/>
    <w:pPr>
      <w:ind w:firstLine="0"/>
    </w:pPr>
  </w:style>
  <w:style w:type="paragraph" w:styleId="ListNumber3">
    <w:name w:val="List Number 3"/>
    <w:basedOn w:val="List3"/>
    <w:rsid w:val="001B4C78"/>
    <w:pPr>
      <w:numPr>
        <w:numId w:val="5"/>
      </w:numPr>
    </w:pPr>
  </w:style>
  <w:style w:type="paragraph" w:styleId="ListNumber4">
    <w:name w:val="List Number 4"/>
    <w:basedOn w:val="List4"/>
    <w:rsid w:val="001B4C78"/>
    <w:pPr>
      <w:numPr>
        <w:numId w:val="6"/>
      </w:numPr>
    </w:pPr>
  </w:style>
  <w:style w:type="paragraph" w:styleId="ListNumber5">
    <w:name w:val="List Number 5"/>
    <w:basedOn w:val="List5"/>
    <w:rsid w:val="001B4C78"/>
    <w:pPr>
      <w:numPr>
        <w:numId w:val="7"/>
      </w:numPr>
    </w:pPr>
  </w:style>
  <w:style w:type="paragraph" w:styleId="BlockText">
    <w:name w:val="Block Text"/>
    <w:basedOn w:val="Normal"/>
    <w:rsid w:val="001B4C78"/>
    <w:pPr>
      <w:spacing w:after="120"/>
      <w:ind w:left="1440" w:right="1440"/>
    </w:pPr>
  </w:style>
  <w:style w:type="character" w:customStyle="1" w:styleId="Subscript">
    <w:name w:val="Subscript"/>
    <w:basedOn w:val="DefaultParagraphFont"/>
    <w:rsid w:val="001B4C78"/>
    <w:rPr>
      <w:sz w:val="16"/>
      <w:vertAlign w:val="subscript"/>
    </w:rPr>
  </w:style>
  <w:style w:type="character" w:customStyle="1" w:styleId="Superscript">
    <w:name w:val="Superscript"/>
    <w:basedOn w:val="DefaultParagraphFont"/>
    <w:rsid w:val="001B4C78"/>
    <w:rPr>
      <w:sz w:val="16"/>
      <w:vertAlign w:val="superscript"/>
    </w:rPr>
  </w:style>
  <w:style w:type="character" w:customStyle="1" w:styleId="Symbols">
    <w:name w:val="Symbols"/>
    <w:basedOn w:val="DefaultParagraphFont"/>
    <w:rsid w:val="001B4C78"/>
    <w:rPr>
      <w:rFonts w:ascii="Symbol" w:hAnsi="Symbol"/>
    </w:rPr>
  </w:style>
  <w:style w:type="character" w:customStyle="1" w:styleId="MenuOptions">
    <w:name w:val="Menu Options"/>
    <w:basedOn w:val="DefaultParagraphFont"/>
    <w:rsid w:val="001B4C78"/>
    <w:rPr>
      <w:rFonts w:ascii="Arial Narrow" w:hAnsi="Arial Narrow"/>
      <w:smallCaps/>
    </w:rPr>
  </w:style>
  <w:style w:type="character" w:customStyle="1" w:styleId="Buttons">
    <w:name w:val="Buttons"/>
    <w:basedOn w:val="DefaultParagraphFont"/>
    <w:rsid w:val="001B4C78"/>
    <w:rPr>
      <w:b/>
    </w:rPr>
  </w:style>
  <w:style w:type="character" w:customStyle="1" w:styleId="Underlined">
    <w:name w:val="Underlined"/>
    <w:basedOn w:val="DefaultParagraphFont"/>
    <w:rsid w:val="001B4C78"/>
    <w:rPr>
      <w:u w:val="single"/>
    </w:rPr>
  </w:style>
  <w:style w:type="paragraph" w:customStyle="1" w:styleId="TableBodyTextRight">
    <w:name w:val="Table Body Text Right"/>
    <w:basedOn w:val="TableBodyText"/>
    <w:rsid w:val="001B4C78"/>
    <w:pPr>
      <w:widowControl w:val="0"/>
      <w:autoSpaceDE w:val="0"/>
      <w:autoSpaceDN w:val="0"/>
      <w:adjustRightInd w:val="0"/>
      <w:jc w:val="right"/>
    </w:pPr>
    <w:rPr>
      <w:rFonts w:cs="Arial"/>
      <w:szCs w:val="18"/>
    </w:rPr>
  </w:style>
  <w:style w:type="paragraph" w:customStyle="1" w:styleId="CopyrightText">
    <w:name w:val="Copyright Text"/>
    <w:basedOn w:val="BodyText"/>
    <w:rsid w:val="001B4C78"/>
    <w:rPr>
      <w:sz w:val="18"/>
    </w:rPr>
  </w:style>
  <w:style w:type="paragraph" w:customStyle="1" w:styleId="BodySmallRight">
    <w:name w:val="Body Small Right"/>
    <w:basedOn w:val="BodyTextRight"/>
    <w:rsid w:val="001B4C78"/>
    <w:rPr>
      <w:sz w:val="18"/>
      <w:szCs w:val="18"/>
    </w:rPr>
  </w:style>
  <w:style w:type="paragraph" w:customStyle="1" w:styleId="MarginEdition">
    <w:name w:val="Margin Edition"/>
    <w:basedOn w:val="MarginNote"/>
    <w:rsid w:val="001B4C78"/>
    <w:pPr>
      <w:spacing w:before="0" w:after="0"/>
    </w:pPr>
    <w:rPr>
      <w:rFonts w:ascii="Times New Roman" w:hAnsi="Times New Roman"/>
      <w:color w:val="999999"/>
    </w:rPr>
  </w:style>
  <w:style w:type="paragraph" w:customStyle="1" w:styleId="Spacer">
    <w:name w:val="Spacer"/>
    <w:basedOn w:val="Normal"/>
    <w:rsid w:val="001B4C78"/>
    <w:rPr>
      <w:sz w:val="2"/>
      <w:szCs w:val="2"/>
    </w:rPr>
  </w:style>
  <w:style w:type="character" w:customStyle="1" w:styleId="Small">
    <w:name w:val="Small"/>
    <w:basedOn w:val="DefaultParagraphFont"/>
    <w:rsid w:val="001B4C78"/>
    <w:rPr>
      <w:sz w:val="16"/>
    </w:rPr>
  </w:style>
  <w:style w:type="paragraph" w:customStyle="1" w:styleId="WideTable">
    <w:name w:val="Wide Table"/>
    <w:basedOn w:val="Normal"/>
    <w:rsid w:val="001B4C78"/>
    <w:pPr>
      <w:ind w:left="-1418"/>
    </w:pPr>
    <w:rPr>
      <w:sz w:val="2"/>
      <w:szCs w:val="2"/>
    </w:rPr>
  </w:style>
  <w:style w:type="character" w:styleId="PageNumber">
    <w:name w:val="page number"/>
    <w:basedOn w:val="DefaultParagraphFont"/>
    <w:rsid w:val="001B4C78"/>
  </w:style>
  <w:style w:type="paragraph" w:styleId="Quote">
    <w:name w:val="Quote"/>
    <w:basedOn w:val="Heading1"/>
    <w:link w:val="QuoteChar"/>
    <w:qFormat/>
    <w:rsid w:val="001B4C78"/>
    <w:rPr>
      <w:b w:val="0"/>
      <w:sz w:val="72"/>
      <w:szCs w:val="72"/>
      <w:lang w:val="en-NZ"/>
    </w:rPr>
  </w:style>
  <w:style w:type="character" w:customStyle="1" w:styleId="QuoteChar">
    <w:name w:val="Quote Char"/>
    <w:basedOn w:val="DefaultParagraphFont"/>
    <w:link w:val="Quote"/>
    <w:rsid w:val="001B4C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4C78"/>
    <w:pPr>
      <w:pageBreakBefore/>
    </w:pPr>
  </w:style>
  <w:style w:type="paragraph" w:customStyle="1" w:styleId="Border">
    <w:name w:val="Border"/>
    <w:basedOn w:val="Normal"/>
    <w:qFormat/>
    <w:rsid w:val="001B4C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4C78"/>
    <w:rPr>
      <w:b/>
      <w:bCs/>
      <w:i/>
      <w:iCs/>
      <w:color w:val="auto"/>
    </w:rPr>
  </w:style>
  <w:style w:type="paragraph" w:styleId="IntenseQuote">
    <w:name w:val="Intense Quote"/>
    <w:basedOn w:val="Normal"/>
    <w:next w:val="Normal"/>
    <w:link w:val="IntenseQuoteChar"/>
    <w:uiPriority w:val="30"/>
    <w:qFormat/>
    <w:rsid w:val="001B4C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4C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4C78"/>
    <w:rPr>
      <w:smallCaps/>
      <w:color w:val="auto"/>
      <w:u w:val="single"/>
    </w:rPr>
  </w:style>
  <w:style w:type="character" w:styleId="IntenseReference">
    <w:name w:val="Intense Reference"/>
    <w:basedOn w:val="DefaultParagraphFont"/>
    <w:uiPriority w:val="32"/>
    <w:qFormat/>
    <w:rsid w:val="001B4C78"/>
    <w:rPr>
      <w:b/>
      <w:bCs/>
      <w:smallCaps/>
      <w:color w:val="auto"/>
      <w:spacing w:val="5"/>
      <w:u w:val="single"/>
    </w:rPr>
  </w:style>
  <w:style w:type="paragraph" w:customStyle="1" w:styleId="2ColumnHeading">
    <w:name w:val="2Column Heading"/>
    <w:basedOn w:val="BodyText"/>
    <w:qFormat/>
    <w:rsid w:val="001B4C78"/>
    <w:pPr>
      <w:spacing w:after="60"/>
      <w:ind w:left="-2268"/>
    </w:pPr>
    <w:rPr>
      <w:b/>
    </w:rPr>
  </w:style>
  <w:style w:type="paragraph" w:customStyle="1" w:styleId="Heading1TOC">
    <w:name w:val="Heading1 TOC"/>
    <w:basedOn w:val="Normal"/>
    <w:qFormat/>
    <w:rsid w:val="001B4C78"/>
    <w:pPr>
      <w:spacing w:before="240" w:after="120"/>
    </w:pPr>
    <w:rPr>
      <w:rFonts w:ascii="Times New Roman" w:hAnsi="Times New Roman"/>
      <w:b/>
      <w:sz w:val="32"/>
    </w:rPr>
  </w:style>
  <w:style w:type="paragraph" w:customStyle="1" w:styleId="Heading2TOC">
    <w:name w:val="Heading2 TOC"/>
    <w:basedOn w:val="Normal"/>
    <w:qFormat/>
    <w:rsid w:val="001B4C78"/>
    <w:pPr>
      <w:spacing w:before="240" w:after="60"/>
    </w:pPr>
    <w:rPr>
      <w:rFonts w:ascii="Times New Roman" w:hAnsi="Times New Roman"/>
      <w:b/>
      <w:sz w:val="28"/>
    </w:rPr>
  </w:style>
  <w:style w:type="character" w:customStyle="1" w:styleId="Underline">
    <w:name w:val="Underline"/>
    <w:basedOn w:val="DefaultParagraphFont"/>
    <w:qFormat/>
    <w:rsid w:val="001B4C78"/>
    <w:rPr>
      <w:u w:val="single"/>
    </w:rPr>
  </w:style>
  <w:style w:type="character" w:customStyle="1" w:styleId="BoldandItalics">
    <w:name w:val="Bold and Italics"/>
    <w:qFormat/>
    <w:rsid w:val="001B4C78"/>
    <w:rPr>
      <w:b/>
      <w:i/>
      <w:u w:val="none"/>
    </w:rPr>
  </w:style>
  <w:style w:type="paragraph" w:styleId="BalloonText">
    <w:name w:val="Balloon Text"/>
    <w:basedOn w:val="Normal"/>
    <w:link w:val="BalloonTextChar"/>
    <w:rsid w:val="001B4C78"/>
    <w:rPr>
      <w:rFonts w:ascii="Tahoma" w:hAnsi="Tahoma" w:cs="Tahoma"/>
      <w:sz w:val="16"/>
      <w:szCs w:val="16"/>
    </w:rPr>
  </w:style>
  <w:style w:type="character" w:customStyle="1" w:styleId="BalloonTextChar">
    <w:name w:val="Balloon Text Char"/>
    <w:basedOn w:val="DefaultParagraphFont"/>
    <w:link w:val="BalloonText"/>
    <w:rsid w:val="001B4C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4C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4C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4C78"/>
    <w:rPr>
      <w:b/>
      <w:color w:val="660033"/>
      <w:spacing w:val="0"/>
    </w:rPr>
  </w:style>
  <w:style w:type="paragraph" w:customStyle="1" w:styleId="Nameditemlist">
    <w:name w:val="Named item list"/>
    <w:basedOn w:val="BodyText"/>
    <w:qFormat/>
    <w:rsid w:val="001B4C7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1695</Words>
  <Characters>10548</Characters>
  <Application>Microsoft Office Word</Application>
  <DocSecurity>0</DocSecurity>
  <Lines>370</Lines>
  <Paragraphs>158</Paragraphs>
  <ScaleCrop>false</ScaleCrop>
  <Company>Author-it Software Corporation Ltd.</Company>
  <LinksUpToDate>false</LinksUpToDate>
  <CharactersWithSpaces>12132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UEPOPS416B Monitor the implementation of the enterprise’s production-maintenance quality control procedures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2012-07-25T16:36:00Z</dcterms:created>
  <dcterms:modified xsi:type="dcterms:W3CDTF">2012-07-25T16:36:00Z</dcterms:modified>
</cp:coreProperties>
</file>