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58A" w:rsidP="0095458A">
      <w:pPr>
        <w:pStyle w:val="Title"/>
      </w:pPr>
      <w:bookmarkStart w:id="0" w:name="_GoBack"/>
      <w:bookmarkEnd w:id="0"/>
      <w:r>
        <w:fldChar w:fldCharType="begin"/>
      </w:r>
      <w:r>
        <w:instrText xml:space="preserve"> TITLE   \* MERGEFORMAT </w:instrText>
      </w:r>
      <w:r>
        <w:fldChar w:fldCharType="separate"/>
      </w:r>
      <w:r>
        <w:t>UEPOPS410B Shut down a boiler unit</w:t>
      </w:r>
      <w:r>
        <w:fldChar w:fldCharType="end"/>
      </w:r>
    </w:p>
    <w:p w:rsidR="0095458A" w:rsidP="0095458A">
      <w:pPr>
        <w:pStyle w:val="Version"/>
        <w:sectPr w:rsidSect="00AD1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146" w:rsidP="00AD1146">
      <w:pPr>
        <w:pStyle w:val="SuperHeading"/>
      </w:pPr>
      <w:r w:rsidRPr="00AD1146">
        <w:t>UEPOPS410B Shut down a boiler unit</w:t>
      </w:r>
    </w:p>
    <w:p w:rsidR="00000000" w:rsidRPr="00AD1146" w:rsidP="00AD1146">
      <w:pPr>
        <w:pStyle w:val="Heading1"/>
      </w:pPr>
      <w:bookmarkStart w:id="1" w:name="O_474370"/>
      <w:bookmarkEnd w:id="1"/>
      <w:r w:rsidRPr="00AD1146">
        <w:t>Modification History</w:t>
      </w:r>
    </w:p>
    <w:p w:rsidR="00000000" w:rsidRPr="00AD1146" w:rsidP="00AD1146">
      <w:pPr>
        <w:pStyle w:val="BodyText"/>
      </w:pPr>
      <w:r w:rsidRPr="00AD1146">
        <w:t>Not applicable.</w:t>
      </w:r>
    </w:p>
    <w:p w:rsidR="00000000" w:rsidRPr="00AD1146" w:rsidP="00AD1146">
      <w:pPr>
        <w:pStyle w:val="AllowPageBreak"/>
      </w:pPr>
    </w:p>
    <w:p w:rsidR="00000000" w:rsidRPr="00AD1146" w:rsidP="00AD1146">
      <w:pPr>
        <w:pStyle w:val="Heading1"/>
      </w:pPr>
      <w:bookmarkStart w:id="2" w:name="O_474368"/>
      <w:bookmarkEnd w:id="2"/>
      <w:r w:rsidRPr="00AD1146">
        <w:t>Unit Descriptor</w:t>
      </w:r>
    </w:p>
    <w:tbl>
      <w:tblPr>
        <w:tblW w:w="0" w:type="auto"/>
        <w:tblLayout w:type="fixed"/>
        <w:tblCellMar>
          <w:left w:w="62" w:type="dxa"/>
          <w:right w:w="62" w:type="dxa"/>
        </w:tblCellMar>
        <w:tblLook w:val="0000"/>
      </w:tblPr>
      <w:tblGrid>
        <w:gridCol w:w="2700"/>
        <w:gridCol w:w="5760"/>
      </w:tblGrid>
      <w:tr w:rsidTr="009545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1)</w:t>
            </w:r>
            <w:r w:rsidRPr="00AD1146">
              <w:t xml:space="preserve"> </w:t>
            </w:r>
            <w:r w:rsidRPr="00AD1146">
              <w:rPr>
                <w:rStyle w:val="SpecialBold"/>
              </w:rPr>
              <w:t>Scope:</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114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1.1) Descriptor</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This unit deals with the skills and knowledge required to conduct the shutdown of a boiler unit to a de-pressurised state.</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3" w:name="O_474357"/>
      <w:bookmarkEnd w:id="3"/>
      <w:r w:rsidRPr="00AD1146">
        <w:t>Application of the Unit</w:t>
      </w:r>
    </w:p>
    <w:tbl>
      <w:tblPr>
        <w:tblW w:w="0" w:type="auto"/>
        <w:tblLayout w:type="fixed"/>
        <w:tblCellMar>
          <w:left w:w="62" w:type="dxa"/>
          <w:right w:w="62" w:type="dxa"/>
        </w:tblCellMar>
        <w:tblLook w:val="0000"/>
      </w:tblPr>
      <w:tblGrid>
        <w:gridCol w:w="2672"/>
        <w:gridCol w:w="5699"/>
      </w:tblGrid>
      <w:tr w:rsidTr="009545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2)</w:t>
            </w:r>
          </w:p>
        </w:tc>
      </w:tr>
      <w:tr w:rsidTr="009545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This unit is intended to augment formally acquired competencies. It is suitable for employment-based programs under an approved contract of training.</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4" w:name="O_474364"/>
      <w:bookmarkEnd w:id="4"/>
      <w:r w:rsidRPr="00AD1146">
        <w:t>Licensing/Regulatory Information</w:t>
      </w:r>
    </w:p>
    <w:tbl>
      <w:tblPr>
        <w:tblW w:w="0" w:type="auto"/>
        <w:tblLayout w:type="fixed"/>
        <w:tblCellMar>
          <w:left w:w="62" w:type="dxa"/>
          <w:right w:w="62" w:type="dxa"/>
        </w:tblCellMar>
        <w:tblLook w:val="0000"/>
      </w:tblPr>
      <w:tblGrid>
        <w:gridCol w:w="2700"/>
        <w:gridCol w:w="5760"/>
      </w:tblGrid>
      <w:tr w:rsidTr="009545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 xml:space="preserve">3) </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The skills and knowledge des</w:t>
            </w:r>
            <w:r w:rsidRPr="00AD1146">
              <w:t>cribed in this unit may require a licence to practise in the workplace in some States or Territories. There may also be additional assessment activities required by regulatory authorities for the issue of the licence to practise.</w:t>
            </w:r>
          </w:p>
          <w:p w:rsidR="00000000" w:rsidRPr="00AD1146" w:rsidP="00AD1146">
            <w:pPr>
              <w:pStyle w:val="BodyText"/>
            </w:pPr>
            <w:r w:rsidRPr="00AD1146">
              <w:t xml:space="preserve">However, practice in this </w:t>
            </w:r>
            <w:r w:rsidRPr="00AD1146">
              <w:t>unit is subject to regulations directly related to Occupational Health and Safety and where applicable contracts of training such as apprenticeships and the like.</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5" w:name="O_474365"/>
      <w:bookmarkEnd w:id="5"/>
      <w:r w:rsidRPr="00AD1146">
        <w:t>Pre-Requisites</w:t>
      </w:r>
    </w:p>
    <w:tbl>
      <w:tblPr>
        <w:tblW w:w="0" w:type="auto"/>
        <w:tblLayout w:type="fixed"/>
        <w:tblCellMar>
          <w:left w:w="62" w:type="dxa"/>
          <w:right w:w="62" w:type="dxa"/>
        </w:tblCellMar>
        <w:tblLook w:val="0000"/>
      </w:tblPr>
      <w:tblGrid>
        <w:gridCol w:w="2700"/>
        <w:gridCol w:w="5764"/>
      </w:tblGrid>
      <w:tr w:rsidTr="009545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 xml:space="preserve">4) </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4.1)</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Granting of competency in this unit shall be made only after competency in the following unit(s) has/have been confirmed.</w:t>
            </w:r>
          </w:p>
          <w:p w:rsidR="00000000" w:rsidRPr="00AD1146" w:rsidP="00AD1146">
            <w:pPr>
              <w:pStyle w:val="BodyText"/>
            </w:pPr>
            <w:r w:rsidRPr="00AD1146">
              <w:t>Where pre-requisite pathways have been identified. All competencies in the Common Unit Group must be have been completed.</w:t>
            </w:r>
          </w:p>
          <w:p w:rsidR="00000000" w:rsidRPr="00AD1146" w:rsidP="00AD1146">
            <w:pPr>
              <w:pStyle w:val="BodyText"/>
            </w:pPr>
            <w:r w:rsidRPr="00AD1146">
              <w:t>There are no</w:t>
            </w:r>
            <w:r w:rsidRPr="00AD1146">
              <w:t xml:space="preserve"> pre-requisite units.</w:t>
            </w:r>
          </w:p>
        </w:tc>
      </w:tr>
    </w:tbl>
    <w:p w:rsidR="00000000" w:rsidRPr="00AD1146" w:rsidP="00AD114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5458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 xml:space="preserve">4.2) </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 xml:space="preserve">Participants are best equipped to achieve this unit if they have reading, writing and numeracy skills indicated by the following levels. A </w:t>
            </w:r>
            <w:r w:rsidRPr="00AD1146">
              <w:t>description of what each level entails is provided in Section 2.3.1 Language, Literacy and Numeracy.</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Reading</w:t>
            </w:r>
          </w:p>
        </w:tc>
        <w:tc>
          <w:tcPr>
            <w:tcW w:w="81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w:t>
            </w:r>
          </w:p>
        </w:tc>
        <w:tc>
          <w:tcPr>
            <w:tcW w:w="99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Writing</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w:t>
            </w:r>
          </w:p>
        </w:tc>
        <w:tc>
          <w:tcPr>
            <w:tcW w:w="12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Numeracy</w:t>
            </w:r>
          </w:p>
        </w:tc>
        <w:tc>
          <w:tcPr>
            <w:tcW w:w="72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4</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6" w:name="O_474361"/>
      <w:bookmarkEnd w:id="6"/>
      <w:r w:rsidRPr="00AD1146">
        <w:t>Employability Skills Information</w:t>
      </w:r>
    </w:p>
    <w:tbl>
      <w:tblPr>
        <w:tblW w:w="0" w:type="auto"/>
        <w:tblLayout w:type="fixed"/>
        <w:tblCellMar>
          <w:left w:w="62" w:type="dxa"/>
          <w:right w:w="62" w:type="dxa"/>
        </w:tblCellMar>
        <w:tblLook w:val="0000"/>
      </w:tblPr>
      <w:tblGrid>
        <w:gridCol w:w="2700"/>
        <w:gridCol w:w="5760"/>
      </w:tblGrid>
      <w:tr w:rsidTr="009545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 xml:space="preserve">5) </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 xml:space="preserve">The </w:t>
            </w:r>
            <w:r w:rsidRPr="00AD1146">
              <w:t>required outcomes described in this unit of competency contain applicable facets of Employability Skills. The Employability Skills Summary of the qualification in which this unit of competency is packaged will assist in identifying Employability Skill requ</w:t>
            </w:r>
            <w:r w:rsidRPr="00AD1146">
              <w:t>irements.</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7" w:name="O_474360"/>
      <w:bookmarkEnd w:id="7"/>
      <w:r w:rsidRPr="00AD1146">
        <w:t>Elements and Performance Criteria Pre-Content</w:t>
      </w:r>
    </w:p>
    <w:tbl>
      <w:tblPr>
        <w:tblW w:w="0" w:type="auto"/>
        <w:tblLayout w:type="fixed"/>
        <w:tblCellMar>
          <w:left w:w="62" w:type="dxa"/>
          <w:right w:w="62" w:type="dxa"/>
        </w:tblCellMar>
        <w:tblLook w:val="0000"/>
      </w:tblPr>
      <w:tblGrid>
        <w:gridCol w:w="2700"/>
        <w:gridCol w:w="5760"/>
      </w:tblGrid>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6)</w:t>
            </w:r>
            <w:r w:rsidRPr="00AD114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Performance Criteria describe the required performance needed to demonstrate achievement of the element. As</w:t>
            </w:r>
            <w:r w:rsidRPr="00AD1146">
              <w:t>sessment of performance is to be consistent with the Evidence Guide.</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8" w:name="O_474359"/>
      <w:bookmarkEnd w:id="8"/>
      <w:r w:rsidRPr="00AD11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45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PERFORMANCE CRITERIA</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1</w:t>
            </w:r>
          </w:p>
        </w:tc>
        <w:tc>
          <w:tcPr>
            <w:tcW w:w="2296" w:type="dxa"/>
            <w:vMerge w:val="restart"/>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Plan and prepare work</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1.1</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Safety issues are identified to comply with enterprise/site requirements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1.2</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Work requirements are identified from relevant personnel and documentation</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1.3</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Pre-operational checks are carried out on plant according to manufacturer’s recommendations and site requirements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1.4</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 xml:space="preserve">Where appropriate, the teams and individuals roles and responsibilities within the team are identified and, where required, assist in the provision of the on-the-job training </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2</w:t>
            </w:r>
          </w:p>
        </w:tc>
        <w:tc>
          <w:tcPr>
            <w:tcW w:w="2296" w:type="dxa"/>
            <w:vMerge w:val="restart"/>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Shut down boiler unit</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2.1</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Shut down boiler unit in accordance with manufactur</w:t>
            </w:r>
            <w:r w:rsidRPr="00AD1146">
              <w:t xml:space="preserve">er’s and enterprise/site procedures. </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2.2</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Cool down and purge boiler unit in accordance with manufacturer’s and enterprise/site procedures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2.3</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De-pressurised boiler unit in accordance with manufacturer’s and enterprise/site procedures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2.4</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Corrective actions are taken to rectify abnormalities in accordance with manufacturer’s and enterprise/site procedures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3</w:t>
            </w:r>
          </w:p>
        </w:tc>
        <w:tc>
          <w:tcPr>
            <w:tcW w:w="2296" w:type="dxa"/>
            <w:vMerge w:val="restart"/>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Test plant operation</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3.1</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Tests are performed in accordance with defined procedures applicable to the operational test</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3.2</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System and plant is observed for correct operational response</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3.3</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Corrective action is taken when response is not in accordance with documentation, plant integrity or personnel safety requirements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3.4</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Plant is returned to required operational status upon completion of test</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w:t>
            </w:r>
          </w:p>
        </w:tc>
        <w:tc>
          <w:tcPr>
            <w:tcW w:w="2296" w:type="dxa"/>
            <w:vMerge w:val="restart"/>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Analyse system faults</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4.1</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Causes of abnormal plant operating conditions are identified by analysing the technical and operational information in a logical and sequential manner</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4.2</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Corrective action taken is in accordance with enterprise/site procedures</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4.3</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Plant integrity and personnel safety is maintained through consultation with appropriate personnel, and reference to plant, technical and operational documentation</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4.4</w:t>
            </w:r>
          </w:p>
        </w:tc>
        <w:tc>
          <w:tcPr>
            <w:tcW w:w="48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Appropriate personnel are notified when defects are detected</w:t>
            </w:r>
          </w:p>
        </w:tc>
      </w:tr>
      <w:tr w:rsidTr="009545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5</w:t>
            </w:r>
          </w:p>
        </w:tc>
        <w:tc>
          <w:tcPr>
            <w:tcW w:w="2296"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Complete documentation</w:t>
            </w:r>
          </w:p>
        </w:tc>
        <w:tc>
          <w:tcPr>
            <w:tcW w:w="90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t>5.1</w:t>
            </w:r>
          </w:p>
        </w:tc>
        <w:tc>
          <w:tcPr>
            <w:tcW w:w="48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Documentation is updated and plant problems, movements, abnormalities and status are reported and logged in accordance with enterprise/site procedures</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9" w:name="O_474367"/>
      <w:bookmarkEnd w:id="9"/>
      <w:r w:rsidRPr="00AD1146">
        <w:t>Required Skills and Knowledge</w:t>
      </w:r>
    </w:p>
    <w:tbl>
      <w:tblPr>
        <w:tblW w:w="0" w:type="auto"/>
        <w:tblLayout w:type="fixed"/>
        <w:tblCellMar>
          <w:left w:w="62" w:type="dxa"/>
          <w:right w:w="62" w:type="dxa"/>
        </w:tblCellMar>
        <w:tblLook w:val="0000"/>
      </w:tblPr>
      <w:tblGrid>
        <w:gridCol w:w="8460"/>
      </w:tblGrid>
      <w:tr w:rsidTr="009545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REQUIRED SKILLS AND KNOWLEDGE</w:t>
            </w:r>
          </w:p>
        </w:tc>
      </w:tr>
      <w:tr w:rsidTr="0095458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8)</w:t>
            </w:r>
            <w:r w:rsidRPr="00AD1146">
              <w:t xml:space="preserve"> This describes the essential skills and knowledge and their level, required for this unit.</w:t>
            </w:r>
          </w:p>
          <w:p w:rsidR="00000000" w:rsidRPr="00AD1146" w:rsidP="00AD1146">
            <w:pPr>
              <w:pStyle w:val="BodyText"/>
            </w:pPr>
            <w:r w:rsidRPr="00AD1146">
              <w:t>Evidence shall show that knowledge has been acquired shutting down a boiler units.</w:t>
            </w:r>
          </w:p>
          <w:p w:rsidR="00000000" w:rsidRPr="00AD1146" w:rsidP="00AD1146">
            <w:pPr>
              <w:pStyle w:val="BodyText"/>
            </w:pPr>
            <w:r w:rsidRPr="00AD1146">
              <w:t>All knowle</w:t>
            </w:r>
            <w:r w:rsidRPr="00AD1146">
              <w:t>dge and skills detailed in this unit should be contextualised to current industry practices and technologies.</w:t>
            </w:r>
          </w:p>
          <w:p w:rsidR="00000000" w:rsidRPr="00AD1146" w:rsidP="00AD1146">
            <w:pPr>
              <w:pStyle w:val="BodyText"/>
            </w:pPr>
            <w:r w:rsidRPr="00AD1146">
              <w:t>The extent of the Essential Knowledge and Associated Skills required follows:</w:t>
            </w:r>
          </w:p>
          <w:p w:rsidR="00000000" w:rsidRPr="00AD1146" w:rsidP="00AD1146">
            <w:pPr>
              <w:pStyle w:val="BodyText"/>
            </w:pPr>
            <w:r w:rsidRPr="00AD1146">
              <w:t>KS01-PO410B - Shut down a boiler unit</w:t>
            </w:r>
          </w:p>
          <w:p w:rsidR="00000000" w:rsidRPr="00AD1146" w:rsidP="00AD1146">
            <w:pPr>
              <w:pStyle w:val="BodyText"/>
            </w:pPr>
            <w:r w:rsidRPr="00AD1146">
              <w:t>T1 Evidence shall show that kn</w:t>
            </w:r>
            <w:r w:rsidRPr="00AD1146">
              <w:t>owledge has been acquired for safe working practices of:</w:t>
            </w:r>
          </w:p>
          <w:p w:rsidR="00000000" w:rsidRPr="00AD1146" w:rsidP="00AD1146">
            <w:pPr>
              <w:pStyle w:val="ListBullet"/>
            </w:pPr>
            <w:r w:rsidRPr="00AD1146">
              <w:t>Relevant environmental, occupational health and safety legislation and  regulations</w:t>
            </w:r>
          </w:p>
          <w:p w:rsidR="00000000" w:rsidRPr="00AD1146" w:rsidP="00AD1146">
            <w:pPr>
              <w:pStyle w:val="ListBullet"/>
            </w:pPr>
            <w:r w:rsidRPr="00AD1146">
              <w:t>Enterprise procedures</w:t>
            </w:r>
          </w:p>
          <w:p w:rsidR="00000000" w:rsidRPr="00AD1146" w:rsidP="00AD1146">
            <w:pPr>
              <w:pStyle w:val="ListBullet"/>
            </w:pPr>
            <w:r w:rsidRPr="00AD1146">
              <w:t>Plant drawings and manufacturers manuals</w:t>
            </w:r>
          </w:p>
          <w:p w:rsidR="00000000" w:rsidRPr="00AD1146" w:rsidP="00AD1146">
            <w:pPr>
              <w:pStyle w:val="ListBullet"/>
            </w:pPr>
            <w:r w:rsidRPr="00AD1146">
              <w:t>In</w:t>
            </w:r>
            <w:r w:rsidRPr="00AD1146">
              <w:t>troduction to and typical arrangements of power production plant</w:t>
            </w:r>
          </w:p>
          <w:p w:rsidR="00000000" w:rsidRPr="00AD1146" w:rsidP="00AD1146">
            <w:pPr>
              <w:pStyle w:val="ListBullet"/>
            </w:pPr>
            <w:r w:rsidRPr="00AD1146">
              <w:t>Relevant plant and equipment, its location and operating parameters</w:t>
            </w:r>
          </w:p>
          <w:p w:rsidR="00000000" w:rsidRPr="00AD1146" w:rsidP="00AD1146">
            <w:pPr>
              <w:pStyle w:val="ListBullet"/>
            </w:pPr>
            <w:r w:rsidRPr="00AD1146">
              <w:t>Electric motor types and characteristics</w:t>
            </w:r>
          </w:p>
          <w:p w:rsidR="00000000" w:rsidRPr="00AD1146" w:rsidP="00AD1146">
            <w:pPr>
              <w:pStyle w:val="ListBullet"/>
            </w:pPr>
            <w:r w:rsidRPr="00AD1146">
              <w:t>Pump and compressor types and characteristics</w:t>
            </w:r>
          </w:p>
          <w:p w:rsidR="00000000" w:rsidRPr="00AD1146" w:rsidP="00AD1146">
            <w:pPr>
              <w:pStyle w:val="ListBullet"/>
            </w:pPr>
            <w:r w:rsidRPr="00AD1146">
              <w:t>Valve, damper and actuator types and</w:t>
            </w:r>
            <w:r w:rsidRPr="00AD1146">
              <w:t xml:space="preserve"> characteristics</w:t>
            </w:r>
          </w:p>
          <w:p w:rsidR="00000000" w:rsidRPr="00AD1146" w:rsidP="00AD1146">
            <w:pPr>
              <w:pStyle w:val="ListBullet"/>
            </w:pPr>
            <w:r w:rsidRPr="00AD1146">
              <w:t>Switchgear types and characteristics</w:t>
            </w:r>
          </w:p>
          <w:p w:rsidR="00000000" w:rsidRPr="00AD1146" w:rsidP="00AD1146">
            <w:pPr>
              <w:pStyle w:val="ListBullet"/>
            </w:pPr>
            <w:r w:rsidRPr="00AD1146">
              <w:t>Electrical protection types and characteristics</w:t>
            </w:r>
          </w:p>
          <w:p w:rsidR="00000000" w:rsidRPr="00AD1146" w:rsidP="00AD1146">
            <w:pPr>
              <w:pStyle w:val="ListBullet"/>
            </w:pPr>
            <w:r w:rsidRPr="00AD1146">
              <w:t>Electrical principles</w:t>
            </w:r>
          </w:p>
          <w:p w:rsidR="00000000" w:rsidRPr="00AD1146" w:rsidP="00AD1146">
            <w:pPr>
              <w:pStyle w:val="ListBullet"/>
            </w:pPr>
            <w:r w:rsidRPr="00AD1146">
              <w:t>Process control principles</w:t>
            </w:r>
          </w:p>
          <w:p w:rsidR="00000000" w:rsidRPr="00AD1146" w:rsidP="00AD1146">
            <w:pPr>
              <w:pStyle w:val="ListBullet"/>
            </w:pPr>
            <w:r w:rsidRPr="00AD1146">
              <w:t>Boiler process control systems</w:t>
            </w:r>
          </w:p>
          <w:p w:rsidR="00000000" w:rsidRPr="00AD1146" w:rsidP="00AD1146">
            <w:pPr>
              <w:pStyle w:val="ListBullet"/>
            </w:pPr>
            <w:r w:rsidRPr="00AD1146">
              <w:t>Fan types and characteristics</w:t>
            </w:r>
          </w:p>
          <w:p w:rsidR="00000000" w:rsidRPr="00AD1146" w:rsidP="00AD1146">
            <w:pPr>
              <w:pStyle w:val="ListBullet"/>
            </w:pPr>
            <w:r w:rsidRPr="00AD1146">
              <w:t>Transformers  types and characteristics</w:t>
            </w:r>
          </w:p>
          <w:p w:rsidR="00000000" w:rsidRPr="00AD1146" w:rsidP="00AD1146">
            <w:pPr>
              <w:pStyle w:val="ListBullet"/>
            </w:pPr>
            <w:r w:rsidRPr="00AD1146">
              <w:t>Rele</w:t>
            </w:r>
            <w:r w:rsidRPr="00AD1146">
              <w:t>vant state and territory regulations</w:t>
            </w:r>
          </w:p>
          <w:p w:rsidR="00000000" w:rsidRPr="00AD1146" w:rsidP="00AD1146">
            <w:pPr>
              <w:pStyle w:val="ListBullet"/>
            </w:pPr>
            <w:r w:rsidRPr="00AD1146">
              <w:t>Plant status;</w:t>
            </w:r>
          </w:p>
          <w:p w:rsidR="00000000" w:rsidRPr="00AD1146" w:rsidP="00AD1146">
            <w:pPr>
              <w:pStyle w:val="ListBullet"/>
            </w:pPr>
            <w:r w:rsidRPr="00AD1146">
              <w:t>Enterprise recording procedures;</w:t>
            </w:r>
          </w:p>
          <w:p w:rsidR="00000000" w:rsidRPr="00AD1146" w:rsidP="00AD1146">
            <w:pPr>
              <w:pStyle w:val="ListBullet"/>
            </w:pPr>
            <w:r w:rsidRPr="00AD1146">
              <w:t>Control and data acquisition systems;</w:t>
            </w:r>
          </w:p>
          <w:p w:rsidR="00000000" w:rsidRPr="00AD1146" w:rsidP="00AD1146">
            <w:pPr>
              <w:pStyle w:val="ListBullet"/>
            </w:pPr>
            <w:r w:rsidRPr="00AD1146">
              <w:t>Supervisory, alarm, protection and control equipment;</w:t>
            </w:r>
          </w:p>
          <w:p w:rsidR="00000000" w:rsidRPr="00AD1146" w:rsidP="00AD1146">
            <w:pPr>
              <w:pStyle w:val="ListBullet"/>
            </w:pPr>
            <w:r w:rsidRPr="00AD1146">
              <w:t>Shutting down and depressurising a boiler;</w:t>
            </w:r>
          </w:p>
          <w:p w:rsidR="00000000" w:rsidRPr="00AD1146" w:rsidP="00AD1146">
            <w:pPr>
              <w:pStyle w:val="ListBullet"/>
            </w:pPr>
            <w:r w:rsidRPr="00AD1146">
              <w:t>The system components and interaction</w:t>
            </w:r>
            <w:r w:rsidRPr="00AD1146">
              <w:t>;</w:t>
            </w:r>
          </w:p>
          <w:p w:rsidR="00000000" w:rsidRPr="00AD1146" w:rsidP="00AD1146">
            <w:pPr>
              <w:pStyle w:val="ListBullet"/>
            </w:pPr>
            <w:r w:rsidRPr="00AD1146">
              <w:t>Principles of air heater operation;</w:t>
            </w:r>
          </w:p>
          <w:p w:rsidR="00000000" w:rsidRPr="00AD1146" w:rsidP="00AD1146">
            <w:pPr>
              <w:pStyle w:val="ListBullet"/>
            </w:pPr>
            <w:r w:rsidRPr="00AD1146">
              <w:t>Principles of fuel combustion;</w:t>
            </w:r>
          </w:p>
          <w:p w:rsidR="00000000" w:rsidRPr="00AD1146" w:rsidP="00AD1146">
            <w:pPr>
              <w:pStyle w:val="ListBullet"/>
            </w:pPr>
            <w:r w:rsidRPr="00AD1146">
              <w:t>Electricity distribution system, a.c. and d.c.;</w:t>
            </w:r>
          </w:p>
          <w:p w:rsidR="00000000" w:rsidRPr="00AD1146" w:rsidP="00AD1146">
            <w:pPr>
              <w:pStyle w:val="ListBullet"/>
            </w:pPr>
            <w:r w:rsidRPr="00AD1146">
              <w:t>Station water distribution systems;</w:t>
            </w:r>
          </w:p>
          <w:p w:rsidR="00000000" w:rsidRPr="00AD1146" w:rsidP="00AD1146">
            <w:pPr>
              <w:pStyle w:val="ListBullet"/>
            </w:pPr>
            <w:r w:rsidRPr="00AD1146">
              <w:t>Fire protection control systems;</w:t>
            </w:r>
          </w:p>
          <w:p w:rsidR="00000000" w:rsidRPr="00AD1146" w:rsidP="00AD1146">
            <w:pPr>
              <w:pStyle w:val="ListBullet"/>
            </w:pPr>
            <w:r w:rsidRPr="00AD1146">
              <w:t>Principles of boiler and feedwater chemical treatment;</w:t>
            </w:r>
          </w:p>
          <w:p w:rsidR="00000000" w:rsidRPr="00AD1146" w:rsidP="00AD1146">
            <w:pPr>
              <w:pStyle w:val="ListBullet"/>
            </w:pPr>
            <w:r w:rsidRPr="00AD1146">
              <w:t>Thermodynamics;</w:t>
            </w:r>
          </w:p>
          <w:p w:rsidR="00000000" w:rsidRPr="00AD1146" w:rsidP="00AD1146">
            <w:pPr>
              <w:pStyle w:val="ListBullet"/>
            </w:pPr>
            <w:r w:rsidRPr="00AD1146">
              <w:t>Properties of matter;</w:t>
            </w:r>
          </w:p>
          <w:p w:rsidR="00000000" w:rsidRPr="00AD1146" w:rsidP="00AD1146">
            <w:pPr>
              <w:pStyle w:val="ListBullet"/>
            </w:pPr>
            <w:r w:rsidRPr="00AD1146">
              <w:t>Lubrication and bearings;</w:t>
            </w:r>
          </w:p>
          <w:p w:rsidR="00000000" w:rsidRPr="00AD1146" w:rsidP="00AD1146">
            <w:pPr>
              <w:pStyle w:val="ListBullet"/>
            </w:pPr>
            <w:r w:rsidRPr="00AD1146">
              <w:t>Steam power plant boiler water and steam systems;</w:t>
            </w:r>
          </w:p>
          <w:p w:rsidR="00000000" w:rsidRPr="00AD1146" w:rsidP="00AD1146">
            <w:pPr>
              <w:pStyle w:val="ListBullet"/>
            </w:pPr>
            <w:r w:rsidRPr="00AD1146">
              <w:t>Boiler draught system, types and characteristics</w:t>
            </w:r>
          </w:p>
          <w:p w:rsidR="00000000" w:rsidRPr="00AD1146" w:rsidP="00AD1146">
            <w:pPr>
              <w:pStyle w:val="ListBullet"/>
            </w:pPr>
            <w:r w:rsidRPr="00AD1146">
              <w:t>Fuel types and properties</w:t>
            </w:r>
          </w:p>
          <w:p w:rsidR="00000000" w:rsidRPr="00AD1146" w:rsidP="00AD1146">
            <w:pPr>
              <w:pStyle w:val="ListBullet"/>
            </w:pPr>
            <w:r w:rsidRPr="00AD1146">
              <w:t>Fuel conditioning and fuel firing equipment;</w:t>
            </w:r>
          </w:p>
          <w:p w:rsidR="00000000" w:rsidRPr="00AD1146" w:rsidP="00AD1146">
            <w:pPr>
              <w:pStyle w:val="ListBullet"/>
            </w:pPr>
            <w:r w:rsidRPr="00AD1146">
              <w:t>Control of a boiler shut down;</w:t>
            </w:r>
          </w:p>
          <w:p w:rsidR="00000000" w:rsidRPr="00AD1146" w:rsidP="00AD1146">
            <w:pPr>
              <w:pStyle w:val="ListBullet"/>
            </w:pPr>
            <w:r w:rsidRPr="00AD1146">
              <w:t>Auxili</w:t>
            </w:r>
            <w:r w:rsidRPr="00AD1146">
              <w:t>ary supply systems;</w:t>
            </w:r>
          </w:p>
          <w:p w:rsidR="00000000" w:rsidRPr="00AD1146" w:rsidP="00AD1146">
            <w:pPr>
              <w:pStyle w:val="BodyText"/>
            </w:pPr>
            <w:r w:rsidRPr="00AD1146">
              <w:t>T2 Specific skills needed to achieve the Performance Criteria:</w:t>
            </w:r>
          </w:p>
          <w:p w:rsidR="00000000" w:rsidRPr="00AD1146" w:rsidP="00AD1146">
            <w:pPr>
              <w:pStyle w:val="ListBullet"/>
            </w:pPr>
            <w:r w:rsidRPr="00AD1146">
              <w:t>Apply relevant environmental, occupational health and safety legislation and  regulations</w:t>
            </w:r>
          </w:p>
          <w:p w:rsidR="00000000" w:rsidRPr="00AD1146" w:rsidP="00AD1146">
            <w:pPr>
              <w:pStyle w:val="ListBullet"/>
            </w:pPr>
            <w:r w:rsidRPr="00AD1146">
              <w:t>Apply enterprise procedures</w:t>
            </w:r>
          </w:p>
          <w:p w:rsidR="00000000" w:rsidRPr="00AD1146" w:rsidP="00AD1146">
            <w:pPr>
              <w:pStyle w:val="ListBullet"/>
            </w:pPr>
            <w:r w:rsidRPr="00AD1146">
              <w:t>Interpret plant drawings and manufacturers manuals</w:t>
            </w:r>
          </w:p>
          <w:p w:rsidR="00000000" w:rsidRPr="00AD1146" w:rsidP="00AD1146">
            <w:pPr>
              <w:pStyle w:val="ListBullet"/>
            </w:pPr>
            <w:r w:rsidRPr="00AD1146">
              <w:t>App</w:t>
            </w:r>
            <w:r w:rsidRPr="00AD1146">
              <w:t>ly relevant state and territory regulations</w:t>
            </w:r>
          </w:p>
          <w:p w:rsidR="00000000" w:rsidRPr="00AD1146" w:rsidP="00AD1146">
            <w:pPr>
              <w:pStyle w:val="ListBullet"/>
            </w:pPr>
            <w:r w:rsidRPr="00AD1146">
              <w:t>Apply enterprise recording procedures;</w:t>
            </w:r>
          </w:p>
          <w:p w:rsidR="00000000" w:rsidRPr="00AD1146" w:rsidP="00AD1146">
            <w:pPr>
              <w:pStyle w:val="ListBullet"/>
            </w:pPr>
            <w:r w:rsidRPr="00AD1146">
              <w:t>Identify plant status;</w:t>
            </w:r>
          </w:p>
          <w:p w:rsidR="00000000" w:rsidRPr="00AD1146" w:rsidP="00AD1146">
            <w:pPr>
              <w:pStyle w:val="ListBullet"/>
            </w:pPr>
            <w:r w:rsidRPr="00AD1146">
              <w:t>Prepare plant/equipment for operation;</w:t>
            </w:r>
          </w:p>
          <w:p w:rsidR="00000000" w:rsidRPr="00AD1146" w:rsidP="00AD1146">
            <w:pPr>
              <w:pStyle w:val="ListBullet"/>
            </w:pPr>
            <w:r w:rsidRPr="00AD1146">
              <w:t>Organise resources;</w:t>
            </w:r>
          </w:p>
          <w:p w:rsidR="00000000" w:rsidRPr="00AD1146" w:rsidP="00AD1146">
            <w:pPr>
              <w:pStyle w:val="ListBullet"/>
            </w:pPr>
            <w:r w:rsidRPr="00AD1146">
              <w:t>Shut down boiler plant and equipment;</w:t>
            </w:r>
          </w:p>
          <w:p w:rsidR="00000000" w:rsidRPr="00AD1146" w:rsidP="00AD1146">
            <w:pPr>
              <w:pStyle w:val="ListBullet"/>
            </w:pPr>
            <w:r w:rsidRPr="00AD1146">
              <w:t>Apply cooling and de-pressurising techniques and principles;</w:t>
            </w:r>
          </w:p>
          <w:p w:rsidR="00000000" w:rsidRPr="00AD1146" w:rsidP="00AD1146">
            <w:pPr>
              <w:pStyle w:val="ListBullet"/>
            </w:pPr>
            <w:r w:rsidRPr="00AD1146">
              <w:t>Apply diagnostic and testing techniques;</w:t>
            </w:r>
          </w:p>
          <w:p w:rsidR="00000000" w:rsidRPr="00AD1146" w:rsidP="00AD1146">
            <w:pPr>
              <w:pStyle w:val="ListBullet"/>
            </w:pPr>
            <w:r w:rsidRPr="00AD1146">
              <w:t>Identify and respond to abnormal plant operating conditions;</w:t>
            </w:r>
          </w:p>
          <w:p w:rsidR="00000000" w:rsidRPr="00AD1146" w:rsidP="00AD1146">
            <w:pPr>
              <w:pStyle w:val="ListBullet"/>
            </w:pPr>
            <w:r w:rsidRPr="00AD1146">
              <w:t>Plan and prioritise work;</w:t>
            </w:r>
          </w:p>
          <w:p w:rsidR="00000000" w:rsidRPr="00AD1146" w:rsidP="00AD1146">
            <w:pPr>
              <w:pStyle w:val="ListBullet"/>
            </w:pPr>
            <w:r w:rsidRPr="00AD1146">
              <w:t>Use relevant hand tools;</w:t>
            </w:r>
          </w:p>
          <w:p w:rsidR="00000000" w:rsidRPr="00AD1146" w:rsidP="00AD1146">
            <w:pPr>
              <w:pStyle w:val="ListBullet"/>
            </w:pPr>
            <w:r w:rsidRPr="00AD1146">
              <w:t>Communicate effectively ;</w:t>
            </w:r>
          </w:p>
          <w:p w:rsidR="00000000" w:rsidRPr="00AD1146" w:rsidP="00AD1146">
            <w:pPr>
              <w:pStyle w:val="ListBullet"/>
            </w:pPr>
            <w:r w:rsidRPr="00AD1146">
              <w:t>Apply data analy</w:t>
            </w:r>
            <w:r w:rsidRPr="00AD1146">
              <w:t xml:space="preserve">sis techniques and tools; </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10" w:name="O_474362"/>
      <w:bookmarkEnd w:id="10"/>
      <w:r w:rsidRPr="00AD1146">
        <w:t>Evidence Guide</w:t>
      </w:r>
    </w:p>
    <w:tbl>
      <w:tblPr>
        <w:tblW w:w="0" w:type="auto"/>
        <w:tblLayout w:type="fixed"/>
        <w:tblCellMar>
          <w:left w:w="62" w:type="dxa"/>
          <w:right w:w="62" w:type="dxa"/>
        </w:tblCellMar>
        <w:tblLook w:val="0000"/>
      </w:tblPr>
      <w:tblGrid>
        <w:gridCol w:w="8460"/>
      </w:tblGrid>
      <w:tr w:rsidTr="009545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EVIDENCE GUIDE</w:t>
            </w:r>
          </w:p>
        </w:tc>
      </w:tr>
      <w:tr w:rsidTr="009545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9)</w:t>
            </w:r>
            <w:r w:rsidRPr="00AD1146">
              <w:t xml:space="preserve"> This provides essential advice for assessment of the competency standard unit and must be read </w:t>
            </w:r>
            <w:r w:rsidRPr="00AD1146">
              <w:t>in conjunction with the Performance Criteria and the Range Statement of the unit and the Training Package Assessment Guidelines.</w:t>
            </w:r>
          </w:p>
          <w:p w:rsidR="00000000" w:rsidRPr="00AD1146" w:rsidP="00AD1146">
            <w:pPr>
              <w:pStyle w:val="BodyText"/>
            </w:pPr>
            <w:r w:rsidRPr="00AD1146">
              <w:t>The Evidence Guide forms an integral part of this competency standard unit and shall be used in conjunction with all components</w:t>
            </w:r>
            <w:r w:rsidRPr="00AD1146">
              <w:t xml:space="preserve"> parts of this unit and, performed in accordance with the Assessment Guidelines of this Training Package.</w:t>
            </w:r>
          </w:p>
        </w:tc>
      </w:tr>
    </w:tbl>
    <w:p w:rsidR="00000000" w:rsidRPr="00AD1146" w:rsidP="00AD1146">
      <w:pPr>
        <w:pStyle w:val="BodyText"/>
      </w:pPr>
    </w:p>
    <w:tbl>
      <w:tblPr>
        <w:tblW w:w="0" w:type="auto"/>
        <w:tblLayout w:type="fixed"/>
        <w:tblCellMar>
          <w:left w:w="62" w:type="dxa"/>
          <w:right w:w="62" w:type="dxa"/>
        </w:tblCellMar>
        <w:tblLook w:val="0000"/>
      </w:tblPr>
      <w:tblGrid>
        <w:gridCol w:w="1890"/>
        <w:gridCol w:w="6570"/>
      </w:tblGrid>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9.1)</w:t>
            </w:r>
          </w:p>
        </w:tc>
      </w:tr>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 xml:space="preserve">Longitude competency development approaches to assessment, such as Profiling, require data to be reliably gathered in </w:t>
            </w:r>
            <w:r w:rsidRPr="00AD1146">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AD1146">
              <w:t>used it is to include the application of the competency in the normal work environment or, at a minimum, the application of the competency in a realistically simulated work environment. It is recognised that, in some circumstances, assessment in part or fu</w:t>
            </w:r>
            <w:r w:rsidRPr="00AD1146">
              <w:t>ll can occur outside the workplace. However, it must be in accord with Industry and regulatory policy.</w:t>
            </w:r>
          </w:p>
          <w:p w:rsidR="00000000" w:rsidRPr="00AD1146" w:rsidP="00AD1146">
            <w:pPr>
              <w:pStyle w:val="BodyText"/>
            </w:pPr>
            <w:r w:rsidRPr="00AD1146">
              <w:t>Methods chosen for a particular assessment will be influenced by various factors. These include the extent of the assessment, the most effective locations for the assessment activities to take place, access to physical resources, additional safety measures</w:t>
            </w:r>
            <w:r w:rsidRPr="00AD1146">
              <w:t xml:space="preserve"> that may be required and the critical nature of the competencies being assessed.</w:t>
            </w:r>
          </w:p>
          <w:p w:rsidR="00000000" w:rsidRPr="00AD1146" w:rsidP="00AD1146">
            <w:pPr>
              <w:pStyle w:val="BodyText"/>
            </w:pPr>
            <w:r w:rsidRPr="00AD1146">
              <w:t>The critical safety nature of working with electricity, electrical equipment, gas or any other hazardous substance/material carries risk in deeming a person competent. Hence,</w:t>
            </w:r>
            <w:r w:rsidRPr="00AD1146">
              <w:t xml:space="preserve"> sources of evidence need to be ‘rich’ in nature so as to minimise error in judgment.</w:t>
            </w:r>
          </w:p>
          <w:p w:rsidR="00000000" w:rsidRPr="00AD1146" w:rsidP="00AD1146">
            <w:pPr>
              <w:pStyle w:val="BodyText"/>
            </w:pPr>
            <w:r w:rsidRPr="00AD1146">
              <w:t xml:space="preserve">Activities associated with normal every day work have a bearing on the decision as to how much and how detailed the data gathered will contribute to its ‘richness’. Some </w:t>
            </w:r>
            <w:r w:rsidRPr="00AD1146">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AD1146">
              <w:t>Sample assessment instruments are included in the Assessment Guidelines of this Training Package.</w:t>
            </w:r>
          </w:p>
        </w:tc>
      </w:tr>
    </w:tbl>
    <w:p w:rsidR="00000000" w:rsidRPr="00AD1146" w:rsidP="00AD1146">
      <w:pPr>
        <w:pStyle w:val="BodyText"/>
      </w:pPr>
    </w:p>
    <w:tbl>
      <w:tblPr>
        <w:tblW w:w="0" w:type="auto"/>
        <w:tblLayout w:type="fixed"/>
        <w:tblCellMar>
          <w:left w:w="62" w:type="dxa"/>
          <w:right w:w="62" w:type="dxa"/>
        </w:tblCellMar>
        <w:tblLook w:val="0000"/>
      </w:tblPr>
      <w:tblGrid>
        <w:gridCol w:w="1890"/>
        <w:gridCol w:w="6570"/>
      </w:tblGrid>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9.2)</w:t>
            </w:r>
          </w:p>
        </w:tc>
      </w:tr>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Before the critical aspects of evidence are considered all pre-requisite</w:t>
            </w:r>
            <w:r w:rsidRPr="00AD1146">
              <w:t>s shall be met.</w:t>
            </w:r>
          </w:p>
          <w:p w:rsidR="00000000" w:rsidRPr="00AD1146" w:rsidP="00AD1146">
            <w:pPr>
              <w:pStyle w:val="BodyText"/>
            </w:pPr>
            <w:r w:rsidRPr="00AD1146">
              <w:t>Evidence for competence in this unit shall be considered holistically.  Each element and associated Performance Criteria shall be demonstrated on at least two occasions in accordance with the “Assessment Guidelines – UEP12”.  Evidence shall</w:t>
            </w:r>
            <w:r w:rsidRPr="00AD1146">
              <w:t xml:space="preserve"> also comprise:</w:t>
            </w:r>
          </w:p>
          <w:p w:rsidR="00000000" w:rsidRPr="00AD1146" w:rsidP="00AD1146">
            <w:pPr>
              <w:pStyle w:val="ListBullet"/>
            </w:pPr>
            <w:r w:rsidRPr="00AD1146">
              <w:t>A representative body of work performance demonstrated within the timeframes typically expected of the discipline, work function and industrial environment. In particular this shall incorporate evidence that shows a candidate is able to:</w:t>
            </w:r>
          </w:p>
          <w:p w:rsidR="00000000" w:rsidRPr="00AD1146" w:rsidP="00AD1146">
            <w:pPr>
              <w:pStyle w:val="ListBullet2"/>
            </w:pPr>
            <w:r w:rsidRPr="00AD1146">
              <w:t>Implement Occupational Health and Safety workplace procedures and practices including the use of risk control measures as specified in the Performance Criteria and Range Statement</w:t>
            </w:r>
          </w:p>
          <w:p w:rsidR="00000000" w:rsidRPr="00AD1146" w:rsidP="00AD1146">
            <w:pPr>
              <w:pStyle w:val="ListBullet2"/>
            </w:pPr>
            <w:r w:rsidRPr="00AD1146">
              <w:t>Apply sustainable energy principles and practices as specified in the Performance Criteria and Range Statement</w:t>
            </w:r>
          </w:p>
          <w:p w:rsidR="00000000" w:rsidRPr="00AD1146" w:rsidP="00AD1146">
            <w:pPr>
              <w:pStyle w:val="ListBullet2"/>
            </w:pPr>
            <w:r w:rsidRPr="00AD1146">
              <w:t>Demonstrate an understanding of the essential knowledge and associated skills as described in 6) Essential Knowledge and Associated Skills of thi</w:t>
            </w:r>
            <w:r w:rsidRPr="00AD1146">
              <w:t>s unit</w:t>
            </w:r>
          </w:p>
          <w:p w:rsidR="00000000" w:rsidRPr="00AD1146" w:rsidP="00AD1146">
            <w:pPr>
              <w:pStyle w:val="ListBullet2"/>
            </w:pPr>
            <w:r w:rsidRPr="00AD1146">
              <w:t>Demonstrate an appropriate level of employability skills</w:t>
            </w:r>
          </w:p>
          <w:p w:rsidR="00000000" w:rsidRPr="00AD1146" w:rsidP="00AD1146">
            <w:pPr>
              <w:pStyle w:val="ListBullet2"/>
            </w:pPr>
            <w:r w:rsidRPr="00AD1146">
              <w:t>Conduct work observing the relevant Anti-Discrimination legislation, regulations, polices and workplace procedure</w:t>
            </w:r>
          </w:p>
          <w:p w:rsidR="00000000" w:rsidRPr="00AD1146" w:rsidP="00AD1146">
            <w:pPr>
              <w:pStyle w:val="ListBullet"/>
            </w:pPr>
            <w:r w:rsidRPr="00AD1146">
              <w:t>Demonstrated performance across a representative range of contexts from the p</w:t>
            </w:r>
            <w:r w:rsidRPr="00AD1146">
              <w:t>rescribed items below:</w:t>
            </w:r>
          </w:p>
          <w:p w:rsidR="00000000" w:rsidRPr="00AD1146" w:rsidP="00AD1146">
            <w:pPr>
              <w:pStyle w:val="ListBullet2"/>
            </w:pPr>
            <w:r w:rsidRPr="00AD1146">
              <w:t>The knowledge and application of relevant sections of: Occupational Health and Safety legislation; Statutory legislation; Enterprise/site safety procedures; Enterprise/site emergency procedures</w:t>
            </w:r>
          </w:p>
          <w:p w:rsidR="00000000" w:rsidRPr="00AD1146" w:rsidP="00AD1146">
            <w:pPr>
              <w:pStyle w:val="ListBullet2"/>
            </w:pPr>
            <w:r w:rsidRPr="00AD1146">
              <w:t>The preparation and planning of work</w:t>
            </w:r>
          </w:p>
          <w:p w:rsidR="00000000" w:rsidRPr="00AD1146" w:rsidP="00AD1146">
            <w:pPr>
              <w:pStyle w:val="ListBullet2"/>
            </w:pPr>
            <w:r w:rsidRPr="00AD1146">
              <w:t>T</w:t>
            </w:r>
            <w:r w:rsidRPr="00AD1146">
              <w:t>he operation of boiler plant and equipment</w:t>
            </w:r>
          </w:p>
          <w:p w:rsidR="00000000" w:rsidRPr="00AD1146" w:rsidP="00AD1146">
            <w:pPr>
              <w:pStyle w:val="ListBullet2"/>
            </w:pPr>
            <w:r w:rsidRPr="00AD1146">
              <w:t>Operationally testing plan</w:t>
            </w:r>
          </w:p>
          <w:p w:rsidR="00000000" w:rsidRPr="00AD1146" w:rsidP="00AD1146">
            <w:pPr>
              <w:pStyle w:val="ListBullet2"/>
            </w:pPr>
            <w:r w:rsidRPr="00AD1146">
              <w:t>Analysing plant faults</w:t>
            </w:r>
          </w:p>
          <w:p w:rsidR="00000000" w:rsidRPr="00AD1146" w:rsidP="00AD1146">
            <w:pPr>
              <w:pStyle w:val="ListBullet2"/>
            </w:pPr>
            <w:r w:rsidRPr="00AD1146">
              <w:t>Monitoring plant operation</w:t>
            </w:r>
          </w:p>
          <w:p w:rsidR="00000000" w:rsidRPr="00AD1146" w:rsidP="00AD1146">
            <w:pPr>
              <w:pStyle w:val="ListBullet2"/>
            </w:pPr>
            <w:r w:rsidRPr="00AD1146">
              <w:t>The knowledge of the system components and their interaction</w:t>
            </w:r>
          </w:p>
          <w:p w:rsidR="00000000" w:rsidRPr="00AD1146" w:rsidP="00AD1146">
            <w:pPr>
              <w:pStyle w:val="ListBullet2"/>
            </w:pPr>
            <w:r w:rsidRPr="00AD1146">
              <w:t>The knowledge of boiler operational processes</w:t>
            </w:r>
          </w:p>
          <w:p w:rsidR="00000000" w:rsidRPr="00AD1146" w:rsidP="00AD1146">
            <w:pPr>
              <w:pStyle w:val="ListBullet2"/>
            </w:pPr>
            <w:r w:rsidRPr="00AD1146">
              <w:t>The knowledge of cooling and de-pressurising techniques</w:t>
            </w:r>
          </w:p>
          <w:p w:rsidR="00000000" w:rsidRPr="00AD1146" w:rsidP="00AD1146">
            <w:pPr>
              <w:pStyle w:val="ListBullet2"/>
            </w:pPr>
            <w:r w:rsidRPr="00AD1146">
              <w:t>Dealing with an unplanned event by drawing on essential knowledge and skills to provide appropriate solutions incorporated in the holistic assessment with the above listed items.</w:t>
            </w:r>
          </w:p>
        </w:tc>
      </w:tr>
    </w:tbl>
    <w:p w:rsidR="00000000" w:rsidRPr="00AD1146" w:rsidP="00AD1146">
      <w:pPr>
        <w:pStyle w:val="BodyText"/>
      </w:pPr>
    </w:p>
    <w:tbl>
      <w:tblPr>
        <w:tblW w:w="0" w:type="auto"/>
        <w:tblLayout w:type="fixed"/>
        <w:tblCellMar>
          <w:left w:w="62" w:type="dxa"/>
          <w:right w:w="62" w:type="dxa"/>
        </w:tblCellMar>
        <w:tblLook w:val="0000"/>
      </w:tblPr>
      <w:tblGrid>
        <w:gridCol w:w="1890"/>
        <w:gridCol w:w="6570"/>
      </w:tblGrid>
      <w:tr w:rsidTr="0095458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Context of and spec</w:t>
            </w:r>
            <w:r w:rsidRPr="00AD1146">
              <w:rPr>
                <w:rStyle w:val="SpecialBold"/>
              </w:rPr>
              <w:t>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9.3)</w:t>
            </w:r>
          </w:p>
        </w:tc>
      </w:tr>
      <w:tr w:rsidTr="0095458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This unit should be assessed as it relates to normal work practice using procedures, information and resources typical of a workplace. This should include:</w:t>
            </w:r>
          </w:p>
          <w:p w:rsidR="00000000" w:rsidRPr="00AD1146" w:rsidP="00AD1146">
            <w:pPr>
              <w:pStyle w:val="ListBullet"/>
            </w:pPr>
            <w:r w:rsidRPr="00AD1146">
              <w:t>OHS policy and work procedures and instructions.</w:t>
            </w:r>
          </w:p>
          <w:p w:rsidR="00000000" w:rsidRPr="00AD1146" w:rsidP="00AD1146">
            <w:pPr>
              <w:pStyle w:val="ListBullet"/>
            </w:pPr>
            <w:r w:rsidRPr="00AD1146">
              <w:t>Suitable work environment, facilities, equipment and materials to undertake actual work as prescribed by this unit.</w:t>
            </w:r>
          </w:p>
          <w:p w:rsidR="00000000" w:rsidRPr="00AD1146" w:rsidP="00AD1146">
            <w:pPr>
              <w:pStyle w:val="BodyText"/>
            </w:pPr>
            <w:r w:rsidRPr="00AD1146">
              <w:t>Competency Standards should be assessed in the workplace or simulated workplace and under the normal range of workplace conditions.</w:t>
            </w:r>
          </w:p>
          <w:p w:rsidR="00000000" w:rsidRPr="00AD1146" w:rsidP="00AD1146">
            <w:pPr>
              <w:pStyle w:val="BodyText"/>
            </w:pPr>
            <w:r w:rsidRPr="00AD1146">
              <w:t>Assessme</w:t>
            </w:r>
            <w:r w:rsidRPr="00AD1146">
              <w:t>nt of this unit will be supported with documentary evidence, by means of endorsement stating type and application of work.</w:t>
            </w:r>
          </w:p>
          <w:p w:rsidR="00000000" w:rsidRPr="00AD1146" w:rsidP="00AD1146">
            <w:pPr>
              <w:pStyle w:val="BodyText"/>
            </w:pPr>
            <w:r w:rsidRPr="00AD1146">
              <w:t>In addition to the resources listed above in Context of assessment’, evidence should show competency working in limited spaces with d</w:t>
            </w:r>
            <w:r w:rsidRPr="00AD1146">
              <w:t>ifferent types of plant and equipment as well as different structural/construction types and methods and in a variety of environments.</w:t>
            </w:r>
          </w:p>
        </w:tc>
      </w:tr>
    </w:tbl>
    <w:p w:rsidR="00000000" w:rsidRPr="00AD1146" w:rsidP="00AD1146">
      <w:pPr>
        <w:pStyle w:val="BodyText"/>
      </w:pPr>
    </w:p>
    <w:tbl>
      <w:tblPr>
        <w:tblW w:w="0" w:type="auto"/>
        <w:tblLayout w:type="fixed"/>
        <w:tblCellMar>
          <w:left w:w="62" w:type="dxa"/>
          <w:right w:w="62" w:type="dxa"/>
        </w:tblCellMar>
        <w:tblLook w:val="0000"/>
      </w:tblPr>
      <w:tblGrid>
        <w:gridCol w:w="1890"/>
        <w:gridCol w:w="6570"/>
      </w:tblGrid>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9.4)</w:t>
            </w:r>
          </w:p>
        </w:tc>
      </w:tr>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This unit shall be assessed by methods given in Section 1.3.00 Assessment Guidelines.</w:t>
            </w:r>
          </w:p>
          <w:p w:rsidR="00000000" w:rsidRPr="00AD1146" w:rsidP="00AD1146">
            <w:pPr>
              <w:pStyle w:val="BodyText"/>
            </w:pPr>
            <w:r w:rsidRPr="00AD1146">
              <w:t xml:space="preserve">Note: </w:t>
            </w:r>
          </w:p>
          <w:p w:rsidR="00000000" w:rsidRPr="00AD1146" w:rsidP="00AD1146">
            <w:pPr>
              <w:pStyle w:val="BodyText"/>
            </w:pPr>
            <w:r w:rsidRPr="00AD1146">
              <w:t>Competent performance with inherent safe working practices is expected in the Industry to which this unit applies. This requires that the specified essential knowledge and associated skills are assessed in a structured environment which is primarily</w:t>
            </w:r>
            <w:r w:rsidRPr="00AD1146">
              <w:t xml:space="preserve"> intended for learning/assessment and incorporates all necessary equipment and facilities for learners to develop and demonstrate the essential knowledge and skills described in this unit.</w:t>
            </w:r>
          </w:p>
        </w:tc>
      </w:tr>
    </w:tbl>
    <w:p w:rsidR="00000000" w:rsidRPr="00AD1146" w:rsidP="00AD1146">
      <w:pPr>
        <w:pStyle w:val="BodyText"/>
      </w:pPr>
    </w:p>
    <w:tbl>
      <w:tblPr>
        <w:tblW w:w="0" w:type="auto"/>
        <w:tblLayout w:type="fixed"/>
        <w:tblCellMar>
          <w:left w:w="62" w:type="dxa"/>
          <w:right w:w="62" w:type="dxa"/>
        </w:tblCellMar>
        <w:tblLook w:val="0000"/>
      </w:tblPr>
      <w:tblGrid>
        <w:gridCol w:w="1890"/>
        <w:gridCol w:w="6570"/>
      </w:tblGrid>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9.5)</w:t>
            </w:r>
          </w:p>
        </w:tc>
      </w:tr>
      <w:tr w:rsidTr="009545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Th</w:t>
            </w:r>
            <w:r w:rsidRPr="00AD1146">
              <w:t>ere are no recommended concurrent assessments with this unit, however in some cases efficiencies may be gained in terms of learning and assessment effort being concurrently managed with allied competency standard units where listed.</w:t>
            </w:r>
          </w:p>
          <w:p w:rsidR="00000000" w:rsidRPr="00AD1146" w:rsidP="00AD1146">
            <w:pPr>
              <w:pStyle w:val="BodyText"/>
            </w:pPr>
            <w:r w:rsidRPr="00AD1146">
              <w:t>Nil</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11" w:name="O_474366"/>
      <w:bookmarkEnd w:id="11"/>
      <w:r w:rsidRPr="00AD1146">
        <w:t>Range Statement</w:t>
      </w:r>
    </w:p>
    <w:tbl>
      <w:tblPr>
        <w:tblW w:w="0" w:type="auto"/>
        <w:tblLayout w:type="fixed"/>
        <w:tblCellMar>
          <w:left w:w="62" w:type="dxa"/>
          <w:right w:w="62" w:type="dxa"/>
        </w:tblCellMar>
        <w:tblLook w:val="0000"/>
      </w:tblPr>
      <w:tblGrid>
        <w:gridCol w:w="8460"/>
      </w:tblGrid>
      <w:tr w:rsidTr="009545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RANGE STATEMENT</w:t>
            </w:r>
          </w:p>
        </w:tc>
      </w:tr>
      <w:tr w:rsidTr="009545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10)</w:t>
            </w:r>
            <w:r w:rsidRPr="00AD1146">
              <w:t xml:space="preserve"> This relates to the competency standard unit as a whole, providing the range of contexts and </w:t>
            </w:r>
            <w:r w:rsidRPr="00AD1146">
              <w:t>conditions to which the Performance Criteria apply. It allows for different work environments and situations that will affect performance.</w:t>
            </w:r>
          </w:p>
          <w:p w:rsidR="00000000" w:rsidRPr="00AD1146" w:rsidP="00AD1146">
            <w:pPr>
              <w:pStyle w:val="BodyText"/>
            </w:pPr>
            <w:r w:rsidRPr="00AD1146">
              <w:t>Plant and equipment may include boiler and auxiliary plant; fuel and fuel delivery system plant; fuel management syst</w:t>
            </w:r>
            <w:r w:rsidRPr="00AD1146">
              <w:t>em; flame detection equipment; steam temperature control plant; boiler heating surfaces dust removal system; combustion waste extraction system; electric motors (a.c. and d.c., high and low voltage); electricity distribution system (a.c. and d.c. transform</w:t>
            </w:r>
            <w:r w:rsidRPr="00AD1146">
              <w:t>ers); diesel engine driven auxiliary plant; station water distribution systems; hydraulic power oil system; compressed air systems; computers with equipment control functions; and supervisory, alarm and control equipment.</w:t>
            </w:r>
          </w:p>
          <w:p w:rsidR="00000000" w:rsidRPr="00AD1146" w:rsidP="00AD1146">
            <w:pPr>
              <w:pStyle w:val="BodyText"/>
            </w:pPr>
            <w:r w:rsidRPr="00AD1146">
              <w:t>Safety standards may include relev</w:t>
            </w:r>
            <w:r w:rsidRPr="00AD1146">
              <w:t>ant sections of Occupational Health and Safety legislation, enterprise safety rules, Australian standards, national standards for plant and relevant State and federal legislation.</w:t>
            </w:r>
          </w:p>
          <w:p w:rsidR="00000000" w:rsidRPr="00AD1146" w:rsidP="00AD1146">
            <w:pPr>
              <w:pStyle w:val="BodyText"/>
            </w:pPr>
            <w:r w:rsidRPr="00AD1146">
              <w:t>Information and documentation sources may include verbal or written communic</w:t>
            </w:r>
            <w:r w:rsidRPr="00AD1146">
              <w:t>ations; enterprise safety rules documentation; enterprise operating instructions; manufacturer’s operational and maintenance manuals; equipment and alarm manuals, enterprise log books, dedicated computer equipment, enterprise standing instructions and plan</w:t>
            </w:r>
            <w:r w:rsidRPr="00AD1146">
              <w:t>t notes.</w:t>
            </w:r>
          </w:p>
          <w:p w:rsidR="00000000" w:rsidRPr="00AD1146" w:rsidP="00AD1146">
            <w:pPr>
              <w:pStyle w:val="BodyText"/>
            </w:pPr>
            <w:r w:rsidRPr="00AD1146">
              <w:t>Technical and operational indicators may include stimuli (audio, smell, touch, visual), remote or local indicators and recorders, computers and alarms (visible and/or audible).</w:t>
            </w:r>
          </w:p>
          <w:p w:rsidR="00000000" w:rsidRPr="00AD1146" w:rsidP="00AD1146">
            <w:pPr>
              <w:pStyle w:val="BodyText"/>
            </w:pPr>
            <w:r w:rsidRPr="00AD1146">
              <w:t>Communications may be by means of telephone, two way radio, pager, com</w:t>
            </w:r>
            <w:r w:rsidRPr="00AD1146">
              <w:t>puter (electronic mail) and operating log (written or verbal).</w:t>
            </w:r>
          </w:p>
          <w:p w:rsidR="00000000" w:rsidRPr="00AD1146" w:rsidP="00AD1146">
            <w:pPr>
              <w:pStyle w:val="BodyText"/>
            </w:pPr>
            <w:r w:rsidRPr="00AD1146">
              <w:t>Tests may include loss of a major auxiliary controls response checks, stand-by plant “cut-in” tests, dampers/valves operating checks and pre and post shut-down tests.</w:t>
            </w:r>
          </w:p>
          <w:p w:rsidR="00000000" w:rsidRPr="00AD1146" w:rsidP="00AD1146">
            <w:pPr>
              <w:pStyle w:val="BodyText"/>
            </w:pPr>
            <w:r w:rsidRPr="00AD1146">
              <w:t>Appropriate personnel to c</w:t>
            </w:r>
            <w:r w:rsidRPr="00AD1146">
              <w:t>onsult, give or receive direction may include supervisor/team leader or equivalent; other coordinators of energy production or equivalent; technical and engineering officers or equivalent; maintenance staff; other operating staff and contractor staff.</w:t>
            </w:r>
          </w:p>
          <w:p w:rsidR="00000000" w:rsidRPr="00AD1146" w:rsidP="00AD1146">
            <w:pPr>
              <w:pStyle w:val="BodyText"/>
            </w:pPr>
            <w:r w:rsidRPr="00AD1146">
              <w:t>Oper</w:t>
            </w:r>
            <w:r w:rsidRPr="00AD1146">
              <w:t xml:space="preserve">ating environment may be remote from plant and equipment being operated (operation is assisted by remote indicators of plant status and other parameters monitored); in wet/noisy/dusty/hot areas, during night periods and during inclement or otherwise harsh </w:t>
            </w:r>
            <w:r w:rsidRPr="00AD1146">
              <w:t>weather conditions.</w:t>
            </w:r>
          </w:p>
          <w:p w:rsidR="00000000" w:rsidRPr="00AD1146" w:rsidP="00AD1146">
            <w:pPr>
              <w:pStyle w:val="BodyText"/>
            </w:pPr>
            <w:r w:rsidRPr="00AD1146">
              <w:t>Plant operations (systems requirements) may include boiler emergency trip; boiler shutdown, with or without turbine bypass or by using forced cooling procedures.</w:t>
            </w:r>
          </w:p>
          <w:p w:rsidR="00000000" w:rsidRPr="00AD1146" w:rsidP="00AD1146">
            <w:pPr>
              <w:pStyle w:val="BodyText"/>
            </w:pPr>
            <w:r w:rsidRPr="00AD1146">
              <w:t xml:space="preserve">Faults and abnormal operating conditions may include boiler trip; loss of </w:t>
            </w:r>
            <w:r w:rsidRPr="00AD1146">
              <w:t>a major auxiliary; loss of electrical supply to switchboard(s), motors; boiler water chemical operating limits exceeded; automatic control loop(s) malfunctions; boiler heating surfaces dust removal system malfunctions; high temperatures on/in, boiler heati</w:t>
            </w:r>
            <w:r w:rsidRPr="00AD1146">
              <w:t>ng surfaces/tubes/headers, boiler exhaust (back end), steam to turbine, motor, fan, pump bearings and lubricating oil, motor windings; boiler tube leaks; air heater cold end temperatures low; air heater/combustion air ductwork fires; fuel preparation and d</w:t>
            </w:r>
            <w:r w:rsidRPr="00AD1146">
              <w:t>elivery systems fires; fuel system malfunction; excessive drum water level split; excessively high heating/cooling rates; high/low furnace dp; high dp’s on oil/air filters and strainers; failed field devices (pressure/level switches/transmitters, thermocou</w:t>
            </w:r>
            <w:r w:rsidRPr="00AD1146">
              <w:t>ples); failed/ malfunctioning actuators/dampers/valves; boiler feedwater pumps malfunctions and boiler protection.</w:t>
            </w:r>
          </w:p>
          <w:p w:rsidR="00000000" w:rsidRPr="00AD1146" w:rsidP="00AD1146">
            <w:pPr>
              <w:pStyle w:val="BodyText"/>
            </w:pPr>
            <w:r w:rsidRPr="00AD1146">
              <w:t>Generic terms are used throughout this Training Package for vocational standard shall be regarded as part of the Range Statement in which com</w:t>
            </w:r>
            <w:r w:rsidRPr="00AD1146">
              <w:t>petency is demonstrated. The definition of these and other terms are given in Section 2.1 Preliminary Information and Glossaries.</w:t>
            </w:r>
          </w:p>
        </w:tc>
      </w:tr>
    </w:tbl>
    <w:p w:rsidR="00000000" w:rsidRPr="00AD1146" w:rsidP="00AD1146">
      <w:pPr>
        <w:pStyle w:val="BodyText"/>
      </w:pPr>
    </w:p>
    <w:p w:rsidR="00000000" w:rsidRPr="00AD1146" w:rsidP="00AD1146">
      <w:pPr>
        <w:pStyle w:val="AllowPageBreak"/>
      </w:pPr>
    </w:p>
    <w:p w:rsidR="00000000" w:rsidRPr="00AD1146" w:rsidP="00AD1146">
      <w:pPr>
        <w:pStyle w:val="Heading1"/>
      </w:pPr>
      <w:bookmarkStart w:id="12" w:name="O_474369"/>
      <w:bookmarkEnd w:id="12"/>
      <w:r w:rsidRPr="00AD1146">
        <w:t>Unit Sector(s)</w:t>
      </w:r>
    </w:p>
    <w:p w:rsidR="00000000" w:rsidRPr="00AD1146" w:rsidP="00AD1146">
      <w:pPr>
        <w:pStyle w:val="BodyText"/>
      </w:pPr>
      <w:r w:rsidRPr="00AD1146">
        <w:t>Not applicable.</w:t>
      </w:r>
    </w:p>
    <w:p w:rsidR="00000000" w:rsidRPr="00AD1146" w:rsidP="00AD1146">
      <w:pPr>
        <w:pStyle w:val="AllowPageBreak"/>
      </w:pPr>
    </w:p>
    <w:p w:rsidR="00000000" w:rsidRPr="00AD1146" w:rsidP="00AD1146">
      <w:pPr>
        <w:pStyle w:val="Heading1"/>
      </w:pPr>
      <w:bookmarkStart w:id="13" w:name="O_474358"/>
      <w:bookmarkEnd w:id="13"/>
      <w:r w:rsidRPr="00AD1146">
        <w:t>Competency Field</w:t>
      </w:r>
    </w:p>
    <w:tbl>
      <w:tblPr>
        <w:tblW w:w="0" w:type="auto"/>
        <w:tblLayout w:type="fixed"/>
        <w:tblCellMar>
          <w:left w:w="62" w:type="dxa"/>
          <w:right w:w="62" w:type="dxa"/>
        </w:tblCellMar>
        <w:tblLook w:val="0000"/>
      </w:tblPr>
      <w:tblGrid>
        <w:gridCol w:w="2700"/>
        <w:gridCol w:w="5760"/>
      </w:tblGrid>
      <w:tr w:rsidTr="009545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1146">
            <w:pPr>
              <w:pStyle w:val="BodyText"/>
              <w:rPr>
                <w:lang w:val="en-NZ"/>
              </w:rPr>
            </w:pPr>
            <w:r w:rsidRPr="00AD1146">
              <w:rPr>
                <w:rStyle w:val="SpecialBold"/>
              </w:rPr>
              <w:t xml:space="preserve">11) </w:t>
            </w:r>
          </w:p>
        </w:tc>
      </w:tr>
      <w:tr w:rsidTr="009545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146" w:rsidP="00AD1146">
            <w:pPr>
              <w:pStyle w:val="BodyText"/>
            </w:pPr>
            <w:r w:rsidRPr="00AD1146">
              <w:t>Operations</w:t>
            </w:r>
          </w:p>
        </w:tc>
      </w:tr>
    </w:tbl>
    <w:p w:rsidR="00000000" w:rsidRPr="00AD1146" w:rsidP="00AD1146">
      <w:pPr>
        <w:pStyle w:val="BodyText"/>
      </w:pPr>
    </w:p>
    <w:p w:rsidR="00000000" w:rsidRPr="00AD1146" w:rsidP="00AD1146"/>
    <w:sectPr w:rsidSect="00AD1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58A" w:rsidP="009545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8A" w:rsidP="00AD11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458A" w:rsidP="00AD11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458A" w:rsidP="00AD11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46" w:rsidRPr="0095458A" w:rsidP="009545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8A" w:rsidRPr="002D2AF8" w:rsidP="00AD1146">
    <w:pPr>
      <w:pStyle w:val="Header"/>
      <w:framePr w:wrap="around"/>
    </w:pPr>
    <w:r>
      <w:fldChar w:fldCharType="begin"/>
    </w:r>
    <w:r>
      <w:instrText xml:space="preserve"> TITLE   \* MERGEFORMAT </w:instrText>
    </w:r>
    <w:r>
      <w:fldChar w:fldCharType="separate"/>
    </w:r>
    <w:r>
      <w:t>UEPOPS410B Shut down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5458A" w:rsidP="00AD11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61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CD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C2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1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146"/>
    <w:pPr>
      <w:spacing w:before="360" w:after="60"/>
      <w:outlineLvl w:val="0"/>
    </w:pPr>
    <w:rPr>
      <w:sz w:val="32"/>
    </w:rPr>
  </w:style>
  <w:style w:type="paragraph" w:styleId="Heading2">
    <w:name w:val="heading 2"/>
    <w:basedOn w:val="HeadingBase"/>
    <w:next w:val="BodyText"/>
    <w:link w:val="Heading2Char"/>
    <w:qFormat/>
    <w:rsid w:val="00AD1146"/>
    <w:pPr>
      <w:keepLines/>
      <w:spacing w:before="240" w:after="120"/>
      <w:outlineLvl w:val="1"/>
    </w:pPr>
    <w:rPr>
      <w:sz w:val="28"/>
      <w:szCs w:val="40"/>
    </w:rPr>
  </w:style>
  <w:style w:type="paragraph" w:styleId="Heading3">
    <w:name w:val="heading 3"/>
    <w:basedOn w:val="HeadingBase"/>
    <w:next w:val="BodyText"/>
    <w:link w:val="Heading3Char"/>
    <w:qFormat/>
    <w:rsid w:val="00AD1146"/>
    <w:pPr>
      <w:spacing w:before="180" w:after="120"/>
      <w:outlineLvl w:val="2"/>
    </w:pPr>
    <w:rPr>
      <w:spacing w:val="-10"/>
      <w:kern w:val="32"/>
    </w:rPr>
  </w:style>
  <w:style w:type="paragraph" w:styleId="Heading4">
    <w:name w:val="heading 4"/>
    <w:basedOn w:val="HeadingBase"/>
    <w:next w:val="BodyText"/>
    <w:link w:val="Heading4Char"/>
    <w:qFormat/>
    <w:rsid w:val="00AD1146"/>
    <w:pPr>
      <w:spacing w:before="160" w:after="120"/>
      <w:outlineLvl w:val="3"/>
    </w:pPr>
    <w:rPr>
      <w:sz w:val="22"/>
    </w:rPr>
  </w:style>
  <w:style w:type="paragraph" w:styleId="Heading5">
    <w:name w:val="heading 5"/>
    <w:basedOn w:val="HeadingBase"/>
    <w:next w:val="Normal"/>
    <w:link w:val="Heading5Char"/>
    <w:qFormat/>
    <w:rsid w:val="00AD1146"/>
    <w:pPr>
      <w:spacing w:before="80"/>
      <w:outlineLvl w:val="4"/>
    </w:pPr>
    <w:rPr>
      <w:color w:val="918585"/>
      <w:sz w:val="20"/>
    </w:rPr>
  </w:style>
  <w:style w:type="paragraph" w:styleId="Heading6">
    <w:name w:val="heading 6"/>
    <w:basedOn w:val="HeadingBase"/>
    <w:next w:val="Normal"/>
    <w:link w:val="Heading6Char"/>
    <w:qFormat/>
    <w:rsid w:val="00AD1146"/>
    <w:pPr>
      <w:spacing w:before="60"/>
      <w:outlineLvl w:val="5"/>
    </w:pPr>
    <w:rPr>
      <w:color w:val="918585"/>
      <w:sz w:val="20"/>
    </w:rPr>
  </w:style>
  <w:style w:type="paragraph" w:styleId="Heading7">
    <w:name w:val="heading 7"/>
    <w:basedOn w:val="Normal"/>
    <w:next w:val="Normal"/>
    <w:link w:val="Heading7Char"/>
    <w:qFormat/>
    <w:rsid w:val="00AD1146"/>
    <w:pPr>
      <w:ind w:left="720"/>
      <w:outlineLvl w:val="6"/>
    </w:pPr>
    <w:rPr>
      <w:i/>
    </w:rPr>
  </w:style>
  <w:style w:type="paragraph" w:styleId="Heading8">
    <w:name w:val="heading 8"/>
    <w:basedOn w:val="Normal"/>
    <w:next w:val="Normal"/>
    <w:link w:val="Heading8Char"/>
    <w:qFormat/>
    <w:rsid w:val="00AD1146"/>
    <w:pPr>
      <w:ind w:left="720"/>
      <w:outlineLvl w:val="7"/>
    </w:pPr>
    <w:rPr>
      <w:i/>
    </w:rPr>
  </w:style>
  <w:style w:type="paragraph" w:styleId="Heading9">
    <w:name w:val="heading 9"/>
    <w:basedOn w:val="Normal"/>
    <w:next w:val="Normal"/>
    <w:link w:val="Heading9Char"/>
    <w:qFormat/>
    <w:rsid w:val="00AD1146"/>
    <w:pPr>
      <w:ind w:left="720"/>
      <w:outlineLvl w:val="8"/>
    </w:pPr>
    <w:rPr>
      <w:i/>
    </w:rPr>
  </w:style>
  <w:style w:type="character" w:default="1" w:styleId="DefaultParagraphFont">
    <w:name w:val="Default Paragraph Font"/>
    <w:uiPriority w:val="1"/>
    <w:unhideWhenUsed/>
    <w:rsid w:val="00AD1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146"/>
  </w:style>
  <w:style w:type="character" w:customStyle="1" w:styleId="Heading1Char">
    <w:name w:val="Heading 1 Char"/>
    <w:basedOn w:val="DefaultParagraphFont"/>
    <w:link w:val="Heading1"/>
    <w:rsid w:val="00AD1146"/>
    <w:rPr>
      <w:rFonts w:ascii="Times New Roman" w:eastAsia="Times New Roman" w:hAnsi="Times New Roman" w:cs="Times New Roman"/>
      <w:b/>
      <w:sz w:val="32"/>
      <w:szCs w:val="20"/>
      <w:lang w:eastAsia="en-US"/>
    </w:rPr>
  </w:style>
  <w:style w:type="paragraph" w:styleId="BodyText">
    <w:name w:val="Body Text"/>
    <w:basedOn w:val="Normal"/>
    <w:link w:val="BodyTextChar"/>
    <w:rsid w:val="00AD11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146"/>
    <w:rPr>
      <w:rFonts w:ascii="Times New Roman" w:eastAsia="Times New Roman" w:hAnsi="Times New Roman" w:cs="Times New Roman"/>
      <w:sz w:val="24"/>
      <w:lang w:eastAsia="en-US"/>
    </w:rPr>
  </w:style>
  <w:style w:type="paragraph" w:styleId="Footer">
    <w:name w:val="footer"/>
    <w:basedOn w:val="Normal"/>
    <w:link w:val="FooterChar"/>
    <w:rsid w:val="00AD1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146"/>
    <w:rPr>
      <w:rFonts w:ascii="Times New Roman" w:eastAsia="Times New Roman" w:hAnsi="Times New Roman" w:cs="Times New Roman"/>
      <w:sz w:val="16"/>
      <w:lang w:eastAsia="en-US"/>
    </w:rPr>
  </w:style>
  <w:style w:type="paragraph" w:styleId="ListBullet">
    <w:name w:val="List Bullet"/>
    <w:basedOn w:val="List"/>
    <w:rsid w:val="00AD1146"/>
    <w:pPr>
      <w:numPr>
        <w:numId w:val="13"/>
      </w:numPr>
      <w:tabs>
        <w:tab w:val="clear" w:pos="340"/>
      </w:tabs>
      <w:spacing w:before="40" w:after="40"/>
    </w:pPr>
  </w:style>
  <w:style w:type="character" w:customStyle="1" w:styleId="SpecialBold">
    <w:name w:val="Special Bold"/>
    <w:basedOn w:val="DefaultParagraphFont"/>
    <w:rsid w:val="00AD1146"/>
    <w:rPr>
      <w:b/>
      <w:spacing w:val="0"/>
    </w:rPr>
  </w:style>
  <w:style w:type="paragraph" w:styleId="ListBullet2">
    <w:name w:val="List Bullet 2"/>
    <w:basedOn w:val="List2"/>
    <w:rsid w:val="00AD1146"/>
    <w:pPr>
      <w:numPr>
        <w:numId w:val="14"/>
      </w:numPr>
      <w:tabs>
        <w:tab w:val="clear" w:pos="680"/>
      </w:tabs>
    </w:pPr>
  </w:style>
  <w:style w:type="paragraph" w:customStyle="1" w:styleId="SuperHeading">
    <w:name w:val="SuperHeading"/>
    <w:basedOn w:val="Normal"/>
    <w:rsid w:val="00AD1146"/>
    <w:pPr>
      <w:spacing w:before="240" w:after="120"/>
      <w:outlineLvl w:val="0"/>
    </w:pPr>
    <w:rPr>
      <w:rFonts w:ascii="Times New Roman" w:hAnsi="Times New Roman"/>
      <w:b/>
      <w:sz w:val="28"/>
    </w:rPr>
  </w:style>
  <w:style w:type="paragraph" w:customStyle="1" w:styleId="AllowPageBreak">
    <w:name w:val="AllowPageBreak"/>
    <w:rsid w:val="00AD11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1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1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146"/>
    <w:rPr>
      <w:rFonts w:ascii="Courier New" w:eastAsia="Times New Roman" w:hAnsi="Courier New" w:cs="Times New Roman"/>
      <w:i/>
      <w:szCs w:val="20"/>
      <w:lang w:eastAsia="en-US"/>
    </w:rPr>
  </w:style>
  <w:style w:type="paragraph" w:customStyle="1" w:styleId="HeadingBase">
    <w:name w:val="Heading Base"/>
    <w:rsid w:val="00AD1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146"/>
    <w:pPr>
      <w:tabs>
        <w:tab w:val="right" w:leader="dot" w:pos="9072"/>
      </w:tabs>
      <w:ind w:left="567"/>
    </w:pPr>
    <w:rPr>
      <w:szCs w:val="22"/>
    </w:rPr>
  </w:style>
  <w:style w:type="paragraph" w:customStyle="1" w:styleId="TOCBase">
    <w:name w:val="TOC Base"/>
    <w:rsid w:val="00AD1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146"/>
    <w:pPr>
      <w:tabs>
        <w:tab w:val="right" w:leader="dot" w:pos="9072"/>
      </w:tabs>
      <w:spacing w:before="40" w:after="40"/>
      <w:ind w:left="284"/>
    </w:pPr>
    <w:rPr>
      <w:rFonts w:ascii="Times New Roman" w:hAnsi="Times New Roman"/>
    </w:rPr>
  </w:style>
  <w:style w:type="paragraph" w:styleId="TOC1">
    <w:name w:val="toc 1"/>
    <w:basedOn w:val="TOCBase"/>
    <w:next w:val="Normal"/>
    <w:rsid w:val="00AD11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146"/>
    <w:pPr>
      <w:spacing w:before="5040"/>
      <w:jc w:val="center"/>
    </w:pPr>
    <w:rPr>
      <w:sz w:val="48"/>
      <w:szCs w:val="72"/>
      <w:lang w:val="en-US"/>
    </w:rPr>
  </w:style>
  <w:style w:type="character" w:customStyle="1" w:styleId="TitleChar">
    <w:name w:val="Title Char"/>
    <w:basedOn w:val="DefaultParagraphFont"/>
    <w:link w:val="Title"/>
    <w:rsid w:val="00AD1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146"/>
    <w:pPr>
      <w:tabs>
        <w:tab w:val="left" w:pos="3600"/>
        <w:tab w:val="left" w:pos="3958"/>
      </w:tabs>
    </w:pPr>
  </w:style>
  <w:style w:type="paragraph" w:styleId="List">
    <w:name w:val="List"/>
    <w:basedOn w:val="BodyText"/>
    <w:next w:val="BodyText"/>
    <w:rsid w:val="00AD1146"/>
    <w:pPr>
      <w:tabs>
        <w:tab w:val="left" w:pos="340"/>
      </w:tabs>
      <w:spacing w:before="60" w:after="60"/>
      <w:ind w:left="340" w:hanging="340"/>
    </w:pPr>
  </w:style>
  <w:style w:type="paragraph" w:customStyle="1" w:styleId="Note">
    <w:name w:val="Note"/>
    <w:basedOn w:val="BodyText"/>
    <w:rsid w:val="00AD1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146"/>
    <w:pPr>
      <w:framePr w:wrap="auto" w:hAnchor="text" w:y="6049"/>
    </w:pPr>
    <w:rPr>
      <w:color w:val="000000"/>
      <w:sz w:val="40"/>
    </w:rPr>
  </w:style>
  <w:style w:type="paragraph" w:customStyle="1" w:styleId="TOCTitle">
    <w:name w:val="TOCTitle"/>
    <w:basedOn w:val="Heading1"/>
    <w:rsid w:val="00AD1146"/>
    <w:pPr>
      <w:spacing w:after="240"/>
      <w:jc w:val="center"/>
      <w:outlineLvl w:val="9"/>
    </w:pPr>
    <w:rPr>
      <w:caps/>
    </w:rPr>
  </w:style>
  <w:style w:type="paragraph" w:customStyle="1" w:styleId="Version">
    <w:name w:val="Version"/>
    <w:rsid w:val="00AD11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146"/>
    <w:pPr>
      <w:keepNext w:val="0"/>
      <w:tabs>
        <w:tab w:val="right" w:pos="4176"/>
      </w:tabs>
      <w:ind w:left="198" w:hanging="198"/>
    </w:pPr>
    <w:rPr>
      <w:rFonts w:ascii="Garamond" w:hAnsi="Garamond"/>
    </w:rPr>
  </w:style>
  <w:style w:type="paragraph" w:styleId="IndexHeading">
    <w:name w:val="index heading"/>
    <w:basedOn w:val="Normal"/>
    <w:next w:val="Index1"/>
    <w:semiHidden/>
    <w:rsid w:val="00AD1146"/>
    <w:pPr>
      <w:spacing w:before="120" w:after="120"/>
    </w:pPr>
    <w:rPr>
      <w:rFonts w:ascii="Arial" w:hAnsi="Arial"/>
      <w:b/>
      <w:color w:val="918585"/>
      <w:sz w:val="24"/>
    </w:rPr>
  </w:style>
  <w:style w:type="paragraph" w:styleId="Header">
    <w:name w:val="header"/>
    <w:basedOn w:val="Normal"/>
    <w:link w:val="HeaderChar"/>
    <w:rsid w:val="00AD1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146"/>
    <w:rPr>
      <w:rFonts w:ascii="Times New Roman" w:eastAsia="Times New Roman" w:hAnsi="Times New Roman" w:cs="Times New Roman"/>
      <w:sz w:val="16"/>
      <w:szCs w:val="20"/>
      <w:lang w:val="en-GB" w:eastAsia="en-US"/>
    </w:rPr>
  </w:style>
  <w:style w:type="paragraph" w:customStyle="1" w:styleId="Chapter">
    <w:name w:val="Chapter"/>
    <w:basedOn w:val="Normal"/>
    <w:rsid w:val="00AD1146"/>
    <w:pPr>
      <w:spacing w:before="240"/>
    </w:pPr>
    <w:rPr>
      <w:rFonts w:ascii="Times New Roman" w:hAnsi="Times New Roman"/>
      <w:smallCaps/>
      <w:spacing w:val="80"/>
      <w:sz w:val="28"/>
    </w:rPr>
  </w:style>
  <w:style w:type="paragraph" w:customStyle="1" w:styleId="InChapter">
    <w:name w:val="InChapter"/>
    <w:basedOn w:val="Heading3"/>
    <w:rsid w:val="00AD1146"/>
    <w:pPr>
      <w:spacing w:after="240"/>
      <w:outlineLvl w:val="9"/>
    </w:pPr>
    <w:rPr>
      <w:noProof/>
    </w:rPr>
  </w:style>
  <w:style w:type="paragraph" w:styleId="Index2">
    <w:name w:val="index 2"/>
    <w:basedOn w:val="Normal"/>
    <w:next w:val="Normal"/>
    <w:semiHidden/>
    <w:rsid w:val="00AD1146"/>
    <w:pPr>
      <w:tabs>
        <w:tab w:val="right" w:pos="4176"/>
      </w:tabs>
      <w:ind w:left="568" w:hanging="284"/>
    </w:pPr>
    <w:rPr>
      <w:rFonts w:ascii="Garamond" w:hAnsi="Garamond"/>
    </w:rPr>
  </w:style>
  <w:style w:type="paragraph" w:customStyle="1" w:styleId="Byline">
    <w:name w:val="Byline"/>
    <w:rsid w:val="00AD1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146"/>
    <w:pPr>
      <w:tabs>
        <w:tab w:val="clear" w:pos="3600"/>
        <w:tab w:val="clear" w:pos="3958"/>
      </w:tabs>
      <w:jc w:val="right"/>
    </w:pPr>
  </w:style>
  <w:style w:type="character" w:styleId="Emphasis">
    <w:name w:val="Emphasis"/>
    <w:basedOn w:val="DefaultParagraphFont"/>
    <w:qFormat/>
    <w:rsid w:val="00AD1146"/>
    <w:rPr>
      <w:i/>
    </w:rPr>
  </w:style>
  <w:style w:type="paragraph" w:styleId="Caption">
    <w:name w:val="caption"/>
    <w:basedOn w:val="BodyText"/>
    <w:next w:val="Normal"/>
    <w:qFormat/>
    <w:rsid w:val="00AD1146"/>
    <w:pPr>
      <w:framePr w:w="2268" w:hSpace="181" w:vSpace="181" w:wrap="around" w:vAnchor="text" w:hAnchor="page" w:x="1135" w:y="285" w:anchorLock="1"/>
    </w:pPr>
    <w:rPr>
      <w:i/>
    </w:rPr>
  </w:style>
  <w:style w:type="paragraph" w:customStyle="1" w:styleId="MiniTOCTitle">
    <w:name w:val="MiniTOCTitle"/>
    <w:basedOn w:val="Heading4"/>
    <w:rsid w:val="00AD1146"/>
    <w:pPr>
      <w:spacing w:before="240"/>
      <w:outlineLvl w:val="9"/>
    </w:pPr>
    <w:rPr>
      <w:noProof/>
      <w:sz w:val="24"/>
    </w:rPr>
  </w:style>
  <w:style w:type="paragraph" w:customStyle="1" w:styleId="MiniTOCItem">
    <w:name w:val="MiniTOCItem"/>
    <w:basedOn w:val="ListBullet"/>
    <w:rsid w:val="00AD1146"/>
    <w:pPr>
      <w:numPr>
        <w:numId w:val="0"/>
      </w:numPr>
      <w:tabs>
        <w:tab w:val="right" w:leader="dot" w:pos="6521"/>
      </w:tabs>
      <w:spacing w:before="0" w:after="0"/>
    </w:pPr>
  </w:style>
  <w:style w:type="paragraph" w:customStyle="1" w:styleId="TOFTitle">
    <w:name w:val="TOFTitle"/>
    <w:basedOn w:val="TOCTitle"/>
    <w:rsid w:val="00AD1146"/>
  </w:style>
  <w:style w:type="paragraph" w:styleId="TableofFigures">
    <w:name w:val="table of figures"/>
    <w:basedOn w:val="Normal"/>
    <w:next w:val="Normal"/>
    <w:semiHidden/>
    <w:rsid w:val="00AD1146"/>
    <w:pPr>
      <w:tabs>
        <w:tab w:val="right" w:leader="dot" w:pos="9072"/>
      </w:tabs>
      <w:ind w:left="970" w:hanging="403"/>
    </w:pPr>
    <w:rPr>
      <w:rFonts w:ascii="Times New Roman" w:hAnsi="Times New Roman"/>
      <w:b/>
    </w:rPr>
  </w:style>
  <w:style w:type="paragraph" w:styleId="ListNumber">
    <w:name w:val="List Number"/>
    <w:basedOn w:val="List"/>
    <w:rsid w:val="00AD1146"/>
    <w:pPr>
      <w:numPr>
        <w:numId w:val="11"/>
      </w:numPr>
    </w:pPr>
  </w:style>
  <w:style w:type="character" w:customStyle="1" w:styleId="WingdingSymbols">
    <w:name w:val="Wingding Symbols"/>
    <w:rsid w:val="00AD1146"/>
    <w:rPr>
      <w:rFonts w:ascii="Wingdings" w:hAnsi="Wingdings"/>
    </w:rPr>
  </w:style>
  <w:style w:type="paragraph" w:customStyle="1" w:styleId="TableHeading">
    <w:name w:val="Table Heading"/>
    <w:basedOn w:val="HeadingBase"/>
    <w:rsid w:val="00AD1146"/>
    <w:pPr>
      <w:keepLines/>
      <w:pBdr>
        <w:bottom w:val="single" w:sz="6" w:space="1" w:color="918585"/>
      </w:pBdr>
      <w:spacing w:before="240"/>
    </w:pPr>
  </w:style>
  <w:style w:type="character" w:customStyle="1" w:styleId="HotSpot">
    <w:name w:val="HotSpot"/>
    <w:rsid w:val="00AD1146"/>
    <w:rPr>
      <w:color w:val="0033CC"/>
      <w:u w:val="none"/>
    </w:rPr>
  </w:style>
  <w:style w:type="paragraph" w:customStyle="1" w:styleId="BodyTextRight">
    <w:name w:val="Body Text Right"/>
    <w:basedOn w:val="BodyText"/>
    <w:rsid w:val="00AD1146"/>
    <w:pPr>
      <w:spacing w:before="0" w:after="0"/>
      <w:jc w:val="right"/>
    </w:pPr>
  </w:style>
  <w:style w:type="paragraph" w:styleId="Index3">
    <w:name w:val="index 3"/>
    <w:basedOn w:val="ListNumber2"/>
    <w:next w:val="Normal"/>
    <w:semiHidden/>
    <w:rsid w:val="00AD1146"/>
    <w:pPr>
      <w:numPr>
        <w:numId w:val="0"/>
      </w:numPr>
      <w:tabs>
        <w:tab w:val="right" w:leader="dot" w:pos="4176"/>
      </w:tabs>
    </w:pPr>
  </w:style>
  <w:style w:type="paragraph" w:styleId="ListNumber2">
    <w:name w:val="List Number 2"/>
    <w:basedOn w:val="List2"/>
    <w:rsid w:val="00AD1146"/>
    <w:pPr>
      <w:numPr>
        <w:numId w:val="10"/>
      </w:numPr>
      <w:tabs>
        <w:tab w:val="clear" w:pos="1060"/>
      </w:tabs>
    </w:pPr>
  </w:style>
  <w:style w:type="paragraph" w:customStyle="1" w:styleId="MarginNote">
    <w:name w:val="Margin Note"/>
    <w:basedOn w:val="BodyText"/>
    <w:rsid w:val="00AD1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1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146"/>
    <w:rPr>
      <w:sz w:val="32"/>
    </w:rPr>
  </w:style>
  <w:style w:type="paragraph" w:customStyle="1" w:styleId="HeadingProcedure">
    <w:name w:val="Heading Procedure"/>
    <w:basedOn w:val="HeadingBase"/>
    <w:next w:val="Normal"/>
    <w:rsid w:val="00AD1146"/>
    <w:pPr>
      <w:tabs>
        <w:tab w:val="left" w:pos="0"/>
      </w:tabs>
      <w:spacing w:before="120" w:after="60"/>
    </w:pPr>
    <w:rPr>
      <w:i/>
      <w:color w:val="918585"/>
      <w:sz w:val="22"/>
    </w:rPr>
  </w:style>
  <w:style w:type="paragraph" w:customStyle="1" w:styleId="TableBodyText">
    <w:name w:val="Table Body Text"/>
    <w:basedOn w:val="BodyText"/>
    <w:rsid w:val="00AD1146"/>
    <w:pPr>
      <w:spacing w:before="60" w:after="60"/>
    </w:pPr>
  </w:style>
  <w:style w:type="paragraph" w:styleId="ListContinue">
    <w:name w:val="List Continue"/>
    <w:basedOn w:val="List"/>
    <w:rsid w:val="00AD1146"/>
    <w:pPr>
      <w:ind w:firstLine="0"/>
    </w:pPr>
  </w:style>
  <w:style w:type="paragraph" w:customStyle="1" w:styleId="ListNote">
    <w:name w:val="List Note"/>
    <w:basedOn w:val="List"/>
    <w:rsid w:val="00AD1146"/>
    <w:pPr>
      <w:pBdr>
        <w:top w:val="single" w:sz="6" w:space="2" w:color="918585"/>
        <w:bottom w:val="single" w:sz="6" w:space="2" w:color="918585"/>
      </w:pBdr>
      <w:tabs>
        <w:tab w:val="left" w:pos="1021"/>
      </w:tabs>
      <w:ind w:firstLine="0"/>
    </w:pPr>
  </w:style>
  <w:style w:type="paragraph" w:customStyle="1" w:styleId="Warning">
    <w:name w:val="Warning"/>
    <w:basedOn w:val="BodyText"/>
    <w:rsid w:val="00AD1146"/>
    <w:pPr>
      <w:shd w:val="clear" w:color="auto" w:fill="D9D9D9"/>
      <w:tabs>
        <w:tab w:val="left" w:pos="992"/>
      </w:tabs>
      <w:ind w:left="119" w:right="119"/>
    </w:pPr>
    <w:rPr>
      <w:sz w:val="20"/>
    </w:rPr>
  </w:style>
  <w:style w:type="paragraph" w:customStyle="1" w:styleId="MarginIcons">
    <w:name w:val="Margin Icons"/>
    <w:basedOn w:val="BodyText"/>
    <w:rsid w:val="00AD1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146"/>
    <w:rPr>
      <w:rFonts w:ascii="Courier New" w:hAnsi="Courier New"/>
    </w:rPr>
  </w:style>
  <w:style w:type="paragraph" w:customStyle="1" w:styleId="NoteBullet">
    <w:name w:val="Note Bullet"/>
    <w:basedOn w:val="Note"/>
    <w:rsid w:val="00AD1146"/>
    <w:pPr>
      <w:tabs>
        <w:tab w:val="clear" w:pos="680"/>
      </w:tabs>
      <w:spacing w:before="60" w:after="60"/>
    </w:pPr>
  </w:style>
  <w:style w:type="paragraph" w:customStyle="1" w:styleId="SubHeading2">
    <w:name w:val="SubHeading2"/>
    <w:basedOn w:val="HeadingBase"/>
    <w:rsid w:val="00AD1146"/>
    <w:pPr>
      <w:spacing w:before="240" w:after="60"/>
    </w:pPr>
    <w:rPr>
      <w:sz w:val="20"/>
    </w:rPr>
  </w:style>
  <w:style w:type="paragraph" w:customStyle="1" w:styleId="SubHeading1">
    <w:name w:val="SubHeading1"/>
    <w:basedOn w:val="HeadingBase"/>
    <w:rsid w:val="00AD1146"/>
    <w:pPr>
      <w:spacing w:before="240" w:after="60"/>
    </w:pPr>
    <w:rPr>
      <w:color w:val="918585"/>
      <w:sz w:val="22"/>
    </w:rPr>
  </w:style>
  <w:style w:type="paragraph" w:customStyle="1" w:styleId="SideHeading">
    <w:name w:val="Side Heading"/>
    <w:basedOn w:val="HeadingBase"/>
    <w:rsid w:val="00AD1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146"/>
    <w:pPr>
      <w:numPr>
        <w:numId w:val="12"/>
      </w:numPr>
    </w:pPr>
  </w:style>
  <w:style w:type="paragraph" w:styleId="PlainText">
    <w:name w:val="Plain Text"/>
    <w:basedOn w:val="Normal"/>
    <w:link w:val="PlainTextChar"/>
    <w:rsid w:val="00AD1146"/>
    <w:rPr>
      <w:sz w:val="20"/>
    </w:rPr>
  </w:style>
  <w:style w:type="character" w:customStyle="1" w:styleId="PlainTextChar">
    <w:name w:val="Plain Text Char"/>
    <w:basedOn w:val="DefaultParagraphFont"/>
    <w:link w:val="PlainText"/>
    <w:rsid w:val="00AD1146"/>
    <w:rPr>
      <w:rFonts w:ascii="Courier New" w:eastAsia="Times New Roman" w:hAnsi="Courier New" w:cs="Times New Roman"/>
      <w:sz w:val="20"/>
      <w:szCs w:val="20"/>
      <w:lang w:eastAsia="en-US"/>
    </w:rPr>
  </w:style>
  <w:style w:type="character" w:customStyle="1" w:styleId="MenuOption">
    <w:name w:val="Menu Option"/>
    <w:basedOn w:val="DefaultParagraphFont"/>
    <w:rsid w:val="00AD1146"/>
    <w:rPr>
      <w:b/>
      <w:smallCaps/>
    </w:rPr>
  </w:style>
  <w:style w:type="paragraph" w:customStyle="1" w:styleId="TableListNumber">
    <w:name w:val="Table List Number"/>
    <w:basedOn w:val="ListNumber"/>
    <w:rsid w:val="00AD1146"/>
    <w:pPr>
      <w:numPr>
        <w:numId w:val="0"/>
      </w:numPr>
    </w:pPr>
  </w:style>
  <w:style w:type="paragraph" w:styleId="TOC4">
    <w:name w:val="toc 4"/>
    <w:basedOn w:val="TOCBase"/>
    <w:next w:val="Normal"/>
    <w:semiHidden/>
    <w:rsid w:val="00AD1146"/>
    <w:pPr>
      <w:tabs>
        <w:tab w:val="right" w:leader="dot" w:pos="9071"/>
      </w:tabs>
      <w:ind w:left="1701"/>
    </w:pPr>
  </w:style>
  <w:style w:type="paragraph" w:customStyle="1" w:styleId="ListAlpha">
    <w:name w:val="List Alpha"/>
    <w:basedOn w:val="List"/>
    <w:rsid w:val="00AD1146"/>
    <w:pPr>
      <w:numPr>
        <w:numId w:val="9"/>
      </w:numPr>
    </w:pPr>
  </w:style>
  <w:style w:type="paragraph" w:customStyle="1" w:styleId="ListAlpha2">
    <w:name w:val="List Alpha 2"/>
    <w:basedOn w:val="List2"/>
    <w:rsid w:val="00AD1146"/>
    <w:pPr>
      <w:numPr>
        <w:numId w:val="8"/>
      </w:numPr>
    </w:pPr>
  </w:style>
  <w:style w:type="paragraph" w:styleId="List2">
    <w:name w:val="List 2"/>
    <w:basedOn w:val="BodyText"/>
    <w:rsid w:val="00AD1146"/>
    <w:pPr>
      <w:tabs>
        <w:tab w:val="left" w:pos="680"/>
      </w:tabs>
      <w:spacing w:before="60" w:after="60"/>
      <w:ind w:left="680" w:hanging="340"/>
    </w:pPr>
  </w:style>
  <w:style w:type="paragraph" w:styleId="List3">
    <w:name w:val="List 3"/>
    <w:basedOn w:val="BodyText"/>
    <w:rsid w:val="00AD1146"/>
    <w:pPr>
      <w:tabs>
        <w:tab w:val="left" w:pos="1021"/>
      </w:tabs>
      <w:spacing w:before="60" w:after="60"/>
      <w:ind w:left="1020" w:hanging="340"/>
    </w:pPr>
  </w:style>
  <w:style w:type="paragraph" w:styleId="List4">
    <w:name w:val="List 4"/>
    <w:basedOn w:val="BodyText"/>
    <w:rsid w:val="00AD1146"/>
    <w:pPr>
      <w:tabs>
        <w:tab w:val="left" w:pos="1361"/>
      </w:tabs>
      <w:spacing w:before="60" w:after="60"/>
      <w:ind w:left="1361" w:hanging="340"/>
    </w:pPr>
  </w:style>
  <w:style w:type="paragraph" w:styleId="List5">
    <w:name w:val="List 5"/>
    <w:basedOn w:val="BodyText"/>
    <w:rsid w:val="00AD1146"/>
    <w:pPr>
      <w:tabs>
        <w:tab w:val="left" w:pos="1701"/>
      </w:tabs>
      <w:spacing w:before="60" w:after="60"/>
      <w:ind w:left="1701" w:hanging="340"/>
    </w:pPr>
  </w:style>
  <w:style w:type="paragraph" w:styleId="ListBullet3">
    <w:name w:val="List Bullet 3"/>
    <w:basedOn w:val="List3"/>
    <w:rsid w:val="00AD1146"/>
    <w:pPr>
      <w:numPr>
        <w:numId w:val="15"/>
      </w:numPr>
      <w:tabs>
        <w:tab w:val="clear" w:pos="1021"/>
      </w:tabs>
      <w:ind w:left="1037" w:hanging="357"/>
    </w:pPr>
  </w:style>
  <w:style w:type="paragraph" w:styleId="ListBullet4">
    <w:name w:val="List Bullet 4"/>
    <w:basedOn w:val="List4"/>
    <w:rsid w:val="00AD1146"/>
    <w:pPr>
      <w:numPr>
        <w:numId w:val="3"/>
      </w:numPr>
    </w:pPr>
  </w:style>
  <w:style w:type="paragraph" w:styleId="ListBullet5">
    <w:name w:val="List Bullet 5"/>
    <w:basedOn w:val="List5"/>
    <w:rsid w:val="00AD1146"/>
    <w:pPr>
      <w:numPr>
        <w:numId w:val="4"/>
      </w:numPr>
    </w:pPr>
  </w:style>
  <w:style w:type="paragraph" w:styleId="ListContinue2">
    <w:name w:val="List Continue 2"/>
    <w:basedOn w:val="List2"/>
    <w:rsid w:val="00AD1146"/>
    <w:pPr>
      <w:ind w:firstLine="0"/>
    </w:pPr>
  </w:style>
  <w:style w:type="paragraph" w:styleId="ListContinue3">
    <w:name w:val="List Continue 3"/>
    <w:basedOn w:val="List3"/>
    <w:rsid w:val="00AD1146"/>
    <w:pPr>
      <w:ind w:left="1021" w:firstLine="0"/>
    </w:pPr>
  </w:style>
  <w:style w:type="paragraph" w:styleId="ListContinue4">
    <w:name w:val="List Continue 4"/>
    <w:basedOn w:val="List4"/>
    <w:rsid w:val="00AD1146"/>
    <w:pPr>
      <w:ind w:firstLine="0"/>
    </w:pPr>
  </w:style>
  <w:style w:type="paragraph" w:styleId="ListContinue5">
    <w:name w:val="List Continue 5"/>
    <w:basedOn w:val="List5"/>
    <w:rsid w:val="00AD1146"/>
    <w:pPr>
      <w:ind w:firstLine="0"/>
    </w:pPr>
  </w:style>
  <w:style w:type="paragraph" w:styleId="ListNumber3">
    <w:name w:val="List Number 3"/>
    <w:basedOn w:val="List3"/>
    <w:rsid w:val="00AD1146"/>
    <w:pPr>
      <w:numPr>
        <w:numId w:val="5"/>
      </w:numPr>
    </w:pPr>
  </w:style>
  <w:style w:type="paragraph" w:styleId="ListNumber4">
    <w:name w:val="List Number 4"/>
    <w:basedOn w:val="List4"/>
    <w:rsid w:val="00AD1146"/>
    <w:pPr>
      <w:numPr>
        <w:numId w:val="6"/>
      </w:numPr>
    </w:pPr>
  </w:style>
  <w:style w:type="paragraph" w:styleId="ListNumber5">
    <w:name w:val="List Number 5"/>
    <w:basedOn w:val="List5"/>
    <w:rsid w:val="00AD1146"/>
    <w:pPr>
      <w:numPr>
        <w:numId w:val="7"/>
      </w:numPr>
    </w:pPr>
  </w:style>
  <w:style w:type="paragraph" w:styleId="BlockText">
    <w:name w:val="Block Text"/>
    <w:basedOn w:val="Normal"/>
    <w:rsid w:val="00AD1146"/>
    <w:pPr>
      <w:spacing w:after="120"/>
      <w:ind w:left="1440" w:right="1440"/>
    </w:pPr>
  </w:style>
  <w:style w:type="character" w:customStyle="1" w:styleId="Subscript">
    <w:name w:val="Subscript"/>
    <w:basedOn w:val="DefaultParagraphFont"/>
    <w:rsid w:val="00AD1146"/>
    <w:rPr>
      <w:sz w:val="16"/>
      <w:vertAlign w:val="subscript"/>
    </w:rPr>
  </w:style>
  <w:style w:type="character" w:customStyle="1" w:styleId="Superscript">
    <w:name w:val="Superscript"/>
    <w:basedOn w:val="DefaultParagraphFont"/>
    <w:rsid w:val="00AD1146"/>
    <w:rPr>
      <w:sz w:val="16"/>
      <w:vertAlign w:val="superscript"/>
    </w:rPr>
  </w:style>
  <w:style w:type="character" w:customStyle="1" w:styleId="Symbols">
    <w:name w:val="Symbols"/>
    <w:basedOn w:val="DefaultParagraphFont"/>
    <w:rsid w:val="00AD1146"/>
    <w:rPr>
      <w:rFonts w:ascii="Symbol" w:hAnsi="Symbol"/>
    </w:rPr>
  </w:style>
  <w:style w:type="character" w:customStyle="1" w:styleId="MenuOptions">
    <w:name w:val="Menu Options"/>
    <w:basedOn w:val="DefaultParagraphFont"/>
    <w:rsid w:val="00AD1146"/>
    <w:rPr>
      <w:rFonts w:ascii="Arial Narrow" w:hAnsi="Arial Narrow"/>
      <w:smallCaps/>
    </w:rPr>
  </w:style>
  <w:style w:type="character" w:customStyle="1" w:styleId="Buttons">
    <w:name w:val="Buttons"/>
    <w:basedOn w:val="DefaultParagraphFont"/>
    <w:rsid w:val="00AD1146"/>
    <w:rPr>
      <w:b/>
    </w:rPr>
  </w:style>
  <w:style w:type="character" w:customStyle="1" w:styleId="Underlined">
    <w:name w:val="Underlined"/>
    <w:basedOn w:val="DefaultParagraphFont"/>
    <w:rsid w:val="00AD1146"/>
    <w:rPr>
      <w:u w:val="single"/>
    </w:rPr>
  </w:style>
  <w:style w:type="paragraph" w:customStyle="1" w:styleId="TableBodyTextRight">
    <w:name w:val="Table Body Text Right"/>
    <w:basedOn w:val="TableBodyText"/>
    <w:rsid w:val="00AD1146"/>
    <w:pPr>
      <w:widowControl w:val="0"/>
      <w:autoSpaceDE w:val="0"/>
      <w:autoSpaceDN w:val="0"/>
      <w:adjustRightInd w:val="0"/>
      <w:jc w:val="right"/>
    </w:pPr>
    <w:rPr>
      <w:rFonts w:cs="Arial"/>
      <w:szCs w:val="18"/>
    </w:rPr>
  </w:style>
  <w:style w:type="paragraph" w:customStyle="1" w:styleId="CopyrightText">
    <w:name w:val="Copyright Text"/>
    <w:basedOn w:val="BodyText"/>
    <w:rsid w:val="00AD1146"/>
    <w:rPr>
      <w:sz w:val="18"/>
    </w:rPr>
  </w:style>
  <w:style w:type="paragraph" w:customStyle="1" w:styleId="BodySmallRight">
    <w:name w:val="Body Small Right"/>
    <w:basedOn w:val="BodyTextRight"/>
    <w:rsid w:val="00AD1146"/>
    <w:rPr>
      <w:sz w:val="18"/>
      <w:szCs w:val="18"/>
    </w:rPr>
  </w:style>
  <w:style w:type="paragraph" w:customStyle="1" w:styleId="MarginEdition">
    <w:name w:val="Margin Edition"/>
    <w:basedOn w:val="MarginNote"/>
    <w:rsid w:val="00AD1146"/>
    <w:pPr>
      <w:spacing w:before="0" w:after="0"/>
    </w:pPr>
    <w:rPr>
      <w:rFonts w:ascii="Times New Roman" w:hAnsi="Times New Roman"/>
      <w:color w:val="999999"/>
    </w:rPr>
  </w:style>
  <w:style w:type="paragraph" w:customStyle="1" w:styleId="Spacer">
    <w:name w:val="Spacer"/>
    <w:basedOn w:val="Normal"/>
    <w:rsid w:val="00AD1146"/>
    <w:rPr>
      <w:sz w:val="2"/>
      <w:szCs w:val="2"/>
    </w:rPr>
  </w:style>
  <w:style w:type="character" w:customStyle="1" w:styleId="Small">
    <w:name w:val="Small"/>
    <w:basedOn w:val="DefaultParagraphFont"/>
    <w:rsid w:val="00AD1146"/>
    <w:rPr>
      <w:sz w:val="16"/>
    </w:rPr>
  </w:style>
  <w:style w:type="paragraph" w:customStyle="1" w:styleId="WideTable">
    <w:name w:val="Wide Table"/>
    <w:basedOn w:val="Normal"/>
    <w:rsid w:val="00AD1146"/>
    <w:pPr>
      <w:ind w:left="-1418"/>
    </w:pPr>
    <w:rPr>
      <w:sz w:val="2"/>
      <w:szCs w:val="2"/>
    </w:rPr>
  </w:style>
  <w:style w:type="character" w:styleId="PageNumber">
    <w:name w:val="page number"/>
    <w:basedOn w:val="DefaultParagraphFont"/>
    <w:rsid w:val="00AD1146"/>
  </w:style>
  <w:style w:type="paragraph" w:styleId="Quote">
    <w:name w:val="Quote"/>
    <w:basedOn w:val="Heading1"/>
    <w:link w:val="QuoteChar"/>
    <w:qFormat/>
    <w:rsid w:val="00AD1146"/>
    <w:rPr>
      <w:b w:val="0"/>
      <w:sz w:val="72"/>
      <w:szCs w:val="72"/>
      <w:lang w:val="en-NZ"/>
    </w:rPr>
  </w:style>
  <w:style w:type="character" w:customStyle="1" w:styleId="QuoteChar">
    <w:name w:val="Quote Char"/>
    <w:basedOn w:val="DefaultParagraphFont"/>
    <w:link w:val="Quote"/>
    <w:rsid w:val="00AD1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146"/>
    <w:pPr>
      <w:pageBreakBefore/>
    </w:pPr>
  </w:style>
  <w:style w:type="paragraph" w:customStyle="1" w:styleId="Border">
    <w:name w:val="Border"/>
    <w:basedOn w:val="Normal"/>
    <w:qFormat/>
    <w:rsid w:val="00AD1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146"/>
    <w:rPr>
      <w:b/>
      <w:bCs/>
      <w:i/>
      <w:iCs/>
      <w:color w:val="auto"/>
    </w:rPr>
  </w:style>
  <w:style w:type="paragraph" w:styleId="IntenseQuote">
    <w:name w:val="Intense Quote"/>
    <w:basedOn w:val="Normal"/>
    <w:next w:val="Normal"/>
    <w:link w:val="IntenseQuoteChar"/>
    <w:uiPriority w:val="30"/>
    <w:qFormat/>
    <w:rsid w:val="00AD1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1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146"/>
    <w:rPr>
      <w:smallCaps/>
      <w:color w:val="auto"/>
      <w:u w:val="single"/>
    </w:rPr>
  </w:style>
  <w:style w:type="character" w:styleId="IntenseReference">
    <w:name w:val="Intense Reference"/>
    <w:basedOn w:val="DefaultParagraphFont"/>
    <w:uiPriority w:val="32"/>
    <w:qFormat/>
    <w:rsid w:val="00AD1146"/>
    <w:rPr>
      <w:b/>
      <w:bCs/>
      <w:smallCaps/>
      <w:color w:val="auto"/>
      <w:spacing w:val="5"/>
      <w:u w:val="single"/>
    </w:rPr>
  </w:style>
  <w:style w:type="paragraph" w:customStyle="1" w:styleId="2ColumnHeading">
    <w:name w:val="2Column Heading"/>
    <w:basedOn w:val="BodyText"/>
    <w:qFormat/>
    <w:rsid w:val="00AD1146"/>
    <w:pPr>
      <w:spacing w:after="60"/>
      <w:ind w:left="-2268"/>
    </w:pPr>
    <w:rPr>
      <w:b/>
    </w:rPr>
  </w:style>
  <w:style w:type="paragraph" w:customStyle="1" w:styleId="Heading1TOC">
    <w:name w:val="Heading1 TOC"/>
    <w:basedOn w:val="Normal"/>
    <w:qFormat/>
    <w:rsid w:val="00AD1146"/>
    <w:pPr>
      <w:spacing w:before="240" w:after="120"/>
    </w:pPr>
    <w:rPr>
      <w:rFonts w:ascii="Times New Roman" w:hAnsi="Times New Roman"/>
      <w:b/>
      <w:sz w:val="32"/>
    </w:rPr>
  </w:style>
  <w:style w:type="paragraph" w:customStyle="1" w:styleId="Heading2TOC">
    <w:name w:val="Heading2 TOC"/>
    <w:basedOn w:val="Normal"/>
    <w:qFormat/>
    <w:rsid w:val="00AD1146"/>
    <w:pPr>
      <w:spacing w:before="240" w:after="60"/>
    </w:pPr>
    <w:rPr>
      <w:rFonts w:ascii="Times New Roman" w:hAnsi="Times New Roman"/>
      <w:b/>
      <w:sz w:val="28"/>
    </w:rPr>
  </w:style>
  <w:style w:type="character" w:customStyle="1" w:styleId="Underline">
    <w:name w:val="Underline"/>
    <w:basedOn w:val="DefaultParagraphFont"/>
    <w:qFormat/>
    <w:rsid w:val="00AD1146"/>
    <w:rPr>
      <w:u w:val="single"/>
    </w:rPr>
  </w:style>
  <w:style w:type="character" w:customStyle="1" w:styleId="BoldandItalics">
    <w:name w:val="Bold and Italics"/>
    <w:qFormat/>
    <w:rsid w:val="00AD1146"/>
    <w:rPr>
      <w:b/>
      <w:i/>
      <w:u w:val="none"/>
    </w:rPr>
  </w:style>
  <w:style w:type="paragraph" w:styleId="BalloonText">
    <w:name w:val="Balloon Text"/>
    <w:basedOn w:val="Normal"/>
    <w:link w:val="BalloonTextChar"/>
    <w:rsid w:val="00AD1146"/>
    <w:rPr>
      <w:rFonts w:ascii="Tahoma" w:hAnsi="Tahoma" w:cs="Tahoma"/>
      <w:sz w:val="16"/>
      <w:szCs w:val="16"/>
    </w:rPr>
  </w:style>
  <w:style w:type="character" w:customStyle="1" w:styleId="BalloonTextChar">
    <w:name w:val="Balloon Text Char"/>
    <w:basedOn w:val="DefaultParagraphFont"/>
    <w:link w:val="BalloonText"/>
    <w:rsid w:val="00AD11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1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1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146"/>
    <w:rPr>
      <w:b/>
      <w:color w:val="660033"/>
      <w:spacing w:val="0"/>
    </w:rPr>
  </w:style>
  <w:style w:type="paragraph" w:customStyle="1" w:styleId="Nameditemlist">
    <w:name w:val="Named item list"/>
    <w:basedOn w:val="BodyText"/>
    <w:qFormat/>
    <w:rsid w:val="00AD11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2372</Words>
  <Characters>14862</Characters>
  <Application>Microsoft Office Word</Application>
  <DocSecurity>0</DocSecurity>
  <Lines>480</Lines>
  <Paragraphs>220</Paragraphs>
  <ScaleCrop>false</ScaleCrop>
  <Company>Author-it Software Corporation Ltd.</Company>
  <LinksUpToDate>false</LinksUpToDate>
  <CharactersWithSpaces>17100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UEPOPS410B Shut down a boiler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