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13C0" w:rsidP="007313C0">
      <w:pPr>
        <w:pStyle w:val="Title"/>
      </w:pPr>
      <w:bookmarkStart w:id="0" w:name="_GoBack"/>
      <w:bookmarkEnd w:id="0"/>
      <w:r>
        <w:fldChar w:fldCharType="begin"/>
      </w:r>
      <w:r>
        <w:instrText xml:space="preserve"> TITLE   \* MERGEFORMAT </w:instrText>
      </w:r>
      <w:r>
        <w:fldChar w:fldCharType="separate"/>
      </w:r>
      <w:r>
        <w:t>UEPOPS369A Respond to a critical incident</w:t>
      </w:r>
      <w:r>
        <w:fldChar w:fldCharType="end"/>
      </w:r>
    </w:p>
    <w:p w:rsidR="007313C0" w:rsidP="007313C0">
      <w:pPr>
        <w:pStyle w:val="Version"/>
        <w:sectPr w:rsidSect="00A233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33A5" w:rsidP="00A233A5">
      <w:pPr>
        <w:pStyle w:val="SuperHeading"/>
      </w:pPr>
      <w:r w:rsidRPr="00A233A5">
        <w:t>UEPOPS369A Respond to a critical incident</w:t>
      </w:r>
    </w:p>
    <w:p w:rsidR="00000000" w:rsidRPr="00A233A5" w:rsidP="00A233A5">
      <w:pPr>
        <w:pStyle w:val="Heading1"/>
      </w:pPr>
      <w:bookmarkStart w:id="1" w:name="O_475609"/>
      <w:bookmarkEnd w:id="1"/>
      <w:r w:rsidRPr="00A233A5">
        <w:t>Modification History</w:t>
      </w:r>
    </w:p>
    <w:p w:rsidR="00000000" w:rsidRPr="00A233A5" w:rsidP="00A233A5">
      <w:pPr>
        <w:pStyle w:val="BodyText"/>
      </w:pPr>
      <w:r w:rsidRPr="00A233A5">
        <w:t>Not applicable.</w:t>
      </w:r>
    </w:p>
    <w:p w:rsidR="00000000" w:rsidRPr="00A233A5" w:rsidP="00A233A5">
      <w:pPr>
        <w:pStyle w:val="AllowPageBreak"/>
      </w:pPr>
    </w:p>
    <w:p w:rsidR="00000000" w:rsidRPr="00A233A5" w:rsidP="00A233A5">
      <w:pPr>
        <w:pStyle w:val="Heading1"/>
      </w:pPr>
      <w:bookmarkStart w:id="2" w:name="O_475607"/>
      <w:bookmarkEnd w:id="2"/>
      <w:r w:rsidRPr="00A233A5">
        <w:t>Unit Descriptor</w:t>
      </w:r>
    </w:p>
    <w:tbl>
      <w:tblPr>
        <w:tblW w:w="0" w:type="auto"/>
        <w:tblLayout w:type="fixed"/>
        <w:tblCellMar>
          <w:left w:w="62" w:type="dxa"/>
          <w:right w:w="62" w:type="dxa"/>
        </w:tblCellMar>
        <w:tblLook w:val="0000"/>
      </w:tblPr>
      <w:tblGrid>
        <w:gridCol w:w="2700"/>
        <w:gridCol w:w="5760"/>
      </w:tblGrid>
      <w:tr w:rsidTr="007313C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233A5" w:rsidP="00A233A5">
            <w:pPr>
              <w:pStyle w:val="BodyText"/>
            </w:pPr>
            <w:r w:rsidRPr="00A233A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rPr>
                <w:rStyle w:val="SpecialBold"/>
              </w:rPr>
              <w:t>1)</w:t>
            </w:r>
            <w:r w:rsidRPr="00A233A5">
              <w:t xml:space="preserve"> </w:t>
            </w:r>
            <w:r w:rsidRPr="00A233A5">
              <w:rPr>
                <w:rStyle w:val="SpecialBold"/>
              </w:rPr>
              <w:t>Scope:</w:t>
            </w:r>
          </w:p>
        </w:tc>
      </w:tr>
      <w:tr w:rsidTr="007313C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233A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rPr>
                <w:rStyle w:val="SpecialBold"/>
              </w:rPr>
              <w:t>1.1) Descriptor</w:t>
            </w:r>
          </w:p>
        </w:tc>
      </w:tr>
      <w:tr w:rsidTr="007313C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233A5" w:rsidP="00A233A5">
            <w:pPr>
              <w:pStyle w:val="BodyText"/>
            </w:pPr>
            <w:r w:rsidRPr="00A233A5">
              <w:t>This unit deals with the skills and knowledge required to respond to an incident of a critical nature that may impact on the operational effectiveness of the plant or system, endanger human life or property, or have an adverse impact on the environment.</w:t>
            </w:r>
          </w:p>
        </w:tc>
      </w:tr>
    </w:tbl>
    <w:p w:rsidR="00000000" w:rsidRPr="00A233A5" w:rsidP="00A233A5">
      <w:pPr>
        <w:pStyle w:val="BodyText"/>
      </w:pPr>
    </w:p>
    <w:p w:rsidR="00000000" w:rsidRPr="00A233A5" w:rsidP="00A233A5">
      <w:pPr>
        <w:pStyle w:val="AllowPageBreak"/>
      </w:pPr>
    </w:p>
    <w:p w:rsidR="00000000" w:rsidRPr="00A233A5" w:rsidP="00A233A5">
      <w:pPr>
        <w:pStyle w:val="Heading1"/>
      </w:pPr>
      <w:bookmarkStart w:id="3" w:name="O_475596"/>
      <w:bookmarkEnd w:id="3"/>
      <w:r w:rsidRPr="00A233A5">
        <w:t>Application of the Unit</w:t>
      </w:r>
    </w:p>
    <w:tbl>
      <w:tblPr>
        <w:tblW w:w="0" w:type="auto"/>
        <w:tblLayout w:type="fixed"/>
        <w:tblCellMar>
          <w:left w:w="62" w:type="dxa"/>
          <w:right w:w="62" w:type="dxa"/>
        </w:tblCellMar>
        <w:tblLook w:val="0000"/>
      </w:tblPr>
      <w:tblGrid>
        <w:gridCol w:w="2672"/>
        <w:gridCol w:w="5699"/>
      </w:tblGrid>
      <w:tr w:rsidTr="007313C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233A5" w:rsidP="00A233A5">
            <w:pPr>
              <w:pStyle w:val="BodyText"/>
            </w:pPr>
            <w:r w:rsidRPr="00A233A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rPr>
                <w:rStyle w:val="SpecialBold"/>
              </w:rPr>
              <w:t>2)</w:t>
            </w:r>
          </w:p>
        </w:tc>
      </w:tr>
      <w:tr w:rsidTr="007313C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233A5" w:rsidP="00A233A5">
            <w:pPr>
              <w:pStyle w:val="BodyText"/>
            </w:pPr>
            <w:r w:rsidRPr="00A233A5">
              <w:t>This unit is intended to augment formally acquired competencies. It is suitable for employment-based programs under an approved contract of training.</w:t>
            </w:r>
          </w:p>
        </w:tc>
      </w:tr>
    </w:tbl>
    <w:p w:rsidR="00000000" w:rsidRPr="00A233A5" w:rsidP="00A233A5">
      <w:pPr>
        <w:pStyle w:val="BodyText"/>
      </w:pPr>
    </w:p>
    <w:p w:rsidR="00000000" w:rsidRPr="00A233A5" w:rsidP="00A233A5">
      <w:pPr>
        <w:pStyle w:val="AllowPageBreak"/>
      </w:pPr>
    </w:p>
    <w:p w:rsidR="00000000" w:rsidRPr="00A233A5" w:rsidP="00A233A5">
      <w:pPr>
        <w:pStyle w:val="Heading1"/>
      </w:pPr>
      <w:bookmarkStart w:id="4" w:name="O_475603"/>
      <w:bookmarkEnd w:id="4"/>
      <w:r w:rsidRPr="00A233A5">
        <w:t>Licensing/Regulatory Information</w:t>
      </w:r>
    </w:p>
    <w:tbl>
      <w:tblPr>
        <w:tblW w:w="0" w:type="auto"/>
        <w:tblLayout w:type="fixed"/>
        <w:tblCellMar>
          <w:left w:w="62" w:type="dxa"/>
          <w:right w:w="62" w:type="dxa"/>
        </w:tblCellMar>
        <w:tblLook w:val="0000"/>
      </w:tblPr>
      <w:tblGrid>
        <w:gridCol w:w="2700"/>
        <w:gridCol w:w="5760"/>
      </w:tblGrid>
      <w:tr w:rsidTr="007313C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233A5" w:rsidP="00A233A5">
            <w:pPr>
              <w:pStyle w:val="BodyText"/>
            </w:pPr>
            <w:r w:rsidRPr="00A233A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rPr>
                <w:rStyle w:val="SpecialBold"/>
              </w:rPr>
              <w:t xml:space="preserve">3) </w:t>
            </w:r>
          </w:p>
        </w:tc>
      </w:tr>
      <w:tr w:rsidTr="007313C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233A5" w:rsidP="00A233A5">
            <w:pPr>
              <w:pStyle w:val="BodyText"/>
            </w:pPr>
            <w:r w:rsidRPr="00A233A5">
              <w:t>The skills and knowledge described in this unit do not require a licence to practise in the workplace. However, practice in this unit is subject to regulations directly related to Occupational Heal</w:t>
            </w:r>
            <w:r w:rsidRPr="00A233A5">
              <w:t>th and Safety and where applicable contracts of training such as apprenticeships.</w:t>
            </w:r>
          </w:p>
        </w:tc>
      </w:tr>
    </w:tbl>
    <w:p w:rsidR="00000000" w:rsidRPr="00A233A5" w:rsidP="00A233A5">
      <w:pPr>
        <w:pStyle w:val="BodyText"/>
      </w:pPr>
    </w:p>
    <w:p w:rsidR="00000000" w:rsidRPr="00A233A5" w:rsidP="00A233A5">
      <w:pPr>
        <w:pStyle w:val="AllowPageBreak"/>
      </w:pPr>
    </w:p>
    <w:p w:rsidR="00000000" w:rsidRPr="00A233A5" w:rsidP="00A233A5">
      <w:pPr>
        <w:pStyle w:val="Heading1"/>
      </w:pPr>
      <w:bookmarkStart w:id="5" w:name="O_475604"/>
      <w:bookmarkEnd w:id="5"/>
      <w:r w:rsidRPr="00A233A5">
        <w:t>Pre-Requisites</w:t>
      </w:r>
    </w:p>
    <w:tbl>
      <w:tblPr>
        <w:tblW w:w="0" w:type="auto"/>
        <w:tblLayout w:type="fixed"/>
        <w:tblCellMar>
          <w:left w:w="62" w:type="dxa"/>
          <w:right w:w="62" w:type="dxa"/>
        </w:tblCellMar>
        <w:tblLook w:val="0000"/>
      </w:tblPr>
      <w:tblGrid>
        <w:gridCol w:w="2700"/>
        <w:gridCol w:w="5764"/>
      </w:tblGrid>
      <w:tr w:rsidTr="007313C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233A5" w:rsidP="00A233A5">
            <w:pPr>
              <w:pStyle w:val="BodyText"/>
            </w:pPr>
            <w:r w:rsidRPr="00A233A5">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rPr>
                <w:rStyle w:val="SpecialBold"/>
              </w:rPr>
              <w:t xml:space="preserve">4) </w:t>
            </w:r>
          </w:p>
        </w:tc>
      </w:tr>
      <w:tr w:rsidTr="007313C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233A5" w:rsidP="00A233A5">
            <w:pPr>
              <w:pStyle w:val="BodyText"/>
            </w:pPr>
            <w:r w:rsidRPr="00A233A5">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rPr>
                <w:rStyle w:val="SpecialBold"/>
              </w:rPr>
              <w:t>4.1)</w:t>
            </w:r>
          </w:p>
        </w:tc>
      </w:tr>
      <w:tr w:rsidTr="007313C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A233A5" w:rsidP="00A233A5">
            <w:pPr>
              <w:pStyle w:val="BodyText"/>
            </w:pPr>
            <w:r w:rsidRPr="00A233A5">
              <w:t>Granting of competency in this unit shall be made only after competency in the following unit(s) has/have been confirmed.</w:t>
            </w:r>
          </w:p>
          <w:p w:rsidR="00000000" w:rsidRPr="00A233A5" w:rsidP="00A233A5">
            <w:pPr>
              <w:pStyle w:val="BodyText"/>
            </w:pPr>
            <w:r w:rsidRPr="00A233A5">
              <w:t>Where pre-requisite pathways have been identified. All competencies in the Common Unit Group must be have been completed.</w:t>
            </w:r>
          </w:p>
          <w:p w:rsidR="00000000" w:rsidRPr="00A233A5" w:rsidP="00A233A5">
            <w:pPr>
              <w:pStyle w:val="BodyText"/>
            </w:pPr>
            <w:r w:rsidRPr="00A233A5">
              <w:t>There are no</w:t>
            </w:r>
            <w:r w:rsidRPr="00A233A5">
              <w:t xml:space="preserve"> pre-requisite units.</w:t>
            </w:r>
          </w:p>
        </w:tc>
      </w:tr>
    </w:tbl>
    <w:p w:rsidR="00000000" w:rsidRPr="00A233A5" w:rsidP="00A233A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313C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233A5" w:rsidP="00A233A5">
            <w:pPr>
              <w:pStyle w:val="BodyText"/>
            </w:pPr>
            <w:r w:rsidRPr="00A233A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rPr>
                <w:rStyle w:val="SpecialBold"/>
              </w:rPr>
              <w:t xml:space="preserve">4.2) </w:t>
            </w:r>
          </w:p>
        </w:tc>
      </w:tr>
      <w:tr w:rsidTr="007313C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 xml:space="preserve">Participants are best equipped to achieve this unit if they have reading, writing and numeracy skills indicated by the following levels. A </w:t>
            </w:r>
            <w:r w:rsidRPr="00A233A5">
              <w:t>description of what each level entails is provided in Section 2.3.1 Language, Literacy and Numeracy.</w:t>
            </w:r>
          </w:p>
        </w:tc>
      </w:tr>
      <w:tr w:rsidTr="007313C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Reading</w:t>
            </w:r>
          </w:p>
        </w:tc>
        <w:tc>
          <w:tcPr>
            <w:tcW w:w="81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3</w:t>
            </w:r>
          </w:p>
        </w:tc>
        <w:tc>
          <w:tcPr>
            <w:tcW w:w="99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Writing</w:t>
            </w:r>
          </w:p>
        </w:tc>
        <w:tc>
          <w:tcPr>
            <w:tcW w:w="90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3</w:t>
            </w:r>
          </w:p>
        </w:tc>
        <w:tc>
          <w:tcPr>
            <w:tcW w:w="126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Numeracy</w:t>
            </w:r>
          </w:p>
        </w:tc>
        <w:tc>
          <w:tcPr>
            <w:tcW w:w="720" w:type="dxa"/>
            <w:tcBorders>
              <w:top w:val="nil"/>
              <w:left w:val="nil"/>
              <w:bottom w:val="nil"/>
              <w:right w:val="nil"/>
            </w:tcBorders>
            <w:tcMar>
              <w:top w:w="0" w:type="dxa"/>
              <w:left w:w="62" w:type="dxa"/>
              <w:bottom w:w="0" w:type="dxa"/>
              <w:right w:w="62" w:type="dxa"/>
            </w:tcMar>
          </w:tcPr>
          <w:p w:rsidR="00000000" w:rsidRPr="00A233A5" w:rsidP="00A233A5">
            <w:pPr>
              <w:pStyle w:val="BodyText"/>
            </w:pPr>
            <w:r w:rsidRPr="00A233A5">
              <w:t>3</w:t>
            </w:r>
          </w:p>
        </w:tc>
      </w:tr>
    </w:tbl>
    <w:p w:rsidR="00000000" w:rsidRPr="00A233A5" w:rsidP="00A233A5">
      <w:pPr>
        <w:pStyle w:val="BodyText"/>
      </w:pPr>
    </w:p>
    <w:p w:rsidR="00000000" w:rsidRPr="00A233A5" w:rsidP="00A233A5">
      <w:pPr>
        <w:pStyle w:val="AllowPageBreak"/>
      </w:pPr>
    </w:p>
    <w:p w:rsidR="00000000" w:rsidRPr="00A233A5" w:rsidP="00A233A5">
      <w:pPr>
        <w:pStyle w:val="Heading1"/>
      </w:pPr>
      <w:bookmarkStart w:id="6" w:name="O_475600"/>
      <w:bookmarkEnd w:id="6"/>
      <w:r w:rsidRPr="00A233A5">
        <w:t>Employability Skills Information</w:t>
      </w:r>
    </w:p>
    <w:tbl>
      <w:tblPr>
        <w:tblW w:w="0" w:type="auto"/>
        <w:tblLayout w:type="fixed"/>
        <w:tblCellMar>
          <w:left w:w="62" w:type="dxa"/>
          <w:right w:w="62" w:type="dxa"/>
        </w:tblCellMar>
        <w:tblLook w:val="0000"/>
      </w:tblPr>
      <w:tblGrid>
        <w:gridCol w:w="2700"/>
        <w:gridCol w:w="5760"/>
      </w:tblGrid>
      <w:tr w:rsidTr="007313C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233A5" w:rsidP="00A233A5">
            <w:pPr>
              <w:pStyle w:val="BodyText"/>
            </w:pPr>
            <w:r w:rsidRPr="00A233A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rPr>
                <w:rStyle w:val="SpecialBold"/>
              </w:rPr>
              <w:t xml:space="preserve">5) </w:t>
            </w:r>
          </w:p>
        </w:tc>
      </w:tr>
      <w:tr w:rsidTr="007313C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233A5" w:rsidP="00A233A5">
            <w:pPr>
              <w:pStyle w:val="BodyText"/>
            </w:pPr>
            <w:r w:rsidRPr="00A233A5">
              <w:t>The required outcomes described in th</w:t>
            </w:r>
            <w:r w:rsidRPr="00A233A5">
              <w:t>is unit of competency contain applicable facets of Employability Skills. The Employability Skills Summary of the qualification in which this unit of competency is packaged will assist in identifying Employability Skill requirements.</w:t>
            </w:r>
          </w:p>
        </w:tc>
      </w:tr>
    </w:tbl>
    <w:p w:rsidR="00000000" w:rsidRPr="00A233A5" w:rsidP="00A233A5">
      <w:pPr>
        <w:pStyle w:val="BodyText"/>
      </w:pPr>
    </w:p>
    <w:p w:rsidR="00000000" w:rsidRPr="00A233A5" w:rsidP="00A233A5">
      <w:pPr>
        <w:pStyle w:val="AllowPageBreak"/>
      </w:pPr>
    </w:p>
    <w:p w:rsidR="00000000" w:rsidRPr="00A233A5" w:rsidP="00A233A5">
      <w:pPr>
        <w:pStyle w:val="Heading1"/>
      </w:pPr>
      <w:bookmarkStart w:id="7" w:name="O_475599"/>
      <w:bookmarkEnd w:id="7"/>
      <w:r w:rsidRPr="00A233A5">
        <w:t>Elem</w:t>
      </w:r>
      <w:r w:rsidRPr="00A233A5">
        <w:t>ents and Performance Criteria Pre-Content</w:t>
      </w:r>
    </w:p>
    <w:tbl>
      <w:tblPr>
        <w:tblW w:w="0" w:type="auto"/>
        <w:tblLayout w:type="fixed"/>
        <w:tblCellMar>
          <w:left w:w="62" w:type="dxa"/>
          <w:right w:w="62" w:type="dxa"/>
        </w:tblCellMar>
        <w:tblLook w:val="0000"/>
      </w:tblPr>
      <w:tblGrid>
        <w:gridCol w:w="2700"/>
        <w:gridCol w:w="5760"/>
      </w:tblGrid>
      <w:tr w:rsidTr="007313C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rPr>
                <w:rStyle w:val="SpecialBold"/>
              </w:rPr>
              <w:t>6)</w:t>
            </w:r>
            <w:r w:rsidRPr="00A233A5">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233A5" w:rsidP="00A233A5">
            <w:pPr>
              <w:pStyle w:val="BodyText"/>
            </w:pPr>
            <w:r w:rsidRPr="00A233A5">
              <w:t xml:space="preserve">Performance Criteria describe the required performance needed to demonstrate achievement of the element. Assessment of performance is to be </w:t>
            </w:r>
            <w:r w:rsidRPr="00A233A5">
              <w:t>consistent with the Evidence Guide.</w:t>
            </w:r>
          </w:p>
        </w:tc>
      </w:tr>
    </w:tbl>
    <w:p w:rsidR="00000000" w:rsidRPr="00A233A5" w:rsidP="00A233A5">
      <w:pPr>
        <w:pStyle w:val="BodyText"/>
      </w:pPr>
    </w:p>
    <w:p w:rsidR="00000000" w:rsidRPr="00A233A5" w:rsidP="00A233A5">
      <w:pPr>
        <w:pStyle w:val="AllowPageBreak"/>
      </w:pPr>
    </w:p>
    <w:p w:rsidR="00000000" w:rsidRPr="00A233A5" w:rsidP="00A233A5">
      <w:pPr>
        <w:pStyle w:val="Heading1"/>
      </w:pPr>
      <w:bookmarkStart w:id="8" w:name="O_475598"/>
      <w:bookmarkEnd w:id="8"/>
      <w:r w:rsidRPr="00A233A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313C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233A5" w:rsidP="00A233A5">
            <w:pPr>
              <w:pStyle w:val="BodyText"/>
            </w:pPr>
            <w:r w:rsidRPr="00A233A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rPr>
                <w:rStyle w:val="SpecialBold"/>
              </w:rPr>
              <w:t>PERFORMANCE CRITERIA</w:t>
            </w:r>
          </w:p>
        </w:tc>
      </w:tr>
      <w:tr w:rsidTr="007313C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1</w:t>
            </w:r>
          </w:p>
        </w:tc>
        <w:tc>
          <w:tcPr>
            <w:tcW w:w="2296" w:type="dxa"/>
            <w:vMerge w:val="restart"/>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Identify critical incident and consequences</w:t>
            </w:r>
          </w:p>
        </w:tc>
        <w:tc>
          <w:tcPr>
            <w:tcW w:w="90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1.1</w:t>
            </w:r>
          </w:p>
        </w:tc>
        <w:tc>
          <w:tcPr>
            <w:tcW w:w="486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Information and documentation to determine system status is interpreted in accordance with system requirements</w:t>
            </w:r>
          </w:p>
        </w:tc>
      </w:tr>
      <w:tr w:rsidTr="007313C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1.2</w:t>
            </w:r>
          </w:p>
        </w:tc>
        <w:tc>
          <w:tcPr>
            <w:tcW w:w="486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 xml:space="preserve">Fault location is determined by establishing, monitoring and evaluating system configuration and operational pre-requisites in accordance </w:t>
            </w:r>
            <w:r w:rsidRPr="00A233A5">
              <w:t>with enterprise procedures</w:t>
            </w:r>
          </w:p>
        </w:tc>
      </w:tr>
      <w:tr w:rsidTr="007313C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1.3</w:t>
            </w:r>
          </w:p>
        </w:tc>
        <w:tc>
          <w:tcPr>
            <w:tcW w:w="486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Fault information is collated in accordance with procedures to determine type and cause of failure</w:t>
            </w:r>
          </w:p>
        </w:tc>
      </w:tr>
      <w:tr w:rsidTr="007313C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1.4</w:t>
            </w:r>
          </w:p>
        </w:tc>
        <w:tc>
          <w:tcPr>
            <w:tcW w:w="486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System limitations and performance, including location and external influences, are identified</w:t>
            </w:r>
          </w:p>
        </w:tc>
      </w:tr>
      <w:tr w:rsidTr="007313C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1.5</w:t>
            </w:r>
          </w:p>
        </w:tc>
        <w:tc>
          <w:tcPr>
            <w:tcW w:w="486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 xml:space="preserve">Where appropriate, the teams and individuals roles and responsibilities within the team are identified and, where required, assist in the provision of the on-the-job training </w:t>
            </w:r>
          </w:p>
        </w:tc>
      </w:tr>
      <w:tr w:rsidTr="007313C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2</w:t>
            </w:r>
          </w:p>
        </w:tc>
        <w:tc>
          <w:tcPr>
            <w:tcW w:w="2296" w:type="dxa"/>
            <w:vMerge w:val="restart"/>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Stabilise the system</w:t>
            </w:r>
          </w:p>
        </w:tc>
        <w:tc>
          <w:tcPr>
            <w:tcW w:w="90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2.1</w:t>
            </w:r>
          </w:p>
        </w:tc>
        <w:tc>
          <w:tcPr>
            <w:tcW w:w="486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Appropriate response techniques are identified and used in accordance with requirements.</w:t>
            </w:r>
          </w:p>
        </w:tc>
      </w:tr>
      <w:tr w:rsidTr="007313C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2.2</w:t>
            </w:r>
          </w:p>
        </w:tc>
        <w:tc>
          <w:tcPr>
            <w:tcW w:w="486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Appropriate personnel and external stake holders are consulted in accordance with enterprise procedures prior to further action</w:t>
            </w:r>
          </w:p>
        </w:tc>
      </w:tr>
      <w:tr w:rsidTr="007313C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2.3</w:t>
            </w:r>
          </w:p>
        </w:tc>
        <w:tc>
          <w:tcPr>
            <w:tcW w:w="486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System requirements are assessed and controlled to maintain stability and system integrity</w:t>
            </w:r>
          </w:p>
        </w:tc>
      </w:tr>
      <w:tr w:rsidTr="007313C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2.4</w:t>
            </w:r>
          </w:p>
        </w:tc>
        <w:tc>
          <w:tcPr>
            <w:tcW w:w="486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Corrective actions to rectify abnormalities are implemented following interpretation of data in accordance with system procedures</w:t>
            </w:r>
          </w:p>
        </w:tc>
      </w:tr>
      <w:tr w:rsidTr="007313C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3</w:t>
            </w:r>
          </w:p>
        </w:tc>
        <w:tc>
          <w:tcPr>
            <w:tcW w:w="2296"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Restore the system</w:t>
            </w:r>
          </w:p>
        </w:tc>
        <w:tc>
          <w:tcPr>
            <w:tcW w:w="90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3.1</w:t>
            </w:r>
          </w:p>
        </w:tc>
        <w:tc>
          <w:tcPr>
            <w:tcW w:w="486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Sp</w:t>
            </w:r>
            <w:r w:rsidRPr="00A233A5">
              <w:t>ecialised assistance is identified and attended to where required in accordance with enterprise procedures</w:t>
            </w:r>
          </w:p>
        </w:tc>
      </w:tr>
      <w:tr w:rsidTr="007313C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3.2</w:t>
            </w:r>
          </w:p>
        </w:tc>
        <w:tc>
          <w:tcPr>
            <w:tcW w:w="486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Strategies to restore system integrity are identified and communicated in accordance with procedures to appropriate personnel</w:t>
            </w:r>
          </w:p>
        </w:tc>
      </w:tr>
      <w:tr w:rsidTr="007313C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3.3</w:t>
            </w:r>
          </w:p>
        </w:tc>
        <w:tc>
          <w:tcPr>
            <w:tcW w:w="486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Restoration strategy is undertaken, monitored and adjusted in accordance with procedure</w:t>
            </w:r>
          </w:p>
        </w:tc>
      </w:tr>
      <w:tr w:rsidTr="007313C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4</w:t>
            </w:r>
          </w:p>
        </w:tc>
        <w:tc>
          <w:tcPr>
            <w:tcW w:w="2296"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Review response to incident</w:t>
            </w:r>
          </w:p>
        </w:tc>
        <w:tc>
          <w:tcPr>
            <w:tcW w:w="90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4.1</w:t>
            </w:r>
          </w:p>
        </w:tc>
        <w:tc>
          <w:tcPr>
            <w:tcW w:w="486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Effectiveness of response is interpreted in accordance with system procedures</w:t>
            </w:r>
          </w:p>
        </w:tc>
      </w:tr>
      <w:tr w:rsidTr="007313C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4.2</w:t>
            </w:r>
          </w:p>
        </w:tc>
        <w:tc>
          <w:tcPr>
            <w:tcW w:w="486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 xml:space="preserve">Incident and preventive measures are documented </w:t>
            </w:r>
            <w:r w:rsidRPr="00A233A5">
              <w:t>in accordance with procedures</w:t>
            </w:r>
          </w:p>
        </w:tc>
      </w:tr>
      <w:tr w:rsidTr="007313C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t>4.3</w:t>
            </w:r>
          </w:p>
        </w:tc>
        <w:tc>
          <w:tcPr>
            <w:tcW w:w="4860" w:type="dxa"/>
            <w:tcBorders>
              <w:top w:val="nil"/>
              <w:left w:val="nil"/>
              <w:bottom w:val="nil"/>
              <w:right w:val="nil"/>
            </w:tcBorders>
            <w:tcMar>
              <w:top w:w="0" w:type="dxa"/>
              <w:left w:w="62" w:type="dxa"/>
              <w:bottom w:w="0" w:type="dxa"/>
              <w:right w:w="62" w:type="dxa"/>
            </w:tcMar>
          </w:tcPr>
          <w:p w:rsidR="00000000" w:rsidRPr="00A233A5" w:rsidP="00A233A5">
            <w:pPr>
              <w:pStyle w:val="BodyText"/>
            </w:pPr>
            <w:r w:rsidRPr="00A233A5">
              <w:t>Relevant findings are communicated to appropriate key stake holders</w:t>
            </w:r>
          </w:p>
        </w:tc>
      </w:tr>
    </w:tbl>
    <w:p w:rsidR="00000000" w:rsidRPr="00A233A5" w:rsidP="00A233A5">
      <w:pPr>
        <w:pStyle w:val="BodyText"/>
      </w:pPr>
    </w:p>
    <w:p w:rsidR="00000000" w:rsidRPr="00A233A5" w:rsidP="00A233A5">
      <w:pPr>
        <w:pStyle w:val="AllowPageBreak"/>
      </w:pPr>
    </w:p>
    <w:p w:rsidR="00000000" w:rsidRPr="00A233A5" w:rsidP="00A233A5">
      <w:pPr>
        <w:pStyle w:val="Heading1"/>
      </w:pPr>
      <w:bookmarkStart w:id="9" w:name="O_475606"/>
      <w:bookmarkEnd w:id="9"/>
      <w:r w:rsidRPr="00A233A5">
        <w:t>Required Skills and Knowledge</w:t>
      </w:r>
    </w:p>
    <w:tbl>
      <w:tblPr>
        <w:tblW w:w="0" w:type="auto"/>
        <w:tblLayout w:type="fixed"/>
        <w:tblCellMar>
          <w:left w:w="62" w:type="dxa"/>
          <w:right w:w="62" w:type="dxa"/>
        </w:tblCellMar>
        <w:tblLook w:val="0000"/>
      </w:tblPr>
      <w:tblGrid>
        <w:gridCol w:w="8460"/>
      </w:tblGrid>
      <w:tr w:rsidTr="007313C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rPr>
                <w:rStyle w:val="SpecialBold"/>
              </w:rPr>
              <w:t>REQUIRED SKILLS AND KNOWLEDGE</w:t>
            </w:r>
          </w:p>
        </w:tc>
      </w:tr>
      <w:tr w:rsidTr="007313C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A233A5" w:rsidP="00A233A5">
            <w:pPr>
              <w:pStyle w:val="BodyText"/>
            </w:pPr>
            <w:r w:rsidRPr="00A233A5">
              <w:rPr>
                <w:rStyle w:val="SpecialBold"/>
              </w:rPr>
              <w:t>8)</w:t>
            </w:r>
            <w:r w:rsidRPr="00A233A5">
              <w:t xml:space="preserve"> This describes the essential skills and knowledge and their level, required for this unit.</w:t>
            </w:r>
          </w:p>
          <w:p w:rsidR="00000000" w:rsidRPr="00A233A5" w:rsidP="00A233A5">
            <w:pPr>
              <w:pStyle w:val="BodyText"/>
            </w:pPr>
            <w:r w:rsidRPr="00A233A5">
              <w:t>Evidence shall show that knowledge has been acquired of responding to critical incidents/</w:t>
            </w:r>
          </w:p>
          <w:p w:rsidR="00000000" w:rsidRPr="00A233A5" w:rsidP="00A233A5">
            <w:pPr>
              <w:pStyle w:val="BodyText"/>
            </w:pPr>
            <w:r w:rsidRPr="00A233A5">
              <w:t>All knowledge and skills detailed in this unit should be contextualised to</w:t>
            </w:r>
            <w:r w:rsidRPr="00A233A5">
              <w:t xml:space="preserve"> current industry practices and technologies.</w:t>
            </w:r>
          </w:p>
          <w:p w:rsidR="00000000" w:rsidRPr="00A233A5" w:rsidP="00A233A5">
            <w:pPr>
              <w:pStyle w:val="BodyText"/>
            </w:pPr>
            <w:r w:rsidRPr="00A233A5">
              <w:t>The extent of the Essential Knowledge and Associated Skills required follows:</w:t>
            </w:r>
          </w:p>
          <w:p w:rsidR="00000000" w:rsidRPr="00A233A5" w:rsidP="00A233A5">
            <w:pPr>
              <w:pStyle w:val="BodyText"/>
            </w:pPr>
            <w:r w:rsidRPr="00A233A5">
              <w:t>KS01-PO369A  Respond to a critical incident</w:t>
            </w:r>
          </w:p>
          <w:p w:rsidR="00000000" w:rsidRPr="00A233A5" w:rsidP="00A233A5">
            <w:pPr>
              <w:pStyle w:val="BodyText"/>
            </w:pPr>
            <w:r w:rsidRPr="00A233A5">
              <w:t>Evidence shall show that knowledge has been acquired for safe working practices of:</w:t>
            </w:r>
          </w:p>
          <w:p w:rsidR="00000000" w:rsidRPr="00A233A5" w:rsidP="00A233A5">
            <w:pPr>
              <w:pStyle w:val="BodyText"/>
            </w:pPr>
            <w:r w:rsidRPr="00A233A5">
              <w:t>T1 R</w:t>
            </w:r>
            <w:r w:rsidRPr="00A233A5">
              <w:t>elevant environmental, occupational health and safety legislation and  regulations</w:t>
            </w:r>
          </w:p>
          <w:p w:rsidR="00000000" w:rsidRPr="00A233A5" w:rsidP="00A233A5">
            <w:pPr>
              <w:pStyle w:val="BodyText"/>
            </w:pPr>
            <w:r w:rsidRPr="00A233A5">
              <w:t>T2 Enterprise procedures</w:t>
            </w:r>
          </w:p>
          <w:p w:rsidR="00000000" w:rsidRPr="00A233A5" w:rsidP="00A233A5">
            <w:pPr>
              <w:pStyle w:val="BodyText"/>
            </w:pPr>
            <w:r w:rsidRPr="00A233A5">
              <w:t>T3 Plant drawings and manufacturers manuals</w:t>
            </w:r>
          </w:p>
          <w:p w:rsidR="00000000" w:rsidRPr="00A233A5" w:rsidP="00A233A5">
            <w:pPr>
              <w:pStyle w:val="BodyText"/>
            </w:pPr>
            <w:r w:rsidRPr="00A233A5">
              <w:t>T4 Introduction to and typical arrangements of power production plant</w:t>
            </w:r>
          </w:p>
          <w:p w:rsidR="00000000" w:rsidRPr="00A233A5" w:rsidP="00A233A5">
            <w:pPr>
              <w:pStyle w:val="BodyText"/>
            </w:pPr>
            <w:r w:rsidRPr="00A233A5">
              <w:t>T5 Relevant plant and equipment, its location and operating parameters</w:t>
            </w:r>
          </w:p>
          <w:p w:rsidR="00000000" w:rsidRPr="00A233A5" w:rsidP="00A233A5">
            <w:pPr>
              <w:pStyle w:val="BodyText"/>
            </w:pPr>
            <w:r w:rsidRPr="00A233A5">
              <w:t>T6 Relevant state and territory regulations</w:t>
            </w:r>
          </w:p>
          <w:p w:rsidR="00000000" w:rsidRPr="00A233A5" w:rsidP="00A233A5">
            <w:pPr>
              <w:pStyle w:val="BodyText"/>
            </w:pPr>
            <w:r w:rsidRPr="00A233A5">
              <w:t>T7 Plant status;</w:t>
            </w:r>
          </w:p>
          <w:p w:rsidR="00000000" w:rsidRPr="00A233A5" w:rsidP="00A233A5">
            <w:pPr>
              <w:pStyle w:val="BodyText"/>
            </w:pPr>
            <w:r w:rsidRPr="00A233A5">
              <w:t>T8 Enterprise recording procedures;</w:t>
            </w:r>
          </w:p>
          <w:p w:rsidR="00000000" w:rsidRPr="00A233A5" w:rsidP="00A233A5">
            <w:pPr>
              <w:pStyle w:val="BodyText"/>
            </w:pPr>
            <w:r w:rsidRPr="00A233A5">
              <w:t>T9 Contingency plans;</w:t>
            </w:r>
          </w:p>
          <w:p w:rsidR="00000000" w:rsidRPr="00A233A5" w:rsidP="00A233A5">
            <w:pPr>
              <w:pStyle w:val="BodyText"/>
            </w:pPr>
            <w:r w:rsidRPr="00A233A5">
              <w:t>T10 Supervisory, alarm, protection and control equipment;</w:t>
            </w:r>
          </w:p>
          <w:p w:rsidR="00000000" w:rsidRPr="00A233A5" w:rsidP="00A233A5">
            <w:pPr>
              <w:pStyle w:val="BodyText"/>
            </w:pPr>
            <w:r w:rsidRPr="00A233A5">
              <w:t>T11 Cont</w:t>
            </w:r>
            <w:r w:rsidRPr="00A233A5">
              <w:t xml:space="preserve">rol and data acquisition systems; </w:t>
            </w:r>
          </w:p>
          <w:p w:rsidR="00000000" w:rsidRPr="00A233A5" w:rsidP="00A233A5">
            <w:pPr>
              <w:pStyle w:val="BodyText"/>
            </w:pPr>
            <w:r w:rsidRPr="00A233A5">
              <w:t>KS02-PO369A  Respond to a critical incident</w:t>
            </w:r>
          </w:p>
          <w:p w:rsidR="00000000" w:rsidRPr="00A233A5" w:rsidP="00A233A5">
            <w:pPr>
              <w:pStyle w:val="BodyText"/>
            </w:pPr>
            <w:r w:rsidRPr="00A233A5">
              <w:t>Specific skills needed to achieve the Performance Criteria:</w:t>
            </w:r>
          </w:p>
          <w:p w:rsidR="00000000" w:rsidRPr="00A233A5" w:rsidP="00A233A5">
            <w:pPr>
              <w:pStyle w:val="BodyText"/>
            </w:pPr>
            <w:r w:rsidRPr="00A233A5">
              <w:t>T1 Interpret plant drawings and manufacturers manuals</w:t>
            </w:r>
          </w:p>
          <w:p w:rsidR="00000000" w:rsidRPr="00A233A5" w:rsidP="00A233A5">
            <w:pPr>
              <w:pStyle w:val="BodyText"/>
            </w:pPr>
            <w:r w:rsidRPr="00A233A5">
              <w:t>T2 Apply relevant state and territory regulations</w:t>
            </w:r>
          </w:p>
          <w:p w:rsidR="00000000" w:rsidRPr="00A233A5" w:rsidP="00A233A5">
            <w:pPr>
              <w:pStyle w:val="BodyText"/>
            </w:pPr>
            <w:r w:rsidRPr="00A233A5">
              <w:t>T3 Apply ente</w:t>
            </w:r>
            <w:r w:rsidRPr="00A233A5">
              <w:t>rprise recording procedures;</w:t>
            </w:r>
          </w:p>
          <w:p w:rsidR="00000000" w:rsidRPr="00A233A5" w:rsidP="00A233A5">
            <w:pPr>
              <w:pStyle w:val="BodyText"/>
            </w:pPr>
            <w:r w:rsidRPr="00A233A5">
              <w:t>T4 Identify plant status;</w:t>
            </w:r>
          </w:p>
          <w:p w:rsidR="00000000" w:rsidRPr="00A233A5" w:rsidP="00A233A5">
            <w:pPr>
              <w:pStyle w:val="BodyText"/>
            </w:pPr>
            <w:r w:rsidRPr="00A233A5">
              <w:t>T5 Communicate effectively;</w:t>
            </w:r>
          </w:p>
          <w:p w:rsidR="00000000" w:rsidRPr="00A233A5" w:rsidP="00A233A5">
            <w:pPr>
              <w:pStyle w:val="BodyText"/>
            </w:pPr>
            <w:r w:rsidRPr="00A233A5">
              <w:t>T6 Apply data analysis techniques and tools;</w:t>
            </w:r>
          </w:p>
          <w:p w:rsidR="00000000" w:rsidRPr="00A233A5" w:rsidP="00A233A5">
            <w:pPr>
              <w:pStyle w:val="BodyText"/>
            </w:pPr>
            <w:r w:rsidRPr="00A233A5">
              <w:t>T7 Identify and respond to abnormal system operating conditions;</w:t>
            </w:r>
          </w:p>
          <w:p w:rsidR="00000000" w:rsidRPr="00A233A5" w:rsidP="00A233A5">
            <w:pPr>
              <w:pStyle w:val="BodyText"/>
            </w:pPr>
            <w:r w:rsidRPr="00A233A5">
              <w:t>T8 Plan and prioritise work;</w:t>
            </w:r>
          </w:p>
          <w:p w:rsidR="00000000" w:rsidRPr="00A233A5" w:rsidP="00A233A5">
            <w:pPr>
              <w:pStyle w:val="BodyText"/>
            </w:pPr>
            <w:r w:rsidRPr="00A233A5">
              <w:t>T9 Apply stress management techniq</w:t>
            </w:r>
            <w:r w:rsidRPr="00A233A5">
              <w:t>ues;</w:t>
            </w:r>
          </w:p>
          <w:p w:rsidR="00000000" w:rsidRPr="00A233A5" w:rsidP="00A233A5">
            <w:pPr>
              <w:pStyle w:val="BodyText"/>
            </w:pPr>
            <w:r w:rsidRPr="00A233A5">
              <w:t>T10 Apply diagnostic techniques.</w:t>
            </w:r>
          </w:p>
        </w:tc>
      </w:tr>
    </w:tbl>
    <w:p w:rsidR="00000000" w:rsidRPr="00A233A5" w:rsidP="00A233A5">
      <w:pPr>
        <w:pStyle w:val="BodyText"/>
      </w:pPr>
    </w:p>
    <w:p w:rsidR="00000000" w:rsidRPr="00A233A5" w:rsidP="00A233A5">
      <w:pPr>
        <w:pStyle w:val="AllowPageBreak"/>
      </w:pPr>
    </w:p>
    <w:p w:rsidR="00000000" w:rsidRPr="00A233A5" w:rsidP="00A233A5">
      <w:pPr>
        <w:pStyle w:val="Heading1"/>
      </w:pPr>
      <w:bookmarkStart w:id="10" w:name="O_475601"/>
      <w:bookmarkEnd w:id="10"/>
      <w:r w:rsidRPr="00A233A5">
        <w:t>Evidence Guide</w:t>
      </w:r>
    </w:p>
    <w:tbl>
      <w:tblPr>
        <w:tblW w:w="0" w:type="auto"/>
        <w:tblLayout w:type="fixed"/>
        <w:tblCellMar>
          <w:left w:w="62" w:type="dxa"/>
          <w:right w:w="62" w:type="dxa"/>
        </w:tblCellMar>
        <w:tblLook w:val="0000"/>
      </w:tblPr>
      <w:tblGrid>
        <w:gridCol w:w="8460"/>
      </w:tblGrid>
      <w:tr w:rsidTr="007313C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rPr>
                <w:rStyle w:val="SpecialBold"/>
              </w:rPr>
              <w:t>EVIDENCE GUIDE</w:t>
            </w:r>
          </w:p>
        </w:tc>
      </w:tr>
      <w:tr w:rsidTr="007313C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233A5" w:rsidP="00A233A5">
            <w:pPr>
              <w:pStyle w:val="BodyText"/>
            </w:pPr>
            <w:r w:rsidRPr="00A233A5">
              <w:rPr>
                <w:rStyle w:val="SpecialBold"/>
              </w:rPr>
              <w:t>9)</w:t>
            </w:r>
            <w:r w:rsidRPr="00A233A5">
              <w:t xml:space="preserve"> This provides essential advice for assessment of the unit of competency and must be read in conjunction with the Performance </w:t>
            </w:r>
            <w:r w:rsidRPr="00A233A5">
              <w:t>Criteria and the Range Statement of the unit and the Training Package Assessment Guidelines.</w:t>
            </w:r>
          </w:p>
          <w:p w:rsidR="00000000" w:rsidRPr="00A233A5" w:rsidP="00A233A5">
            <w:pPr>
              <w:pStyle w:val="BodyText"/>
            </w:pPr>
            <w:r w:rsidRPr="00A233A5">
              <w:t>The Evidence Guide forms an integral part of this Competency Standard Unit and shall be used in conjunction with all components parts of this unit and, performed i</w:t>
            </w:r>
            <w:r w:rsidRPr="00A233A5">
              <w:t>n accordance with the Assessment Guidelines of this Training Package.</w:t>
            </w:r>
          </w:p>
        </w:tc>
      </w:tr>
    </w:tbl>
    <w:p w:rsidR="00000000" w:rsidRPr="00A233A5" w:rsidP="00A233A5">
      <w:pPr>
        <w:pStyle w:val="BodyText"/>
      </w:pPr>
    </w:p>
    <w:tbl>
      <w:tblPr>
        <w:tblW w:w="0" w:type="auto"/>
        <w:tblLayout w:type="fixed"/>
        <w:tblCellMar>
          <w:left w:w="62" w:type="dxa"/>
          <w:right w:w="62" w:type="dxa"/>
        </w:tblCellMar>
        <w:tblLook w:val="0000"/>
      </w:tblPr>
      <w:tblGrid>
        <w:gridCol w:w="1890"/>
        <w:gridCol w:w="6570"/>
      </w:tblGrid>
      <w:tr w:rsidTr="007313C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233A5" w:rsidP="00A233A5">
            <w:pPr>
              <w:pStyle w:val="BodyText"/>
            </w:pPr>
            <w:r w:rsidRPr="00A233A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rPr>
                <w:rStyle w:val="SpecialBold"/>
              </w:rPr>
              <w:t>9.1)</w:t>
            </w:r>
          </w:p>
        </w:tc>
      </w:tr>
      <w:tr w:rsidTr="007313C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233A5" w:rsidP="00A233A5">
            <w:pPr>
              <w:pStyle w:val="BodyText"/>
            </w:pPr>
            <w:r w:rsidRPr="00A233A5">
              <w:t xml:space="preserve">Longitude competency development approaches to assessment, such as Profiling, require data to be reliably gathered in a form that can be consistently </w:t>
            </w:r>
            <w:r w:rsidRPr="00A233A5">
              <w:t>interpreted over time. This approach is best utilised in Apprenticeship programs and reduces assessment intervention. It is the Industry’s preferred model for apprenticeships. However, where summative (or final) assessment is used it is to include the appl</w:t>
            </w:r>
            <w:r w:rsidRPr="00A233A5">
              <w:t>ication of the competency in the normal work environment or, at a minimum, the application of the competency in a realistically simulated work environment. It is recognised that, in some circumstances, assessment in part or full can occur outside the workp</w:t>
            </w:r>
            <w:r w:rsidRPr="00A233A5">
              <w:t>lace. However, it must be in accord with Industry and, Regulatory policy in this regard.</w:t>
            </w:r>
          </w:p>
          <w:p w:rsidR="00000000" w:rsidRPr="00A233A5" w:rsidP="00A233A5">
            <w:pPr>
              <w:pStyle w:val="BodyText"/>
            </w:pPr>
            <w:r w:rsidRPr="00A233A5">
              <w:t>Methods chosen for a particular assessment will be influenced by various factors. These include the extent of the assessment, the most effective locations for the asse</w:t>
            </w:r>
            <w:r w:rsidRPr="00A233A5">
              <w:t>ssment activities to take place, access to physical resources, additional safety measures that may be required and the critical nature of the competencies being assessed.</w:t>
            </w:r>
          </w:p>
          <w:p w:rsidR="00000000" w:rsidRPr="00A233A5" w:rsidP="00A233A5">
            <w:pPr>
              <w:pStyle w:val="BodyText"/>
            </w:pPr>
            <w:r w:rsidRPr="00A233A5">
              <w:t xml:space="preserve">The critical safety nature of working with electricity, electrical equipment, gas or </w:t>
            </w:r>
            <w:r w:rsidRPr="00A233A5">
              <w:t>any other hazardous substance/material carries risk in deeming a person competent. Hence, sources of evidence need to be ‘rich’ in nature so as to minimise error in judgment.</w:t>
            </w:r>
          </w:p>
          <w:p w:rsidR="00000000" w:rsidRPr="00A233A5" w:rsidP="00A233A5">
            <w:pPr>
              <w:pStyle w:val="BodyText"/>
            </w:pPr>
            <w:r w:rsidRPr="00A233A5">
              <w:t>Activities associated with normal every day work have a bearing on the decision a</w:t>
            </w:r>
            <w:r w:rsidRPr="00A233A5">
              <w:t>s to how much and how detailed the data gathered will contribute to its ‘richness’. Some skills are more critical to safety and operational requirements while the same skills may be more or less frequently practised. These points are raised for the assesso</w:t>
            </w:r>
            <w:r w:rsidRPr="00A233A5">
              <w:t>rs to consider when choosing an assessment method and developing assessment instruments. Sample assessment instruments are included for Assessors in the Assessment Guidelines of this Training Package.</w:t>
            </w:r>
          </w:p>
        </w:tc>
      </w:tr>
    </w:tbl>
    <w:p w:rsidR="00000000" w:rsidRPr="00A233A5" w:rsidP="00A233A5">
      <w:pPr>
        <w:pStyle w:val="BodyText"/>
      </w:pPr>
    </w:p>
    <w:tbl>
      <w:tblPr>
        <w:tblW w:w="0" w:type="auto"/>
        <w:tblLayout w:type="fixed"/>
        <w:tblCellMar>
          <w:left w:w="62" w:type="dxa"/>
          <w:right w:w="62" w:type="dxa"/>
        </w:tblCellMar>
        <w:tblLook w:val="0000"/>
      </w:tblPr>
      <w:tblGrid>
        <w:gridCol w:w="1890"/>
        <w:gridCol w:w="6570"/>
      </w:tblGrid>
      <w:tr w:rsidTr="007313C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233A5" w:rsidP="00A233A5">
            <w:pPr>
              <w:pStyle w:val="BodyText"/>
            </w:pPr>
            <w:r w:rsidRPr="00A233A5">
              <w:rPr>
                <w:rStyle w:val="SpecialBold"/>
              </w:rPr>
              <w:t xml:space="preserve">Critical aspects of evidence required to demonstrate </w:t>
            </w:r>
            <w:r w:rsidRPr="00A233A5">
              <w:rPr>
                <w:rStyle w:val="SpecialBold"/>
              </w:rPr>
              <w:t>competency in this unit</w:t>
            </w:r>
          </w:p>
        </w:tc>
        <w:tc>
          <w:tcPr>
            <w:tcW w:w="657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rPr>
                <w:rStyle w:val="SpecialBold"/>
              </w:rPr>
              <w:t>9.2)</w:t>
            </w:r>
          </w:p>
        </w:tc>
      </w:tr>
      <w:tr w:rsidTr="007313C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233A5" w:rsidP="00A233A5">
            <w:pPr>
              <w:pStyle w:val="BodyText"/>
            </w:pPr>
            <w:r w:rsidRPr="00A233A5">
              <w:t>Before the critical aspects of evidence are considered all pre-requisites shall be met.</w:t>
            </w:r>
          </w:p>
          <w:p w:rsidR="00000000" w:rsidRPr="00A233A5" w:rsidP="00A233A5">
            <w:pPr>
              <w:pStyle w:val="BodyText"/>
            </w:pPr>
            <w:r w:rsidRPr="00A233A5">
              <w:t>Evidence for competence in this unit shall be considered holistically.  Each element and associated Performance Criteria shall be demonst</w:t>
            </w:r>
            <w:r w:rsidRPr="00A233A5">
              <w:t>rated on at least two occasions in accordance with the “Assessment Guidelines – UEP12”.  Evidence shall also comprise:</w:t>
            </w:r>
          </w:p>
          <w:p w:rsidR="00000000" w:rsidRPr="00A233A5" w:rsidP="00A233A5">
            <w:pPr>
              <w:pStyle w:val="ListBullet"/>
            </w:pPr>
            <w:r w:rsidRPr="00A233A5">
              <w:t>A representative body of work performance demonstrated within the timeframes typically expected of the discipline, work function and ind</w:t>
            </w:r>
            <w:r w:rsidRPr="00A233A5">
              <w:t>ustrial environment. In particular this shall incorporate evidence that shows a candidate is able to:</w:t>
            </w:r>
          </w:p>
          <w:p w:rsidR="00000000" w:rsidRPr="00A233A5" w:rsidP="00A233A5">
            <w:pPr>
              <w:pStyle w:val="ListBullet2"/>
            </w:pPr>
            <w:r w:rsidRPr="00A233A5">
              <w:t xml:space="preserve">Implement Occupational Health and Safety workplace procedures and practices including </w:t>
            </w:r>
            <w:r w:rsidRPr="00A233A5">
              <w:t>the use of risk control measures as specified in the Performance Criteria and Range Statement</w:t>
            </w:r>
          </w:p>
          <w:p w:rsidR="00000000" w:rsidRPr="00A233A5" w:rsidP="00A233A5">
            <w:pPr>
              <w:pStyle w:val="ListBullet2"/>
            </w:pPr>
            <w:r w:rsidRPr="00A233A5">
              <w:t>Apply sustainable energy principles and practices as specified in the Performance Criteria and Range Statement</w:t>
            </w:r>
          </w:p>
          <w:p w:rsidR="00000000" w:rsidRPr="00A233A5" w:rsidP="00A233A5">
            <w:pPr>
              <w:pStyle w:val="ListBullet2"/>
            </w:pPr>
            <w:r w:rsidRPr="00A233A5">
              <w:t>Demonstrate an understanding of the essential knowl</w:t>
            </w:r>
            <w:r w:rsidRPr="00A233A5">
              <w:t>edge and associated skills as described in 6) Essential Knowledge and Associated Skills of this unit</w:t>
            </w:r>
          </w:p>
          <w:p w:rsidR="00000000" w:rsidRPr="00A233A5" w:rsidP="00A233A5">
            <w:pPr>
              <w:pStyle w:val="ListBullet2"/>
            </w:pPr>
            <w:r w:rsidRPr="00A233A5">
              <w:t>Demonstrate an appropriate level of employability skills</w:t>
            </w:r>
          </w:p>
          <w:p w:rsidR="00000000" w:rsidRPr="00A233A5" w:rsidP="00A233A5">
            <w:pPr>
              <w:pStyle w:val="ListBullet2"/>
            </w:pPr>
            <w:r w:rsidRPr="00A233A5">
              <w:t>Conduct work observing the relevant Anti Discrimination legislation, regulations, polices and work</w:t>
            </w:r>
            <w:r w:rsidRPr="00A233A5">
              <w:t>place procedures</w:t>
            </w:r>
          </w:p>
          <w:p w:rsidR="00000000" w:rsidRPr="00A233A5" w:rsidP="00A233A5">
            <w:pPr>
              <w:pStyle w:val="ListBullet"/>
            </w:pPr>
            <w:r w:rsidRPr="00A233A5">
              <w:t>Demonstrated performance across a representative range of contexts from the prescribed items below:</w:t>
            </w:r>
          </w:p>
          <w:p w:rsidR="00000000" w:rsidRPr="00A233A5" w:rsidP="00A233A5">
            <w:pPr>
              <w:pStyle w:val="ListBullet2"/>
            </w:pPr>
            <w:r w:rsidRPr="00A233A5">
              <w:t>Knowledge and application of relevant sections of: Occupational Health and Safety legislation; Statutory legislation; Enterprise/site saf</w:t>
            </w:r>
            <w:r w:rsidRPr="00A233A5">
              <w:t>ety procedures; Enterprise/site emergency procedures</w:t>
            </w:r>
          </w:p>
          <w:p w:rsidR="00000000" w:rsidRPr="00A233A5" w:rsidP="00A233A5">
            <w:pPr>
              <w:pStyle w:val="ListBullet2"/>
            </w:pPr>
            <w:r w:rsidRPr="00A233A5">
              <w:t>Preparing for system stabilisation</w:t>
            </w:r>
          </w:p>
          <w:p w:rsidR="00000000" w:rsidRPr="00A233A5" w:rsidP="00A233A5">
            <w:pPr>
              <w:pStyle w:val="ListBullet2"/>
            </w:pPr>
            <w:r w:rsidRPr="00A233A5">
              <w:t>Stabilising and restoring system operations</w:t>
            </w:r>
          </w:p>
          <w:p w:rsidR="00000000" w:rsidRPr="00A233A5" w:rsidP="00A233A5">
            <w:pPr>
              <w:pStyle w:val="ListBullet2"/>
            </w:pPr>
            <w:r w:rsidRPr="00A233A5">
              <w:t>Coordination requirements</w:t>
            </w:r>
          </w:p>
          <w:p w:rsidR="00000000" w:rsidRPr="00A233A5" w:rsidP="00A233A5">
            <w:pPr>
              <w:pStyle w:val="ListBullet2"/>
            </w:pPr>
            <w:r w:rsidRPr="00A233A5">
              <w:t>Identifying and responding to abnormal system operating conditions</w:t>
            </w:r>
          </w:p>
          <w:p w:rsidR="00000000" w:rsidRPr="00A233A5" w:rsidP="00A233A5">
            <w:pPr>
              <w:pStyle w:val="ListBullet2"/>
            </w:pPr>
            <w:r w:rsidRPr="00A233A5">
              <w:t>Policies for system incident an</w:t>
            </w:r>
            <w:r w:rsidRPr="00A233A5">
              <w:t>d follow up procedures</w:t>
            </w:r>
          </w:p>
          <w:p w:rsidR="00000000" w:rsidRPr="00A233A5" w:rsidP="00A233A5">
            <w:pPr>
              <w:pStyle w:val="ListBullet2"/>
            </w:pPr>
            <w:r w:rsidRPr="00A233A5">
              <w:t>Generation/transmission capability limits</w:t>
            </w:r>
          </w:p>
          <w:p w:rsidR="00000000" w:rsidRPr="00A233A5" w:rsidP="00A233A5">
            <w:pPr>
              <w:pStyle w:val="ListBullet2"/>
            </w:pPr>
            <w:r w:rsidRPr="00A233A5">
              <w:t>Impact of actions</w:t>
            </w:r>
          </w:p>
          <w:p w:rsidR="00000000" w:rsidRPr="00A233A5" w:rsidP="00A233A5">
            <w:pPr>
              <w:pStyle w:val="ListBullet2"/>
            </w:pPr>
            <w:r w:rsidRPr="00A233A5">
              <w:t>Dealing with an unplanned event by drawing on essential knowledge and skills to provide appropriate solutions incorporated in the holistic assessment with the above listed items</w:t>
            </w:r>
          </w:p>
        </w:tc>
      </w:tr>
    </w:tbl>
    <w:p w:rsidR="00000000" w:rsidRPr="00A233A5" w:rsidP="00A233A5">
      <w:pPr>
        <w:pStyle w:val="BodyText"/>
      </w:pPr>
    </w:p>
    <w:tbl>
      <w:tblPr>
        <w:tblW w:w="0" w:type="auto"/>
        <w:tblLayout w:type="fixed"/>
        <w:tblCellMar>
          <w:left w:w="62" w:type="dxa"/>
          <w:right w:w="62" w:type="dxa"/>
        </w:tblCellMar>
        <w:tblLook w:val="0000"/>
      </w:tblPr>
      <w:tblGrid>
        <w:gridCol w:w="1890"/>
        <w:gridCol w:w="6570"/>
      </w:tblGrid>
      <w:tr w:rsidTr="007313C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233A5" w:rsidP="00A233A5">
            <w:pPr>
              <w:pStyle w:val="BodyText"/>
            </w:pPr>
            <w:r w:rsidRPr="00A233A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rPr>
                <w:rStyle w:val="SpecialBold"/>
              </w:rPr>
              <w:t>9.3)</w:t>
            </w:r>
          </w:p>
        </w:tc>
      </w:tr>
      <w:tr w:rsidTr="007313C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233A5" w:rsidP="00A233A5">
            <w:pPr>
              <w:pStyle w:val="BodyText"/>
            </w:pPr>
            <w:r w:rsidRPr="00A233A5">
              <w:t>This unit should be assessed as it relates to normal work practice using procedures, information and resources typical of a workplace. This should include:</w:t>
            </w:r>
          </w:p>
          <w:p w:rsidR="00000000" w:rsidRPr="00A233A5" w:rsidP="00A233A5">
            <w:pPr>
              <w:pStyle w:val="ListBullet"/>
            </w:pPr>
            <w:r w:rsidRPr="00A233A5">
              <w:t>OHS policy and work procedures and instructions.</w:t>
            </w:r>
          </w:p>
          <w:p w:rsidR="00000000" w:rsidRPr="00A233A5" w:rsidP="00A233A5">
            <w:pPr>
              <w:pStyle w:val="ListBullet"/>
            </w:pPr>
            <w:r w:rsidRPr="00A233A5">
              <w:t>Suitable work environment, facilities, equipment a</w:t>
            </w:r>
            <w:r w:rsidRPr="00A233A5">
              <w:t>nd materials to undertake actual work as prescribed by this unit.</w:t>
            </w:r>
          </w:p>
          <w:p w:rsidR="00000000" w:rsidRPr="00A233A5" w:rsidP="00A233A5">
            <w:pPr>
              <w:pStyle w:val="BodyText"/>
            </w:pPr>
            <w:r w:rsidRPr="00A233A5">
              <w:t>Competency Standards should be assessed in the workplace or simulated workplace and under the normal range of workplace conditions.</w:t>
            </w:r>
          </w:p>
          <w:p w:rsidR="00000000" w:rsidRPr="00A233A5" w:rsidP="00A233A5">
            <w:pPr>
              <w:pStyle w:val="BodyText"/>
            </w:pPr>
            <w:r w:rsidRPr="00A233A5">
              <w:t>Assessment of this unit will be supported with documentary</w:t>
            </w:r>
            <w:r w:rsidRPr="00A233A5">
              <w:t xml:space="preserve"> evidence, by means of endorsement stating type and application of work.</w:t>
            </w:r>
          </w:p>
          <w:p w:rsidR="00000000" w:rsidRPr="00A233A5" w:rsidP="00A233A5">
            <w:pPr>
              <w:pStyle w:val="BodyText"/>
            </w:pPr>
            <w:r w:rsidRPr="00A233A5">
              <w:t>In addition to the resources listed above in Context of assessment’, evidence should show competency working, in limited spaces, with different types of plant and equipment as well as</w:t>
            </w:r>
            <w:r w:rsidRPr="00A233A5">
              <w:t xml:space="preserve"> different structural/construction types and methods and in a variety of environments.</w:t>
            </w:r>
          </w:p>
        </w:tc>
      </w:tr>
    </w:tbl>
    <w:p w:rsidR="00000000" w:rsidRPr="00A233A5" w:rsidP="00A233A5">
      <w:pPr>
        <w:pStyle w:val="BodyText"/>
      </w:pPr>
    </w:p>
    <w:tbl>
      <w:tblPr>
        <w:tblW w:w="0" w:type="auto"/>
        <w:tblLayout w:type="fixed"/>
        <w:tblCellMar>
          <w:left w:w="62" w:type="dxa"/>
          <w:right w:w="62" w:type="dxa"/>
        </w:tblCellMar>
        <w:tblLook w:val="0000"/>
      </w:tblPr>
      <w:tblGrid>
        <w:gridCol w:w="1890"/>
        <w:gridCol w:w="6570"/>
      </w:tblGrid>
      <w:tr w:rsidTr="007313C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233A5" w:rsidP="00A233A5">
            <w:pPr>
              <w:pStyle w:val="BodyText"/>
            </w:pPr>
            <w:r w:rsidRPr="00A233A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rPr>
                <w:rStyle w:val="SpecialBold"/>
              </w:rPr>
              <w:t>9.4)</w:t>
            </w:r>
          </w:p>
        </w:tc>
      </w:tr>
      <w:tr w:rsidTr="007313C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233A5" w:rsidP="00A233A5">
            <w:pPr>
              <w:pStyle w:val="BodyText"/>
            </w:pPr>
            <w:r w:rsidRPr="00A233A5">
              <w:t>This unit shall be assessed by methods given in Section 1.3.00 Assessment Guidelines.</w:t>
            </w:r>
          </w:p>
          <w:p w:rsidR="00000000" w:rsidRPr="00A233A5" w:rsidP="00A233A5">
            <w:pPr>
              <w:pStyle w:val="BodyText"/>
            </w:pPr>
            <w:r w:rsidRPr="00A233A5">
              <w:t>Note: Competent performance with</w:t>
            </w:r>
            <w:r w:rsidRPr="00A233A5">
              <w:t xml:space="preserve"> inherent safe working practices is expected in the Industry to which this unit applies. This requires that the specified essential knowledge and associated skills are assessed in a structured environment which is primarily intended for learning/assessment</w:t>
            </w:r>
            <w:r w:rsidRPr="00A233A5">
              <w:t xml:space="preserve"> and incorporates all necessary equipment and facilities for learners to develop and demonstrate the essential knowledge and skills described in this unit.</w:t>
            </w:r>
          </w:p>
        </w:tc>
      </w:tr>
    </w:tbl>
    <w:p w:rsidR="00000000" w:rsidRPr="00A233A5" w:rsidP="00A233A5">
      <w:pPr>
        <w:pStyle w:val="BodyText"/>
      </w:pPr>
    </w:p>
    <w:tbl>
      <w:tblPr>
        <w:tblW w:w="0" w:type="auto"/>
        <w:tblLayout w:type="fixed"/>
        <w:tblCellMar>
          <w:left w:w="62" w:type="dxa"/>
          <w:right w:w="62" w:type="dxa"/>
        </w:tblCellMar>
        <w:tblLook w:val="0000"/>
      </w:tblPr>
      <w:tblGrid>
        <w:gridCol w:w="1890"/>
        <w:gridCol w:w="6570"/>
      </w:tblGrid>
      <w:tr w:rsidTr="007313C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233A5" w:rsidP="00A233A5">
            <w:pPr>
              <w:pStyle w:val="BodyText"/>
            </w:pPr>
            <w:r w:rsidRPr="00A233A5">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rPr>
                <w:rStyle w:val="SpecialBold"/>
              </w:rPr>
              <w:t>9.5)</w:t>
            </w:r>
          </w:p>
        </w:tc>
      </w:tr>
      <w:tr w:rsidTr="007313C0">
        <w:tblPrEx>
          <w:tblW w:w="0" w:type="auto"/>
          <w:tblLayout w:type="fixed"/>
          <w:tblCellMar>
            <w:left w:w="62" w:type="dxa"/>
            <w:right w:w="62" w:type="dxa"/>
          </w:tblCellMar>
          <w:tblLook w:val="0000"/>
        </w:tblPrEx>
        <w:trPr>
          <w:trHeight w:val="1550"/>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233A5" w:rsidP="00A233A5">
            <w:pPr>
              <w:pStyle w:val="BodyText"/>
            </w:pPr>
            <w:r w:rsidRPr="00A233A5">
              <w:t>There are no recommended concurrent</w:t>
            </w:r>
            <w:r w:rsidRPr="00A233A5">
              <w:t xml:space="preserve"> assessments with this unit, however in some cases efficiencies may be gained in terms of learning and assessment effort being concurrently managed with allied competency standard units where listed.</w:t>
            </w:r>
          </w:p>
          <w:p w:rsidR="00000000" w:rsidRPr="00A233A5" w:rsidP="00A233A5">
            <w:pPr>
              <w:pStyle w:val="BodyText"/>
            </w:pPr>
            <w:r w:rsidRPr="00A233A5">
              <w:t>Nil</w:t>
            </w:r>
            <w:r w:rsidRPr="00A233A5">
              <w:tab/>
            </w:r>
          </w:p>
        </w:tc>
      </w:tr>
    </w:tbl>
    <w:p w:rsidR="00000000" w:rsidRPr="00A233A5" w:rsidP="00A233A5">
      <w:pPr>
        <w:pStyle w:val="BodyText"/>
      </w:pPr>
    </w:p>
    <w:p w:rsidR="00000000" w:rsidRPr="00A233A5" w:rsidP="00A233A5">
      <w:pPr>
        <w:pStyle w:val="AllowPageBreak"/>
      </w:pPr>
    </w:p>
    <w:p w:rsidR="00000000" w:rsidRPr="00A233A5" w:rsidP="00A233A5">
      <w:pPr>
        <w:pStyle w:val="Heading1"/>
      </w:pPr>
      <w:bookmarkStart w:id="11" w:name="O_475605"/>
      <w:bookmarkEnd w:id="11"/>
      <w:r w:rsidRPr="00A233A5">
        <w:t>Range Statement</w:t>
      </w:r>
    </w:p>
    <w:tbl>
      <w:tblPr>
        <w:tblW w:w="0" w:type="auto"/>
        <w:tblLayout w:type="fixed"/>
        <w:tblCellMar>
          <w:left w:w="62" w:type="dxa"/>
          <w:right w:w="62" w:type="dxa"/>
        </w:tblCellMar>
        <w:tblLook w:val="0000"/>
      </w:tblPr>
      <w:tblGrid>
        <w:gridCol w:w="8460"/>
      </w:tblGrid>
      <w:tr w:rsidTr="007313C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rPr>
                <w:rStyle w:val="SpecialBold"/>
              </w:rPr>
              <w:t>RANGE STATEMENT</w:t>
            </w:r>
          </w:p>
        </w:tc>
      </w:tr>
      <w:tr w:rsidTr="007313C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233A5" w:rsidP="00A233A5">
            <w:pPr>
              <w:pStyle w:val="BodyText"/>
            </w:pPr>
            <w:r w:rsidRPr="00A233A5">
              <w:rPr>
                <w:rStyle w:val="SpecialBold"/>
              </w:rPr>
              <w:t>10)</w:t>
            </w:r>
            <w:r w:rsidRPr="00A233A5">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A233A5" w:rsidP="00A233A5">
            <w:pPr>
              <w:pStyle w:val="BodyText"/>
            </w:pPr>
            <w:r w:rsidRPr="00A233A5">
              <w:t>Safety standards may inclu</w:t>
            </w:r>
            <w:r w:rsidRPr="00A233A5">
              <w:t>de relevant sections of Occupational Health and Safety legislation, enterprise safety rules, relevant state and federal legislation, national standards for plant.</w:t>
            </w:r>
          </w:p>
          <w:p w:rsidR="00000000" w:rsidRPr="00A233A5" w:rsidP="00A233A5">
            <w:pPr>
              <w:pStyle w:val="BodyText"/>
            </w:pPr>
            <w:r w:rsidRPr="00A233A5">
              <w:t>Information and documentation sources may include verbal or written communications; enterpris</w:t>
            </w:r>
            <w:r w:rsidRPr="00A233A5">
              <w:t>e safety rules documentation; enterprise operating instructions; dedicated computer equipment; enterprise/site standing and operating instructions; enterprise log books; manufacturer operation and maintenance manuals; and equipment and alarm manuals</w:t>
            </w:r>
          </w:p>
          <w:p w:rsidR="00000000" w:rsidRPr="00A233A5" w:rsidP="00A233A5">
            <w:pPr>
              <w:pStyle w:val="BodyText"/>
            </w:pPr>
            <w:r w:rsidRPr="00A233A5">
              <w:t>Techni</w:t>
            </w:r>
            <w:r w:rsidRPr="00A233A5">
              <w:t>cal and operational indicators may include stimuli (audio, smell, touch, visual), local indicators and recorders, computers and alarms (visible and or audible).</w:t>
            </w:r>
          </w:p>
          <w:p w:rsidR="00000000" w:rsidRPr="00A233A5" w:rsidP="00A233A5">
            <w:pPr>
              <w:pStyle w:val="BodyText"/>
            </w:pPr>
            <w:r w:rsidRPr="00A233A5">
              <w:t>Communications may be by means of telephone, two way radio, pager, computer (electronic mail) a</w:t>
            </w:r>
            <w:r w:rsidRPr="00A233A5">
              <w:t>nd operating logs (written or verbal).</w:t>
            </w:r>
          </w:p>
          <w:p w:rsidR="00000000" w:rsidRPr="00A233A5" w:rsidP="00A233A5">
            <w:pPr>
              <w:pStyle w:val="BodyText"/>
            </w:pPr>
            <w:r w:rsidRPr="00A233A5">
              <w:t>Appropriate personnel, team members/other authorities may include supervisor/team leader or equivalent, power plant operations personnel or equivalent, technical and engineering officers or equivalent, maintenance sta</w:t>
            </w:r>
            <w:r w:rsidRPr="00A233A5">
              <w:t>ff, other operating staff or equivalent, system controller, field operators, restricted operators, emergency personnel, network controllers/coordinators, generation controllers, plant operators, field operators, support staff, fire service, police, ambulan</w:t>
            </w:r>
            <w:r w:rsidRPr="00A233A5">
              <w:t>ce, emergency services, enterprise and site representatives and independent power producers.</w:t>
            </w:r>
          </w:p>
          <w:p w:rsidR="00000000" w:rsidRPr="00A233A5" w:rsidP="00A233A5">
            <w:pPr>
              <w:pStyle w:val="BodyText"/>
            </w:pPr>
            <w:r w:rsidRPr="00A233A5">
              <w:t>Operating environment may be: remote from plant and equipment being operated (operation is assisted by remote indicators of plant status and other parameters monit</w:t>
            </w:r>
            <w:r w:rsidRPr="00A233A5">
              <w:t>ored), during inclement or otherwise harsh weather conditions, in wet/noisy/dusty areas or during night periods.</w:t>
            </w:r>
          </w:p>
          <w:p w:rsidR="00000000" w:rsidRPr="00A233A5" w:rsidP="00A233A5">
            <w:pPr>
              <w:pStyle w:val="BodyText"/>
            </w:pPr>
            <w:r w:rsidRPr="00A233A5">
              <w:t>Unit operations may include spurious faults in automatic systems, automatic systems operating out of range, failure of automatic system compone</w:t>
            </w:r>
            <w:r w:rsidRPr="00A233A5">
              <w:t>nts and routine plant movement.</w:t>
            </w:r>
          </w:p>
          <w:p w:rsidR="00000000" w:rsidRPr="00A233A5" w:rsidP="00A233A5">
            <w:pPr>
              <w:pStyle w:val="BodyText"/>
            </w:pPr>
            <w:r w:rsidRPr="00A233A5">
              <w:t>Types of incident may include localised black out, equipment fire, equipment leak, equipment faults/failure, accidents and life threatening situations</w:t>
            </w:r>
          </w:p>
          <w:p w:rsidR="00000000" w:rsidRPr="00A233A5" w:rsidP="00A233A5">
            <w:pPr>
              <w:pStyle w:val="BodyText"/>
            </w:pPr>
            <w:r w:rsidRPr="00A233A5">
              <w:t>System conditions may be: voltage profiles, spare plant, generation/trans</w:t>
            </w:r>
            <w:r w:rsidRPr="00A233A5">
              <w:t>mission capability limits, variation from normal trends and switching.</w:t>
            </w:r>
          </w:p>
          <w:p w:rsidR="00000000" w:rsidRPr="00A233A5" w:rsidP="00A233A5">
            <w:pPr>
              <w:pStyle w:val="BodyText"/>
            </w:pPr>
            <w:r w:rsidRPr="00A233A5">
              <w:t>Documentation may include policy, procedure, standard operating instructions, contingency plans and emergency switching programs.</w:t>
            </w:r>
          </w:p>
          <w:p w:rsidR="00000000" w:rsidRPr="00A233A5" w:rsidP="00A233A5">
            <w:pPr>
              <w:pStyle w:val="BodyText"/>
            </w:pPr>
            <w:r w:rsidRPr="00A233A5">
              <w:t>Liaison with key stake holders may be system/network co</w:t>
            </w:r>
            <w:r w:rsidRPr="00A233A5">
              <w:t>ntrollers/coordinators, oncoming shift change, field operators, support staff, patrolmen, generation plant operators, on call staff, police, fire and emergency services and private systems.</w:t>
            </w:r>
          </w:p>
          <w:p w:rsidR="00000000" w:rsidRPr="00A233A5" w:rsidP="00A233A5">
            <w:pPr>
              <w:pStyle w:val="BodyText"/>
            </w:pPr>
            <w:r w:rsidRPr="00A233A5">
              <w:t>Generic terms are used throughout this Training Package for vocati</w:t>
            </w:r>
            <w:r w:rsidRPr="00A233A5">
              <w:t>onal standard shall be regarded as part of the Range Statement in which competency is demonstrated. The definition of these and other terms are given in Section 2.1 Preliminary Information and Glossaries.</w:t>
            </w:r>
          </w:p>
        </w:tc>
      </w:tr>
    </w:tbl>
    <w:p w:rsidR="00000000" w:rsidRPr="00A233A5" w:rsidP="00A233A5">
      <w:pPr>
        <w:pStyle w:val="BodyText"/>
      </w:pPr>
    </w:p>
    <w:p w:rsidR="00000000" w:rsidRPr="00A233A5" w:rsidP="00A233A5">
      <w:pPr>
        <w:pStyle w:val="AllowPageBreak"/>
      </w:pPr>
    </w:p>
    <w:p w:rsidR="00000000" w:rsidRPr="00A233A5" w:rsidP="00A233A5">
      <w:pPr>
        <w:pStyle w:val="Heading1"/>
      </w:pPr>
      <w:bookmarkStart w:id="12" w:name="O_475608"/>
      <w:bookmarkEnd w:id="12"/>
      <w:r w:rsidRPr="00A233A5">
        <w:t>Unit Sector(s)</w:t>
      </w:r>
    </w:p>
    <w:p w:rsidR="00000000" w:rsidRPr="00A233A5" w:rsidP="00A233A5">
      <w:pPr>
        <w:pStyle w:val="BodyText"/>
      </w:pPr>
      <w:r w:rsidRPr="00A233A5">
        <w:t>Not applicable.</w:t>
      </w:r>
    </w:p>
    <w:p w:rsidR="00000000" w:rsidRPr="00A233A5" w:rsidP="00A233A5">
      <w:pPr>
        <w:pStyle w:val="AllowPageBreak"/>
      </w:pPr>
    </w:p>
    <w:p w:rsidR="00000000" w:rsidRPr="00A233A5" w:rsidP="00A233A5">
      <w:pPr>
        <w:pStyle w:val="Heading1"/>
      </w:pPr>
      <w:bookmarkStart w:id="13" w:name="O_475597"/>
      <w:bookmarkEnd w:id="13"/>
      <w:r w:rsidRPr="00A233A5">
        <w:t>Competency Field</w:t>
      </w:r>
    </w:p>
    <w:tbl>
      <w:tblPr>
        <w:tblW w:w="0" w:type="auto"/>
        <w:tblLayout w:type="fixed"/>
        <w:tblCellMar>
          <w:left w:w="62" w:type="dxa"/>
          <w:right w:w="62" w:type="dxa"/>
        </w:tblCellMar>
        <w:tblLook w:val="0000"/>
      </w:tblPr>
      <w:tblGrid>
        <w:gridCol w:w="2700"/>
        <w:gridCol w:w="5760"/>
      </w:tblGrid>
      <w:tr w:rsidTr="007313C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233A5" w:rsidP="00A233A5">
            <w:pPr>
              <w:pStyle w:val="BodyText"/>
            </w:pPr>
            <w:r w:rsidRPr="00A233A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233A5">
            <w:pPr>
              <w:pStyle w:val="BodyText"/>
              <w:rPr>
                <w:lang w:val="en-NZ"/>
              </w:rPr>
            </w:pPr>
            <w:r w:rsidRPr="00A233A5">
              <w:rPr>
                <w:rStyle w:val="SpecialBold"/>
              </w:rPr>
              <w:t xml:space="preserve">11) </w:t>
            </w:r>
          </w:p>
        </w:tc>
      </w:tr>
      <w:tr w:rsidTr="007313C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233A5" w:rsidP="00A233A5">
            <w:pPr>
              <w:pStyle w:val="BodyText"/>
            </w:pPr>
            <w:r w:rsidRPr="00A233A5">
              <w:t>Operations.</w:t>
            </w:r>
          </w:p>
        </w:tc>
      </w:tr>
    </w:tbl>
    <w:p w:rsidR="00000000" w:rsidRPr="00A233A5" w:rsidP="00A233A5">
      <w:pPr>
        <w:pStyle w:val="BodyText"/>
      </w:pPr>
    </w:p>
    <w:p w:rsidR="00000000" w:rsidRPr="00A233A5" w:rsidP="00A233A5"/>
    <w:sectPr w:rsidSect="00A233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3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13C0" w:rsidP="007313C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3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3C0" w:rsidP="00A233A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313C0" w:rsidP="00A233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313C0" w:rsidP="00A233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3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3A5" w:rsidRPr="007313C0" w:rsidP="007313C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3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3C0" w:rsidRPr="002D2AF8" w:rsidP="00A233A5">
    <w:pPr>
      <w:pStyle w:val="Header"/>
      <w:framePr w:wrap="around"/>
    </w:pPr>
    <w:r>
      <w:fldChar w:fldCharType="begin"/>
    </w:r>
    <w:r>
      <w:instrText xml:space="preserve"> TITLE   \* MERGEFORMAT </w:instrText>
    </w:r>
    <w:r>
      <w:fldChar w:fldCharType="separate"/>
    </w:r>
    <w:r>
      <w:t>UEPOPS369A Respond to a critical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7313C0" w:rsidP="00A233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7E24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CCE9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92CD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3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33A5"/>
    <w:pPr>
      <w:spacing w:before="360" w:after="60"/>
      <w:outlineLvl w:val="0"/>
    </w:pPr>
    <w:rPr>
      <w:sz w:val="32"/>
    </w:rPr>
  </w:style>
  <w:style w:type="paragraph" w:styleId="Heading2">
    <w:name w:val="heading 2"/>
    <w:basedOn w:val="HeadingBase"/>
    <w:next w:val="BodyText"/>
    <w:link w:val="Heading2Char"/>
    <w:qFormat/>
    <w:rsid w:val="00A233A5"/>
    <w:pPr>
      <w:keepLines/>
      <w:spacing w:before="240" w:after="120"/>
      <w:outlineLvl w:val="1"/>
    </w:pPr>
    <w:rPr>
      <w:sz w:val="28"/>
      <w:szCs w:val="40"/>
    </w:rPr>
  </w:style>
  <w:style w:type="paragraph" w:styleId="Heading3">
    <w:name w:val="heading 3"/>
    <w:basedOn w:val="HeadingBase"/>
    <w:next w:val="BodyText"/>
    <w:link w:val="Heading3Char"/>
    <w:qFormat/>
    <w:rsid w:val="00A233A5"/>
    <w:pPr>
      <w:spacing w:before="180" w:after="120"/>
      <w:outlineLvl w:val="2"/>
    </w:pPr>
    <w:rPr>
      <w:spacing w:val="-10"/>
      <w:kern w:val="32"/>
    </w:rPr>
  </w:style>
  <w:style w:type="paragraph" w:styleId="Heading4">
    <w:name w:val="heading 4"/>
    <w:basedOn w:val="HeadingBase"/>
    <w:next w:val="BodyText"/>
    <w:link w:val="Heading4Char"/>
    <w:qFormat/>
    <w:rsid w:val="00A233A5"/>
    <w:pPr>
      <w:spacing w:before="160" w:after="120"/>
      <w:outlineLvl w:val="3"/>
    </w:pPr>
    <w:rPr>
      <w:sz w:val="22"/>
    </w:rPr>
  </w:style>
  <w:style w:type="paragraph" w:styleId="Heading5">
    <w:name w:val="heading 5"/>
    <w:basedOn w:val="HeadingBase"/>
    <w:next w:val="Normal"/>
    <w:link w:val="Heading5Char"/>
    <w:qFormat/>
    <w:rsid w:val="00A233A5"/>
    <w:pPr>
      <w:spacing w:before="80"/>
      <w:outlineLvl w:val="4"/>
    </w:pPr>
    <w:rPr>
      <w:color w:val="918585"/>
      <w:sz w:val="20"/>
    </w:rPr>
  </w:style>
  <w:style w:type="paragraph" w:styleId="Heading6">
    <w:name w:val="heading 6"/>
    <w:basedOn w:val="HeadingBase"/>
    <w:next w:val="Normal"/>
    <w:link w:val="Heading6Char"/>
    <w:qFormat/>
    <w:rsid w:val="00A233A5"/>
    <w:pPr>
      <w:spacing w:before="60"/>
      <w:outlineLvl w:val="5"/>
    </w:pPr>
    <w:rPr>
      <w:color w:val="918585"/>
      <w:sz w:val="20"/>
    </w:rPr>
  </w:style>
  <w:style w:type="paragraph" w:styleId="Heading7">
    <w:name w:val="heading 7"/>
    <w:basedOn w:val="Normal"/>
    <w:next w:val="Normal"/>
    <w:link w:val="Heading7Char"/>
    <w:qFormat/>
    <w:rsid w:val="00A233A5"/>
    <w:pPr>
      <w:ind w:left="720"/>
      <w:outlineLvl w:val="6"/>
    </w:pPr>
    <w:rPr>
      <w:i/>
    </w:rPr>
  </w:style>
  <w:style w:type="paragraph" w:styleId="Heading8">
    <w:name w:val="heading 8"/>
    <w:basedOn w:val="Normal"/>
    <w:next w:val="Normal"/>
    <w:link w:val="Heading8Char"/>
    <w:qFormat/>
    <w:rsid w:val="00A233A5"/>
    <w:pPr>
      <w:ind w:left="720"/>
      <w:outlineLvl w:val="7"/>
    </w:pPr>
    <w:rPr>
      <w:i/>
    </w:rPr>
  </w:style>
  <w:style w:type="paragraph" w:styleId="Heading9">
    <w:name w:val="heading 9"/>
    <w:basedOn w:val="Normal"/>
    <w:next w:val="Normal"/>
    <w:link w:val="Heading9Char"/>
    <w:qFormat/>
    <w:rsid w:val="00A233A5"/>
    <w:pPr>
      <w:ind w:left="720"/>
      <w:outlineLvl w:val="8"/>
    </w:pPr>
    <w:rPr>
      <w:i/>
    </w:rPr>
  </w:style>
  <w:style w:type="character" w:default="1" w:styleId="DefaultParagraphFont">
    <w:name w:val="Default Paragraph Font"/>
    <w:uiPriority w:val="1"/>
    <w:unhideWhenUsed/>
    <w:rsid w:val="00A233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33A5"/>
  </w:style>
  <w:style w:type="character" w:customStyle="1" w:styleId="Heading1Char">
    <w:name w:val="Heading 1 Char"/>
    <w:basedOn w:val="DefaultParagraphFont"/>
    <w:link w:val="Heading1"/>
    <w:rsid w:val="00A233A5"/>
    <w:rPr>
      <w:rFonts w:ascii="Times New Roman" w:eastAsia="Times New Roman" w:hAnsi="Times New Roman" w:cs="Times New Roman"/>
      <w:b/>
      <w:sz w:val="32"/>
      <w:szCs w:val="20"/>
      <w:lang w:eastAsia="en-US"/>
    </w:rPr>
  </w:style>
  <w:style w:type="paragraph" w:styleId="BodyText">
    <w:name w:val="Body Text"/>
    <w:basedOn w:val="Normal"/>
    <w:link w:val="BodyTextChar"/>
    <w:rsid w:val="00A233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33A5"/>
    <w:rPr>
      <w:rFonts w:ascii="Times New Roman" w:eastAsia="Times New Roman" w:hAnsi="Times New Roman" w:cs="Times New Roman"/>
      <w:sz w:val="24"/>
      <w:lang w:eastAsia="en-US"/>
    </w:rPr>
  </w:style>
  <w:style w:type="paragraph" w:styleId="Footer">
    <w:name w:val="footer"/>
    <w:basedOn w:val="Normal"/>
    <w:link w:val="FooterChar"/>
    <w:rsid w:val="00A233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33A5"/>
    <w:rPr>
      <w:rFonts w:ascii="Times New Roman" w:eastAsia="Times New Roman" w:hAnsi="Times New Roman" w:cs="Times New Roman"/>
      <w:sz w:val="16"/>
      <w:lang w:eastAsia="en-US"/>
    </w:rPr>
  </w:style>
  <w:style w:type="paragraph" w:styleId="ListBullet">
    <w:name w:val="List Bullet"/>
    <w:basedOn w:val="List"/>
    <w:rsid w:val="00A233A5"/>
    <w:pPr>
      <w:numPr>
        <w:numId w:val="13"/>
      </w:numPr>
      <w:tabs>
        <w:tab w:val="clear" w:pos="340"/>
      </w:tabs>
      <w:spacing w:before="40" w:after="40"/>
    </w:pPr>
  </w:style>
  <w:style w:type="character" w:customStyle="1" w:styleId="SpecialBold">
    <w:name w:val="Special Bold"/>
    <w:basedOn w:val="DefaultParagraphFont"/>
    <w:rsid w:val="00A233A5"/>
    <w:rPr>
      <w:b/>
      <w:spacing w:val="0"/>
    </w:rPr>
  </w:style>
  <w:style w:type="paragraph" w:styleId="ListBullet2">
    <w:name w:val="List Bullet 2"/>
    <w:basedOn w:val="List2"/>
    <w:rsid w:val="00A233A5"/>
    <w:pPr>
      <w:numPr>
        <w:numId w:val="14"/>
      </w:numPr>
      <w:tabs>
        <w:tab w:val="clear" w:pos="680"/>
      </w:tabs>
    </w:pPr>
  </w:style>
  <w:style w:type="paragraph" w:customStyle="1" w:styleId="SuperHeading">
    <w:name w:val="SuperHeading"/>
    <w:basedOn w:val="Normal"/>
    <w:rsid w:val="00A233A5"/>
    <w:pPr>
      <w:spacing w:before="240" w:after="120"/>
      <w:outlineLvl w:val="0"/>
    </w:pPr>
    <w:rPr>
      <w:rFonts w:ascii="Times New Roman" w:hAnsi="Times New Roman"/>
      <w:b/>
      <w:sz w:val="28"/>
    </w:rPr>
  </w:style>
  <w:style w:type="paragraph" w:customStyle="1" w:styleId="AllowPageBreak">
    <w:name w:val="AllowPageBreak"/>
    <w:rsid w:val="00A233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33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33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33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33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33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33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33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33A5"/>
    <w:rPr>
      <w:rFonts w:ascii="Courier New" w:eastAsia="Times New Roman" w:hAnsi="Courier New" w:cs="Times New Roman"/>
      <w:i/>
      <w:szCs w:val="20"/>
      <w:lang w:eastAsia="en-US"/>
    </w:rPr>
  </w:style>
  <w:style w:type="paragraph" w:customStyle="1" w:styleId="HeadingBase">
    <w:name w:val="Heading Base"/>
    <w:rsid w:val="00A233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33A5"/>
    <w:pPr>
      <w:tabs>
        <w:tab w:val="right" w:leader="dot" w:pos="9072"/>
      </w:tabs>
      <w:ind w:left="567"/>
    </w:pPr>
    <w:rPr>
      <w:szCs w:val="22"/>
    </w:rPr>
  </w:style>
  <w:style w:type="paragraph" w:customStyle="1" w:styleId="TOCBase">
    <w:name w:val="TOC Base"/>
    <w:rsid w:val="00A233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33A5"/>
    <w:pPr>
      <w:tabs>
        <w:tab w:val="right" w:leader="dot" w:pos="9072"/>
      </w:tabs>
      <w:spacing w:before="40" w:after="40"/>
      <w:ind w:left="284"/>
    </w:pPr>
    <w:rPr>
      <w:rFonts w:ascii="Times New Roman" w:hAnsi="Times New Roman"/>
    </w:rPr>
  </w:style>
  <w:style w:type="paragraph" w:styleId="TOC1">
    <w:name w:val="toc 1"/>
    <w:basedOn w:val="TOCBase"/>
    <w:next w:val="Normal"/>
    <w:rsid w:val="00A233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33A5"/>
    <w:pPr>
      <w:spacing w:before="5040"/>
      <w:jc w:val="center"/>
    </w:pPr>
    <w:rPr>
      <w:sz w:val="48"/>
      <w:szCs w:val="72"/>
      <w:lang w:val="en-US"/>
    </w:rPr>
  </w:style>
  <w:style w:type="character" w:customStyle="1" w:styleId="TitleChar">
    <w:name w:val="Title Char"/>
    <w:basedOn w:val="DefaultParagraphFont"/>
    <w:link w:val="Title"/>
    <w:rsid w:val="00A233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33A5"/>
    <w:pPr>
      <w:tabs>
        <w:tab w:val="left" w:pos="3600"/>
        <w:tab w:val="left" w:pos="3958"/>
      </w:tabs>
    </w:pPr>
  </w:style>
  <w:style w:type="paragraph" w:styleId="List">
    <w:name w:val="List"/>
    <w:basedOn w:val="BodyText"/>
    <w:next w:val="BodyText"/>
    <w:rsid w:val="00A233A5"/>
    <w:pPr>
      <w:tabs>
        <w:tab w:val="left" w:pos="340"/>
      </w:tabs>
      <w:spacing w:before="60" w:after="60"/>
      <w:ind w:left="340" w:hanging="340"/>
    </w:pPr>
  </w:style>
  <w:style w:type="paragraph" w:customStyle="1" w:styleId="Note">
    <w:name w:val="Note"/>
    <w:basedOn w:val="BodyText"/>
    <w:rsid w:val="00A233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33A5"/>
    <w:pPr>
      <w:framePr w:wrap="auto" w:hAnchor="text" w:y="6049"/>
    </w:pPr>
    <w:rPr>
      <w:color w:val="000000"/>
      <w:sz w:val="40"/>
    </w:rPr>
  </w:style>
  <w:style w:type="paragraph" w:customStyle="1" w:styleId="TOCTitle">
    <w:name w:val="TOCTitle"/>
    <w:basedOn w:val="Heading1"/>
    <w:rsid w:val="00A233A5"/>
    <w:pPr>
      <w:spacing w:after="240"/>
      <w:jc w:val="center"/>
      <w:outlineLvl w:val="9"/>
    </w:pPr>
    <w:rPr>
      <w:caps/>
    </w:rPr>
  </w:style>
  <w:style w:type="paragraph" w:customStyle="1" w:styleId="Version">
    <w:name w:val="Version"/>
    <w:rsid w:val="00A233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33A5"/>
    <w:pPr>
      <w:keepNext w:val="0"/>
      <w:tabs>
        <w:tab w:val="right" w:pos="4176"/>
      </w:tabs>
      <w:ind w:left="198" w:hanging="198"/>
    </w:pPr>
    <w:rPr>
      <w:rFonts w:ascii="Garamond" w:hAnsi="Garamond"/>
    </w:rPr>
  </w:style>
  <w:style w:type="paragraph" w:styleId="IndexHeading">
    <w:name w:val="index heading"/>
    <w:basedOn w:val="Normal"/>
    <w:next w:val="Index1"/>
    <w:semiHidden/>
    <w:rsid w:val="00A233A5"/>
    <w:pPr>
      <w:spacing w:before="120" w:after="120"/>
    </w:pPr>
    <w:rPr>
      <w:rFonts w:ascii="Arial" w:hAnsi="Arial"/>
      <w:b/>
      <w:color w:val="918585"/>
      <w:sz w:val="24"/>
    </w:rPr>
  </w:style>
  <w:style w:type="paragraph" w:styleId="Header">
    <w:name w:val="header"/>
    <w:basedOn w:val="Normal"/>
    <w:link w:val="HeaderChar"/>
    <w:rsid w:val="00A233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33A5"/>
    <w:rPr>
      <w:rFonts w:ascii="Times New Roman" w:eastAsia="Times New Roman" w:hAnsi="Times New Roman" w:cs="Times New Roman"/>
      <w:sz w:val="16"/>
      <w:szCs w:val="20"/>
      <w:lang w:val="en-GB" w:eastAsia="en-US"/>
    </w:rPr>
  </w:style>
  <w:style w:type="paragraph" w:customStyle="1" w:styleId="Chapter">
    <w:name w:val="Chapter"/>
    <w:basedOn w:val="Normal"/>
    <w:rsid w:val="00A233A5"/>
    <w:pPr>
      <w:spacing w:before="240"/>
    </w:pPr>
    <w:rPr>
      <w:rFonts w:ascii="Times New Roman" w:hAnsi="Times New Roman"/>
      <w:smallCaps/>
      <w:spacing w:val="80"/>
      <w:sz w:val="28"/>
    </w:rPr>
  </w:style>
  <w:style w:type="paragraph" w:customStyle="1" w:styleId="InChapter">
    <w:name w:val="InChapter"/>
    <w:basedOn w:val="Heading3"/>
    <w:rsid w:val="00A233A5"/>
    <w:pPr>
      <w:spacing w:after="240"/>
      <w:outlineLvl w:val="9"/>
    </w:pPr>
    <w:rPr>
      <w:noProof/>
    </w:rPr>
  </w:style>
  <w:style w:type="paragraph" w:styleId="Index2">
    <w:name w:val="index 2"/>
    <w:basedOn w:val="Normal"/>
    <w:next w:val="Normal"/>
    <w:semiHidden/>
    <w:rsid w:val="00A233A5"/>
    <w:pPr>
      <w:tabs>
        <w:tab w:val="right" w:pos="4176"/>
      </w:tabs>
      <w:ind w:left="568" w:hanging="284"/>
    </w:pPr>
    <w:rPr>
      <w:rFonts w:ascii="Garamond" w:hAnsi="Garamond"/>
    </w:rPr>
  </w:style>
  <w:style w:type="paragraph" w:customStyle="1" w:styleId="Byline">
    <w:name w:val="Byline"/>
    <w:rsid w:val="00A233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33A5"/>
    <w:pPr>
      <w:tabs>
        <w:tab w:val="clear" w:pos="3600"/>
        <w:tab w:val="clear" w:pos="3958"/>
      </w:tabs>
      <w:jc w:val="right"/>
    </w:pPr>
  </w:style>
  <w:style w:type="character" w:styleId="Emphasis">
    <w:name w:val="Emphasis"/>
    <w:basedOn w:val="DefaultParagraphFont"/>
    <w:qFormat/>
    <w:rsid w:val="00A233A5"/>
    <w:rPr>
      <w:i/>
    </w:rPr>
  </w:style>
  <w:style w:type="paragraph" w:styleId="Caption">
    <w:name w:val="caption"/>
    <w:basedOn w:val="BodyText"/>
    <w:next w:val="Normal"/>
    <w:qFormat/>
    <w:rsid w:val="00A233A5"/>
    <w:pPr>
      <w:framePr w:w="2268" w:hSpace="181" w:vSpace="181" w:wrap="around" w:vAnchor="text" w:hAnchor="page" w:x="1135" w:y="285" w:anchorLock="1"/>
    </w:pPr>
    <w:rPr>
      <w:i/>
    </w:rPr>
  </w:style>
  <w:style w:type="paragraph" w:customStyle="1" w:styleId="MiniTOCTitle">
    <w:name w:val="MiniTOCTitle"/>
    <w:basedOn w:val="Heading4"/>
    <w:rsid w:val="00A233A5"/>
    <w:pPr>
      <w:spacing w:before="240"/>
      <w:outlineLvl w:val="9"/>
    </w:pPr>
    <w:rPr>
      <w:noProof/>
      <w:sz w:val="24"/>
    </w:rPr>
  </w:style>
  <w:style w:type="paragraph" w:customStyle="1" w:styleId="MiniTOCItem">
    <w:name w:val="MiniTOCItem"/>
    <w:basedOn w:val="ListBullet"/>
    <w:rsid w:val="00A233A5"/>
    <w:pPr>
      <w:numPr>
        <w:numId w:val="0"/>
      </w:numPr>
      <w:tabs>
        <w:tab w:val="right" w:leader="dot" w:pos="6521"/>
      </w:tabs>
      <w:spacing w:before="0" w:after="0"/>
    </w:pPr>
  </w:style>
  <w:style w:type="paragraph" w:customStyle="1" w:styleId="TOFTitle">
    <w:name w:val="TOFTitle"/>
    <w:basedOn w:val="TOCTitle"/>
    <w:rsid w:val="00A233A5"/>
  </w:style>
  <w:style w:type="paragraph" w:styleId="TableofFigures">
    <w:name w:val="table of figures"/>
    <w:basedOn w:val="Normal"/>
    <w:next w:val="Normal"/>
    <w:semiHidden/>
    <w:rsid w:val="00A233A5"/>
    <w:pPr>
      <w:tabs>
        <w:tab w:val="right" w:leader="dot" w:pos="9072"/>
      </w:tabs>
      <w:ind w:left="970" w:hanging="403"/>
    </w:pPr>
    <w:rPr>
      <w:rFonts w:ascii="Times New Roman" w:hAnsi="Times New Roman"/>
      <w:b/>
    </w:rPr>
  </w:style>
  <w:style w:type="paragraph" w:styleId="ListNumber">
    <w:name w:val="List Number"/>
    <w:basedOn w:val="List"/>
    <w:rsid w:val="00A233A5"/>
    <w:pPr>
      <w:numPr>
        <w:numId w:val="11"/>
      </w:numPr>
    </w:pPr>
  </w:style>
  <w:style w:type="character" w:customStyle="1" w:styleId="WingdingSymbols">
    <w:name w:val="Wingding Symbols"/>
    <w:rsid w:val="00A233A5"/>
    <w:rPr>
      <w:rFonts w:ascii="Wingdings" w:hAnsi="Wingdings"/>
    </w:rPr>
  </w:style>
  <w:style w:type="paragraph" w:customStyle="1" w:styleId="TableHeading">
    <w:name w:val="Table Heading"/>
    <w:basedOn w:val="HeadingBase"/>
    <w:rsid w:val="00A233A5"/>
    <w:pPr>
      <w:keepLines/>
      <w:pBdr>
        <w:bottom w:val="single" w:sz="6" w:space="1" w:color="918585"/>
      </w:pBdr>
      <w:spacing w:before="240"/>
    </w:pPr>
  </w:style>
  <w:style w:type="character" w:customStyle="1" w:styleId="HotSpot">
    <w:name w:val="HotSpot"/>
    <w:rsid w:val="00A233A5"/>
    <w:rPr>
      <w:color w:val="0033CC"/>
      <w:u w:val="none"/>
    </w:rPr>
  </w:style>
  <w:style w:type="paragraph" w:customStyle="1" w:styleId="BodyTextRight">
    <w:name w:val="Body Text Right"/>
    <w:basedOn w:val="BodyText"/>
    <w:rsid w:val="00A233A5"/>
    <w:pPr>
      <w:spacing w:before="0" w:after="0"/>
      <w:jc w:val="right"/>
    </w:pPr>
  </w:style>
  <w:style w:type="paragraph" w:styleId="Index3">
    <w:name w:val="index 3"/>
    <w:basedOn w:val="ListNumber2"/>
    <w:next w:val="Normal"/>
    <w:semiHidden/>
    <w:rsid w:val="00A233A5"/>
    <w:pPr>
      <w:numPr>
        <w:numId w:val="0"/>
      </w:numPr>
      <w:tabs>
        <w:tab w:val="right" w:leader="dot" w:pos="4176"/>
      </w:tabs>
    </w:pPr>
  </w:style>
  <w:style w:type="paragraph" w:styleId="ListNumber2">
    <w:name w:val="List Number 2"/>
    <w:basedOn w:val="List2"/>
    <w:rsid w:val="00A233A5"/>
    <w:pPr>
      <w:numPr>
        <w:numId w:val="10"/>
      </w:numPr>
      <w:tabs>
        <w:tab w:val="clear" w:pos="1060"/>
      </w:tabs>
    </w:pPr>
  </w:style>
  <w:style w:type="paragraph" w:customStyle="1" w:styleId="MarginNote">
    <w:name w:val="Margin Note"/>
    <w:basedOn w:val="BodyText"/>
    <w:rsid w:val="00A233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33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33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33A5"/>
    <w:rPr>
      <w:sz w:val="32"/>
    </w:rPr>
  </w:style>
  <w:style w:type="paragraph" w:customStyle="1" w:styleId="HeadingProcedure">
    <w:name w:val="Heading Procedure"/>
    <w:basedOn w:val="HeadingBase"/>
    <w:next w:val="Normal"/>
    <w:rsid w:val="00A233A5"/>
    <w:pPr>
      <w:tabs>
        <w:tab w:val="left" w:pos="0"/>
      </w:tabs>
      <w:spacing w:before="120" w:after="60"/>
    </w:pPr>
    <w:rPr>
      <w:i/>
      <w:color w:val="918585"/>
      <w:sz w:val="22"/>
    </w:rPr>
  </w:style>
  <w:style w:type="paragraph" w:customStyle="1" w:styleId="TableBodyText">
    <w:name w:val="Table Body Text"/>
    <w:basedOn w:val="BodyText"/>
    <w:rsid w:val="00A233A5"/>
    <w:pPr>
      <w:spacing w:before="60" w:after="60"/>
    </w:pPr>
  </w:style>
  <w:style w:type="paragraph" w:styleId="ListContinue">
    <w:name w:val="List Continue"/>
    <w:basedOn w:val="List"/>
    <w:rsid w:val="00A233A5"/>
    <w:pPr>
      <w:ind w:firstLine="0"/>
    </w:pPr>
  </w:style>
  <w:style w:type="paragraph" w:customStyle="1" w:styleId="ListNote">
    <w:name w:val="List Note"/>
    <w:basedOn w:val="List"/>
    <w:rsid w:val="00A233A5"/>
    <w:pPr>
      <w:pBdr>
        <w:top w:val="single" w:sz="6" w:space="2" w:color="918585"/>
        <w:bottom w:val="single" w:sz="6" w:space="2" w:color="918585"/>
      </w:pBdr>
      <w:tabs>
        <w:tab w:val="left" w:pos="1021"/>
      </w:tabs>
      <w:ind w:firstLine="0"/>
    </w:pPr>
  </w:style>
  <w:style w:type="paragraph" w:customStyle="1" w:styleId="Warning">
    <w:name w:val="Warning"/>
    <w:basedOn w:val="BodyText"/>
    <w:rsid w:val="00A233A5"/>
    <w:pPr>
      <w:shd w:val="clear" w:color="auto" w:fill="D9D9D9"/>
      <w:tabs>
        <w:tab w:val="left" w:pos="992"/>
      </w:tabs>
      <w:ind w:left="119" w:right="119"/>
    </w:pPr>
    <w:rPr>
      <w:sz w:val="20"/>
    </w:rPr>
  </w:style>
  <w:style w:type="paragraph" w:customStyle="1" w:styleId="MarginIcons">
    <w:name w:val="Margin Icons"/>
    <w:basedOn w:val="BodyText"/>
    <w:rsid w:val="00A233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33A5"/>
    <w:rPr>
      <w:rFonts w:ascii="Courier New" w:hAnsi="Courier New"/>
    </w:rPr>
  </w:style>
  <w:style w:type="paragraph" w:customStyle="1" w:styleId="NoteBullet">
    <w:name w:val="Note Bullet"/>
    <w:basedOn w:val="Note"/>
    <w:rsid w:val="00A233A5"/>
    <w:pPr>
      <w:tabs>
        <w:tab w:val="clear" w:pos="680"/>
      </w:tabs>
      <w:spacing w:before="60" w:after="60"/>
    </w:pPr>
  </w:style>
  <w:style w:type="paragraph" w:customStyle="1" w:styleId="SubHeading2">
    <w:name w:val="SubHeading2"/>
    <w:basedOn w:val="HeadingBase"/>
    <w:rsid w:val="00A233A5"/>
    <w:pPr>
      <w:spacing w:before="240" w:after="60"/>
    </w:pPr>
    <w:rPr>
      <w:sz w:val="20"/>
    </w:rPr>
  </w:style>
  <w:style w:type="paragraph" w:customStyle="1" w:styleId="SubHeading1">
    <w:name w:val="SubHeading1"/>
    <w:basedOn w:val="HeadingBase"/>
    <w:rsid w:val="00A233A5"/>
    <w:pPr>
      <w:spacing w:before="240" w:after="60"/>
    </w:pPr>
    <w:rPr>
      <w:color w:val="918585"/>
      <w:sz w:val="22"/>
    </w:rPr>
  </w:style>
  <w:style w:type="paragraph" w:customStyle="1" w:styleId="SideHeading">
    <w:name w:val="Side Heading"/>
    <w:basedOn w:val="HeadingBase"/>
    <w:rsid w:val="00A233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33A5"/>
    <w:pPr>
      <w:numPr>
        <w:numId w:val="12"/>
      </w:numPr>
    </w:pPr>
  </w:style>
  <w:style w:type="paragraph" w:styleId="PlainText">
    <w:name w:val="Plain Text"/>
    <w:basedOn w:val="Normal"/>
    <w:link w:val="PlainTextChar"/>
    <w:rsid w:val="00A233A5"/>
    <w:rPr>
      <w:sz w:val="20"/>
    </w:rPr>
  </w:style>
  <w:style w:type="character" w:customStyle="1" w:styleId="PlainTextChar">
    <w:name w:val="Plain Text Char"/>
    <w:basedOn w:val="DefaultParagraphFont"/>
    <w:link w:val="PlainText"/>
    <w:rsid w:val="00A233A5"/>
    <w:rPr>
      <w:rFonts w:ascii="Courier New" w:eastAsia="Times New Roman" w:hAnsi="Courier New" w:cs="Times New Roman"/>
      <w:sz w:val="20"/>
      <w:szCs w:val="20"/>
      <w:lang w:eastAsia="en-US"/>
    </w:rPr>
  </w:style>
  <w:style w:type="character" w:customStyle="1" w:styleId="MenuOption">
    <w:name w:val="Menu Option"/>
    <w:basedOn w:val="DefaultParagraphFont"/>
    <w:rsid w:val="00A233A5"/>
    <w:rPr>
      <w:b/>
      <w:smallCaps/>
    </w:rPr>
  </w:style>
  <w:style w:type="paragraph" w:customStyle="1" w:styleId="TableListNumber">
    <w:name w:val="Table List Number"/>
    <w:basedOn w:val="ListNumber"/>
    <w:rsid w:val="00A233A5"/>
    <w:pPr>
      <w:numPr>
        <w:numId w:val="0"/>
      </w:numPr>
    </w:pPr>
  </w:style>
  <w:style w:type="paragraph" w:styleId="TOC4">
    <w:name w:val="toc 4"/>
    <w:basedOn w:val="TOCBase"/>
    <w:next w:val="Normal"/>
    <w:semiHidden/>
    <w:rsid w:val="00A233A5"/>
    <w:pPr>
      <w:tabs>
        <w:tab w:val="right" w:leader="dot" w:pos="9071"/>
      </w:tabs>
      <w:ind w:left="1701"/>
    </w:pPr>
  </w:style>
  <w:style w:type="paragraph" w:customStyle="1" w:styleId="ListAlpha">
    <w:name w:val="List Alpha"/>
    <w:basedOn w:val="List"/>
    <w:rsid w:val="00A233A5"/>
    <w:pPr>
      <w:numPr>
        <w:numId w:val="9"/>
      </w:numPr>
    </w:pPr>
  </w:style>
  <w:style w:type="paragraph" w:customStyle="1" w:styleId="ListAlpha2">
    <w:name w:val="List Alpha 2"/>
    <w:basedOn w:val="List2"/>
    <w:rsid w:val="00A233A5"/>
    <w:pPr>
      <w:numPr>
        <w:numId w:val="8"/>
      </w:numPr>
    </w:pPr>
  </w:style>
  <w:style w:type="paragraph" w:styleId="List2">
    <w:name w:val="List 2"/>
    <w:basedOn w:val="BodyText"/>
    <w:rsid w:val="00A233A5"/>
    <w:pPr>
      <w:tabs>
        <w:tab w:val="left" w:pos="680"/>
      </w:tabs>
      <w:spacing w:before="60" w:after="60"/>
      <w:ind w:left="680" w:hanging="340"/>
    </w:pPr>
  </w:style>
  <w:style w:type="paragraph" w:styleId="List3">
    <w:name w:val="List 3"/>
    <w:basedOn w:val="BodyText"/>
    <w:rsid w:val="00A233A5"/>
    <w:pPr>
      <w:tabs>
        <w:tab w:val="left" w:pos="1021"/>
      </w:tabs>
      <w:spacing w:before="60" w:after="60"/>
      <w:ind w:left="1020" w:hanging="340"/>
    </w:pPr>
  </w:style>
  <w:style w:type="paragraph" w:styleId="List4">
    <w:name w:val="List 4"/>
    <w:basedOn w:val="BodyText"/>
    <w:rsid w:val="00A233A5"/>
    <w:pPr>
      <w:tabs>
        <w:tab w:val="left" w:pos="1361"/>
      </w:tabs>
      <w:spacing w:before="60" w:after="60"/>
      <w:ind w:left="1361" w:hanging="340"/>
    </w:pPr>
  </w:style>
  <w:style w:type="paragraph" w:styleId="List5">
    <w:name w:val="List 5"/>
    <w:basedOn w:val="BodyText"/>
    <w:rsid w:val="00A233A5"/>
    <w:pPr>
      <w:tabs>
        <w:tab w:val="left" w:pos="1701"/>
      </w:tabs>
      <w:spacing w:before="60" w:after="60"/>
      <w:ind w:left="1701" w:hanging="340"/>
    </w:pPr>
  </w:style>
  <w:style w:type="paragraph" w:styleId="ListBullet3">
    <w:name w:val="List Bullet 3"/>
    <w:basedOn w:val="List3"/>
    <w:rsid w:val="00A233A5"/>
    <w:pPr>
      <w:numPr>
        <w:numId w:val="15"/>
      </w:numPr>
      <w:tabs>
        <w:tab w:val="clear" w:pos="1021"/>
      </w:tabs>
      <w:ind w:left="1037" w:hanging="357"/>
    </w:pPr>
  </w:style>
  <w:style w:type="paragraph" w:styleId="ListBullet4">
    <w:name w:val="List Bullet 4"/>
    <w:basedOn w:val="List4"/>
    <w:rsid w:val="00A233A5"/>
    <w:pPr>
      <w:numPr>
        <w:numId w:val="3"/>
      </w:numPr>
    </w:pPr>
  </w:style>
  <w:style w:type="paragraph" w:styleId="ListBullet5">
    <w:name w:val="List Bullet 5"/>
    <w:basedOn w:val="List5"/>
    <w:rsid w:val="00A233A5"/>
    <w:pPr>
      <w:numPr>
        <w:numId w:val="4"/>
      </w:numPr>
    </w:pPr>
  </w:style>
  <w:style w:type="paragraph" w:styleId="ListContinue2">
    <w:name w:val="List Continue 2"/>
    <w:basedOn w:val="List2"/>
    <w:rsid w:val="00A233A5"/>
    <w:pPr>
      <w:ind w:firstLine="0"/>
    </w:pPr>
  </w:style>
  <w:style w:type="paragraph" w:styleId="ListContinue3">
    <w:name w:val="List Continue 3"/>
    <w:basedOn w:val="List3"/>
    <w:rsid w:val="00A233A5"/>
    <w:pPr>
      <w:ind w:left="1021" w:firstLine="0"/>
    </w:pPr>
  </w:style>
  <w:style w:type="paragraph" w:styleId="ListContinue4">
    <w:name w:val="List Continue 4"/>
    <w:basedOn w:val="List4"/>
    <w:rsid w:val="00A233A5"/>
    <w:pPr>
      <w:ind w:firstLine="0"/>
    </w:pPr>
  </w:style>
  <w:style w:type="paragraph" w:styleId="ListContinue5">
    <w:name w:val="List Continue 5"/>
    <w:basedOn w:val="List5"/>
    <w:rsid w:val="00A233A5"/>
    <w:pPr>
      <w:ind w:firstLine="0"/>
    </w:pPr>
  </w:style>
  <w:style w:type="paragraph" w:styleId="ListNumber3">
    <w:name w:val="List Number 3"/>
    <w:basedOn w:val="List3"/>
    <w:rsid w:val="00A233A5"/>
    <w:pPr>
      <w:numPr>
        <w:numId w:val="5"/>
      </w:numPr>
    </w:pPr>
  </w:style>
  <w:style w:type="paragraph" w:styleId="ListNumber4">
    <w:name w:val="List Number 4"/>
    <w:basedOn w:val="List4"/>
    <w:rsid w:val="00A233A5"/>
    <w:pPr>
      <w:numPr>
        <w:numId w:val="6"/>
      </w:numPr>
    </w:pPr>
  </w:style>
  <w:style w:type="paragraph" w:styleId="ListNumber5">
    <w:name w:val="List Number 5"/>
    <w:basedOn w:val="List5"/>
    <w:rsid w:val="00A233A5"/>
    <w:pPr>
      <w:numPr>
        <w:numId w:val="7"/>
      </w:numPr>
    </w:pPr>
  </w:style>
  <w:style w:type="paragraph" w:styleId="BlockText">
    <w:name w:val="Block Text"/>
    <w:basedOn w:val="Normal"/>
    <w:rsid w:val="00A233A5"/>
    <w:pPr>
      <w:spacing w:after="120"/>
      <w:ind w:left="1440" w:right="1440"/>
    </w:pPr>
  </w:style>
  <w:style w:type="character" w:customStyle="1" w:styleId="Subscript">
    <w:name w:val="Subscript"/>
    <w:basedOn w:val="DefaultParagraphFont"/>
    <w:rsid w:val="00A233A5"/>
    <w:rPr>
      <w:sz w:val="16"/>
      <w:vertAlign w:val="subscript"/>
    </w:rPr>
  </w:style>
  <w:style w:type="character" w:customStyle="1" w:styleId="Superscript">
    <w:name w:val="Superscript"/>
    <w:basedOn w:val="DefaultParagraphFont"/>
    <w:rsid w:val="00A233A5"/>
    <w:rPr>
      <w:sz w:val="16"/>
      <w:vertAlign w:val="superscript"/>
    </w:rPr>
  </w:style>
  <w:style w:type="character" w:customStyle="1" w:styleId="Symbols">
    <w:name w:val="Symbols"/>
    <w:basedOn w:val="DefaultParagraphFont"/>
    <w:rsid w:val="00A233A5"/>
    <w:rPr>
      <w:rFonts w:ascii="Symbol" w:hAnsi="Symbol"/>
    </w:rPr>
  </w:style>
  <w:style w:type="character" w:customStyle="1" w:styleId="MenuOptions">
    <w:name w:val="Menu Options"/>
    <w:basedOn w:val="DefaultParagraphFont"/>
    <w:rsid w:val="00A233A5"/>
    <w:rPr>
      <w:rFonts w:ascii="Arial Narrow" w:hAnsi="Arial Narrow"/>
      <w:smallCaps/>
    </w:rPr>
  </w:style>
  <w:style w:type="character" w:customStyle="1" w:styleId="Buttons">
    <w:name w:val="Buttons"/>
    <w:basedOn w:val="DefaultParagraphFont"/>
    <w:rsid w:val="00A233A5"/>
    <w:rPr>
      <w:b/>
    </w:rPr>
  </w:style>
  <w:style w:type="character" w:customStyle="1" w:styleId="Underlined">
    <w:name w:val="Underlined"/>
    <w:basedOn w:val="DefaultParagraphFont"/>
    <w:rsid w:val="00A233A5"/>
    <w:rPr>
      <w:u w:val="single"/>
    </w:rPr>
  </w:style>
  <w:style w:type="paragraph" w:customStyle="1" w:styleId="TableBodyTextRight">
    <w:name w:val="Table Body Text Right"/>
    <w:basedOn w:val="TableBodyText"/>
    <w:rsid w:val="00A233A5"/>
    <w:pPr>
      <w:widowControl w:val="0"/>
      <w:autoSpaceDE w:val="0"/>
      <w:autoSpaceDN w:val="0"/>
      <w:adjustRightInd w:val="0"/>
      <w:jc w:val="right"/>
    </w:pPr>
    <w:rPr>
      <w:rFonts w:cs="Arial"/>
      <w:szCs w:val="18"/>
    </w:rPr>
  </w:style>
  <w:style w:type="paragraph" w:customStyle="1" w:styleId="CopyrightText">
    <w:name w:val="Copyright Text"/>
    <w:basedOn w:val="BodyText"/>
    <w:rsid w:val="00A233A5"/>
    <w:rPr>
      <w:sz w:val="18"/>
    </w:rPr>
  </w:style>
  <w:style w:type="paragraph" w:customStyle="1" w:styleId="BodySmallRight">
    <w:name w:val="Body Small Right"/>
    <w:basedOn w:val="BodyTextRight"/>
    <w:rsid w:val="00A233A5"/>
    <w:rPr>
      <w:sz w:val="18"/>
      <w:szCs w:val="18"/>
    </w:rPr>
  </w:style>
  <w:style w:type="paragraph" w:customStyle="1" w:styleId="MarginEdition">
    <w:name w:val="Margin Edition"/>
    <w:basedOn w:val="MarginNote"/>
    <w:rsid w:val="00A233A5"/>
    <w:pPr>
      <w:spacing w:before="0" w:after="0"/>
    </w:pPr>
    <w:rPr>
      <w:rFonts w:ascii="Times New Roman" w:hAnsi="Times New Roman"/>
      <w:color w:val="999999"/>
    </w:rPr>
  </w:style>
  <w:style w:type="paragraph" w:customStyle="1" w:styleId="Spacer">
    <w:name w:val="Spacer"/>
    <w:basedOn w:val="Normal"/>
    <w:rsid w:val="00A233A5"/>
    <w:rPr>
      <w:sz w:val="2"/>
      <w:szCs w:val="2"/>
    </w:rPr>
  </w:style>
  <w:style w:type="character" w:customStyle="1" w:styleId="Small">
    <w:name w:val="Small"/>
    <w:basedOn w:val="DefaultParagraphFont"/>
    <w:rsid w:val="00A233A5"/>
    <w:rPr>
      <w:sz w:val="16"/>
    </w:rPr>
  </w:style>
  <w:style w:type="paragraph" w:customStyle="1" w:styleId="WideTable">
    <w:name w:val="Wide Table"/>
    <w:basedOn w:val="Normal"/>
    <w:rsid w:val="00A233A5"/>
    <w:pPr>
      <w:ind w:left="-1418"/>
    </w:pPr>
    <w:rPr>
      <w:sz w:val="2"/>
      <w:szCs w:val="2"/>
    </w:rPr>
  </w:style>
  <w:style w:type="character" w:styleId="PageNumber">
    <w:name w:val="page number"/>
    <w:basedOn w:val="DefaultParagraphFont"/>
    <w:rsid w:val="00A233A5"/>
  </w:style>
  <w:style w:type="paragraph" w:styleId="Quote">
    <w:name w:val="Quote"/>
    <w:basedOn w:val="Heading1"/>
    <w:link w:val="QuoteChar"/>
    <w:qFormat/>
    <w:rsid w:val="00A233A5"/>
    <w:rPr>
      <w:b w:val="0"/>
      <w:sz w:val="72"/>
      <w:szCs w:val="72"/>
      <w:lang w:val="en-NZ"/>
    </w:rPr>
  </w:style>
  <w:style w:type="character" w:customStyle="1" w:styleId="QuoteChar">
    <w:name w:val="Quote Char"/>
    <w:basedOn w:val="DefaultParagraphFont"/>
    <w:link w:val="Quote"/>
    <w:rsid w:val="00A233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33A5"/>
    <w:pPr>
      <w:pageBreakBefore/>
    </w:pPr>
  </w:style>
  <w:style w:type="paragraph" w:customStyle="1" w:styleId="Border">
    <w:name w:val="Border"/>
    <w:basedOn w:val="Normal"/>
    <w:qFormat/>
    <w:rsid w:val="00A233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33A5"/>
    <w:rPr>
      <w:b/>
      <w:bCs/>
      <w:i/>
      <w:iCs/>
      <w:color w:val="auto"/>
    </w:rPr>
  </w:style>
  <w:style w:type="paragraph" w:styleId="IntenseQuote">
    <w:name w:val="Intense Quote"/>
    <w:basedOn w:val="Normal"/>
    <w:next w:val="Normal"/>
    <w:link w:val="IntenseQuoteChar"/>
    <w:uiPriority w:val="30"/>
    <w:qFormat/>
    <w:rsid w:val="00A233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33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33A5"/>
    <w:rPr>
      <w:smallCaps/>
      <w:color w:val="auto"/>
      <w:u w:val="single"/>
    </w:rPr>
  </w:style>
  <w:style w:type="character" w:styleId="IntenseReference">
    <w:name w:val="Intense Reference"/>
    <w:basedOn w:val="DefaultParagraphFont"/>
    <w:uiPriority w:val="32"/>
    <w:qFormat/>
    <w:rsid w:val="00A233A5"/>
    <w:rPr>
      <w:b/>
      <w:bCs/>
      <w:smallCaps/>
      <w:color w:val="auto"/>
      <w:spacing w:val="5"/>
      <w:u w:val="single"/>
    </w:rPr>
  </w:style>
  <w:style w:type="paragraph" w:customStyle="1" w:styleId="2ColumnHeading">
    <w:name w:val="2Column Heading"/>
    <w:basedOn w:val="BodyText"/>
    <w:qFormat/>
    <w:rsid w:val="00A233A5"/>
    <w:pPr>
      <w:spacing w:after="60"/>
      <w:ind w:left="-2268"/>
    </w:pPr>
    <w:rPr>
      <w:b/>
    </w:rPr>
  </w:style>
  <w:style w:type="paragraph" w:customStyle="1" w:styleId="Heading1TOC">
    <w:name w:val="Heading1 TOC"/>
    <w:basedOn w:val="Normal"/>
    <w:qFormat/>
    <w:rsid w:val="00A233A5"/>
    <w:pPr>
      <w:spacing w:before="240" w:after="120"/>
    </w:pPr>
    <w:rPr>
      <w:rFonts w:ascii="Times New Roman" w:hAnsi="Times New Roman"/>
      <w:b/>
      <w:sz w:val="32"/>
    </w:rPr>
  </w:style>
  <w:style w:type="paragraph" w:customStyle="1" w:styleId="Heading2TOC">
    <w:name w:val="Heading2 TOC"/>
    <w:basedOn w:val="Normal"/>
    <w:qFormat/>
    <w:rsid w:val="00A233A5"/>
    <w:pPr>
      <w:spacing w:before="240" w:after="60"/>
    </w:pPr>
    <w:rPr>
      <w:rFonts w:ascii="Times New Roman" w:hAnsi="Times New Roman"/>
      <w:b/>
      <w:sz w:val="28"/>
    </w:rPr>
  </w:style>
  <w:style w:type="character" w:customStyle="1" w:styleId="Underline">
    <w:name w:val="Underline"/>
    <w:basedOn w:val="DefaultParagraphFont"/>
    <w:qFormat/>
    <w:rsid w:val="00A233A5"/>
    <w:rPr>
      <w:u w:val="single"/>
    </w:rPr>
  </w:style>
  <w:style w:type="character" w:customStyle="1" w:styleId="BoldandItalics">
    <w:name w:val="Bold and Italics"/>
    <w:qFormat/>
    <w:rsid w:val="00A233A5"/>
    <w:rPr>
      <w:b/>
      <w:i/>
      <w:u w:val="none"/>
    </w:rPr>
  </w:style>
  <w:style w:type="paragraph" w:styleId="BalloonText">
    <w:name w:val="Balloon Text"/>
    <w:basedOn w:val="Normal"/>
    <w:link w:val="BalloonTextChar"/>
    <w:rsid w:val="00A233A5"/>
    <w:rPr>
      <w:rFonts w:ascii="Tahoma" w:hAnsi="Tahoma" w:cs="Tahoma"/>
      <w:sz w:val="16"/>
      <w:szCs w:val="16"/>
    </w:rPr>
  </w:style>
  <w:style w:type="character" w:customStyle="1" w:styleId="BalloonTextChar">
    <w:name w:val="Balloon Text Char"/>
    <w:basedOn w:val="DefaultParagraphFont"/>
    <w:link w:val="BalloonText"/>
    <w:rsid w:val="00A233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33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33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33A5"/>
    <w:rPr>
      <w:b/>
      <w:color w:val="660033"/>
      <w:spacing w:val="0"/>
    </w:rPr>
  </w:style>
  <w:style w:type="paragraph" w:customStyle="1" w:styleId="Nameditemlist">
    <w:name w:val="Named item list"/>
    <w:basedOn w:val="BodyText"/>
    <w:qFormat/>
    <w:rsid w:val="00A233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2087</Words>
  <Characters>12971</Characters>
  <Application>Microsoft Office Word</Application>
  <DocSecurity>0</DocSecurity>
  <Lines>425</Lines>
  <Paragraphs>181</Paragraphs>
  <ScaleCrop>false</ScaleCrop>
  <Company>Author-it Software Corporation Ltd.</Company>
  <LinksUpToDate>false</LinksUpToDate>
  <CharactersWithSpaces>14908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UEPOPS369A Respond to a critical incident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2012-07-25T17:08:00Z</dcterms:created>
  <dcterms:modified xsi:type="dcterms:W3CDTF">2012-07-25T17:08:00Z</dcterms:modified>
</cp:coreProperties>
</file>