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FD1" w:rsidP="00155FD1">
      <w:pPr>
        <w:pStyle w:val="Title"/>
      </w:pPr>
      <w:r>
        <w:fldChar w:fldCharType="begin"/>
      </w:r>
      <w:r>
        <w:instrText xml:space="preserve"> TITLE   \* MERGEFORMAT </w:instrText>
      </w:r>
      <w:r>
        <w:fldChar w:fldCharType="separate"/>
      </w:r>
      <w:r>
        <w:t>UEPOPS362A Operate and Monitor Generator/Alternator</w:t>
      </w:r>
      <w:r>
        <w:fldChar w:fldCharType="end"/>
      </w:r>
    </w:p>
    <w:p w:rsidR="00155FD1" w:rsidP="00155FD1">
      <w:pPr>
        <w:pStyle w:val="Version"/>
        <w:sectPr w:rsidSect="00E040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010" w:rsidP="00E04010">
      <w:pPr>
        <w:pStyle w:val="SuperHeading"/>
      </w:pPr>
      <w:r w:rsidRPr="00E04010">
        <w:t>UEPOPS362A Operate and Monitor Generator/Alternator</w:t>
      </w:r>
    </w:p>
    <w:p w:rsidR="00000000" w:rsidRPr="00E04010" w:rsidP="00E04010">
      <w:pPr>
        <w:pStyle w:val="Heading1"/>
      </w:pPr>
      <w:bookmarkStart w:id="1" w:name="O_475564"/>
      <w:bookmarkEnd w:id="1"/>
      <w:r w:rsidRPr="00E04010">
        <w:t>Modification History</w:t>
      </w:r>
    </w:p>
    <w:p w:rsidR="00000000" w:rsidRPr="00E04010" w:rsidP="00E04010">
      <w:pPr>
        <w:pStyle w:val="BodyText"/>
      </w:pPr>
      <w:r w:rsidRPr="00E04010">
        <w:t>Not applicable.</w:t>
      </w:r>
    </w:p>
    <w:p w:rsidR="00000000" w:rsidRPr="00E04010" w:rsidP="00E04010">
      <w:pPr>
        <w:pStyle w:val="AllowPageBreak"/>
      </w:pPr>
    </w:p>
    <w:p w:rsidR="00000000" w:rsidRPr="00E04010" w:rsidP="00E04010">
      <w:pPr>
        <w:pStyle w:val="Heading1"/>
      </w:pPr>
      <w:bookmarkStart w:id="2" w:name="O_475562"/>
      <w:bookmarkEnd w:id="2"/>
      <w:r w:rsidRPr="00E04010">
        <w:t>Unit Descriptor</w:t>
      </w:r>
    </w:p>
    <w:tbl>
      <w:tblPr>
        <w:tblW w:w="0" w:type="auto"/>
        <w:tblLayout w:type="fixed"/>
        <w:tblCellMar>
          <w:left w:w="62" w:type="dxa"/>
          <w:right w:w="62" w:type="dxa"/>
        </w:tblCellMar>
        <w:tblLook w:val="0000"/>
      </w:tblPr>
      <w:tblGrid>
        <w:gridCol w:w="2700"/>
        <w:gridCol w:w="5760"/>
      </w:tblGrid>
      <w:tr w:rsidTr="00155F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1)</w:t>
            </w:r>
            <w:r w:rsidRPr="00E04010">
              <w:t xml:space="preserve"> </w:t>
            </w:r>
            <w:r w:rsidRPr="00E04010">
              <w:rPr>
                <w:rStyle w:val="SpecialBold"/>
              </w:rPr>
              <w:t>Scope:</w:t>
            </w:r>
          </w:p>
        </w:tc>
      </w:tr>
      <w:tr w:rsidTr="00155F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0401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1.1) Descriptor</w:t>
            </w:r>
          </w:p>
        </w:tc>
      </w:tr>
      <w:tr w:rsidTr="00155F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 xml:space="preserve">This unit deals with the skills and knowledge required to operate, inspect and monitor a Generator/Alternator </w:t>
            </w:r>
          </w:p>
        </w:tc>
      </w:tr>
    </w:tbl>
    <w:p w:rsidR="00000000" w:rsidRPr="00E04010" w:rsidP="00E04010">
      <w:pPr>
        <w:pStyle w:val="BodyText"/>
      </w:pPr>
    </w:p>
    <w:p w:rsidR="00000000" w:rsidRPr="00E04010" w:rsidP="00E04010">
      <w:pPr>
        <w:pStyle w:val="AllowPageBreak"/>
      </w:pPr>
    </w:p>
    <w:p w:rsidR="00000000" w:rsidRPr="00E04010" w:rsidP="00E04010">
      <w:pPr>
        <w:pStyle w:val="Heading1"/>
      </w:pPr>
      <w:bookmarkStart w:id="3" w:name="O_475551"/>
      <w:bookmarkEnd w:id="3"/>
      <w:r w:rsidRPr="00E04010">
        <w:t>Application of the Unit</w:t>
      </w:r>
    </w:p>
    <w:tbl>
      <w:tblPr>
        <w:tblW w:w="0" w:type="auto"/>
        <w:tblLayout w:type="fixed"/>
        <w:tblCellMar>
          <w:left w:w="62" w:type="dxa"/>
          <w:right w:w="62" w:type="dxa"/>
        </w:tblCellMar>
        <w:tblLook w:val="0000"/>
      </w:tblPr>
      <w:tblGrid>
        <w:gridCol w:w="2672"/>
        <w:gridCol w:w="5699"/>
      </w:tblGrid>
      <w:tr w:rsidTr="00155FD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2)</w:t>
            </w:r>
          </w:p>
        </w:tc>
      </w:tr>
      <w:tr w:rsidTr="00155FD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This unit is intended to augment formally acquired competencies. It is suitable for employment-based programs under an approved contract of training.</w:t>
            </w:r>
          </w:p>
        </w:tc>
      </w:tr>
    </w:tbl>
    <w:p w:rsidR="00000000" w:rsidRPr="00E04010" w:rsidP="00E04010">
      <w:pPr>
        <w:pStyle w:val="BodyText"/>
      </w:pPr>
    </w:p>
    <w:p w:rsidR="00000000" w:rsidRPr="00E04010" w:rsidP="00E04010">
      <w:pPr>
        <w:pStyle w:val="AllowPageBreak"/>
      </w:pPr>
    </w:p>
    <w:p w:rsidR="00000000" w:rsidRPr="00E04010" w:rsidP="00E04010">
      <w:pPr>
        <w:pStyle w:val="Heading1"/>
      </w:pPr>
      <w:bookmarkStart w:id="4" w:name="O_475558"/>
      <w:bookmarkEnd w:id="4"/>
      <w:r w:rsidRPr="00E04010">
        <w:t>Licensing/Regulatory Information</w:t>
      </w:r>
    </w:p>
    <w:tbl>
      <w:tblPr>
        <w:tblW w:w="0" w:type="auto"/>
        <w:tblLayout w:type="fixed"/>
        <w:tblCellMar>
          <w:left w:w="62" w:type="dxa"/>
          <w:right w:w="62" w:type="dxa"/>
        </w:tblCellMar>
        <w:tblLook w:val="0000"/>
      </w:tblPr>
      <w:tblGrid>
        <w:gridCol w:w="2700"/>
        <w:gridCol w:w="5760"/>
      </w:tblGrid>
      <w:tr w:rsidTr="00155F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L</w:t>
            </w:r>
            <w:r w:rsidRPr="00E04010">
              <w:rPr>
                <w:rStyle w:val="SpecialBold"/>
              </w:rPr>
              <w:t>icense to practice</w:t>
            </w:r>
          </w:p>
        </w:tc>
        <w:tc>
          <w:tcPr>
            <w:tcW w:w="576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 xml:space="preserve">3) </w:t>
            </w:r>
          </w:p>
        </w:tc>
      </w:tr>
      <w:tr w:rsidTr="00155F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The skills and knowledge described in this unit do not require a licence to practise in the workplace. However, practice in this unit is subject to regulations directly related to Occupational Health and Safety.</w:t>
            </w:r>
          </w:p>
        </w:tc>
      </w:tr>
    </w:tbl>
    <w:p w:rsidR="00000000" w:rsidRPr="00E04010" w:rsidP="00E04010">
      <w:pPr>
        <w:pStyle w:val="BodyText"/>
      </w:pPr>
    </w:p>
    <w:p w:rsidR="00000000" w:rsidRPr="00E04010" w:rsidP="00E04010">
      <w:pPr>
        <w:pStyle w:val="AllowPageBreak"/>
      </w:pPr>
    </w:p>
    <w:p w:rsidR="00000000" w:rsidRPr="00E04010" w:rsidP="00E04010">
      <w:pPr>
        <w:pStyle w:val="Heading1"/>
      </w:pPr>
      <w:bookmarkStart w:id="5" w:name="O_475559"/>
      <w:bookmarkEnd w:id="5"/>
      <w:r w:rsidRPr="00E04010">
        <w:t>Pre-Requisites</w:t>
      </w:r>
    </w:p>
    <w:tbl>
      <w:tblPr>
        <w:tblW w:w="0" w:type="auto"/>
        <w:tblLayout w:type="fixed"/>
        <w:tblCellMar>
          <w:left w:w="62" w:type="dxa"/>
          <w:right w:w="62" w:type="dxa"/>
        </w:tblCellMar>
        <w:tblLook w:val="0000"/>
      </w:tblPr>
      <w:tblGrid>
        <w:gridCol w:w="2700"/>
        <w:gridCol w:w="5764"/>
      </w:tblGrid>
      <w:tr w:rsidTr="00155F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 xml:space="preserve">4) </w:t>
            </w:r>
          </w:p>
        </w:tc>
      </w:tr>
      <w:tr w:rsidTr="00155F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4.1)</w:t>
            </w:r>
          </w:p>
        </w:tc>
      </w:tr>
      <w:tr w:rsidTr="00155FD1">
        <w:tblPrEx>
          <w:tblW w:w="0" w:type="auto"/>
          <w:tblLayout w:type="fixed"/>
          <w:tblCellMar>
            <w:left w:w="62" w:type="dxa"/>
            <w:right w:w="62" w:type="dxa"/>
          </w:tblCellMar>
          <w:tblLook w:val="0000"/>
        </w:tblPrEx>
        <w:trPr>
          <w:trHeight w:val="20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Granting of competency in this unit shall be made only after competency in the following unit(s) has/have been confirmed.</w:t>
            </w:r>
          </w:p>
          <w:p w:rsidR="00000000" w:rsidRPr="00E04010" w:rsidP="00E04010">
            <w:pPr>
              <w:pStyle w:val="BodyText"/>
            </w:pPr>
            <w:r w:rsidRPr="00E04010">
              <w:t>Where pre-requisite pathways have been identified. All competencies in th</w:t>
            </w:r>
            <w:r w:rsidRPr="00E04010">
              <w:t>e Common Unit Group must be have been completed.</w:t>
            </w:r>
          </w:p>
          <w:p w:rsidR="00000000" w:rsidRPr="00E04010" w:rsidP="00E04010">
            <w:pPr>
              <w:pStyle w:val="BodyText"/>
            </w:pPr>
            <w:r w:rsidRPr="00E04010">
              <w:t>There are no prerequisite units</w:t>
            </w:r>
          </w:p>
        </w:tc>
      </w:tr>
    </w:tbl>
    <w:p w:rsidR="00000000" w:rsidRPr="00E04010" w:rsidP="00E0401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55FD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 xml:space="preserve">4.2) </w:t>
            </w:r>
          </w:p>
        </w:tc>
      </w:tr>
      <w:tr w:rsidTr="00155F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Participants are best equipped to achieve this unit if they have reading, writing and numeracy skills indicated by the following levels. A description of what each level entails is provided in Section 2.3.1 Language, Literacy and Numeracy.</w:t>
            </w:r>
          </w:p>
        </w:tc>
      </w:tr>
      <w:tr w:rsidTr="00155F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Reading</w:t>
            </w:r>
          </w:p>
        </w:tc>
        <w:tc>
          <w:tcPr>
            <w:tcW w:w="81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3</w:t>
            </w:r>
          </w:p>
        </w:tc>
        <w:tc>
          <w:tcPr>
            <w:tcW w:w="99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Writing</w:t>
            </w:r>
          </w:p>
        </w:tc>
        <w:tc>
          <w:tcPr>
            <w:tcW w:w="90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3</w:t>
            </w:r>
          </w:p>
        </w:tc>
        <w:tc>
          <w:tcPr>
            <w:tcW w:w="126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Numeracy</w:t>
            </w:r>
          </w:p>
        </w:tc>
        <w:tc>
          <w:tcPr>
            <w:tcW w:w="72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3</w:t>
            </w:r>
          </w:p>
        </w:tc>
      </w:tr>
    </w:tbl>
    <w:p w:rsidR="00000000" w:rsidRPr="00E04010" w:rsidP="00E04010">
      <w:pPr>
        <w:pStyle w:val="BodyText"/>
      </w:pPr>
    </w:p>
    <w:p w:rsidR="00000000" w:rsidRPr="00E04010" w:rsidP="00E04010">
      <w:pPr>
        <w:pStyle w:val="AllowPageBreak"/>
      </w:pPr>
    </w:p>
    <w:p w:rsidR="00000000" w:rsidRPr="00E04010" w:rsidP="00E04010">
      <w:pPr>
        <w:pStyle w:val="Heading1"/>
      </w:pPr>
      <w:bookmarkStart w:id="6" w:name="O_475555"/>
      <w:bookmarkEnd w:id="6"/>
      <w:r w:rsidRPr="00E04010">
        <w:t>Employability Skills Information</w:t>
      </w:r>
    </w:p>
    <w:tbl>
      <w:tblPr>
        <w:tblW w:w="0" w:type="auto"/>
        <w:tblLayout w:type="fixed"/>
        <w:tblCellMar>
          <w:left w:w="62" w:type="dxa"/>
          <w:right w:w="62" w:type="dxa"/>
        </w:tblCellMar>
        <w:tblLook w:val="0000"/>
      </w:tblPr>
      <w:tblGrid>
        <w:gridCol w:w="2700"/>
        <w:gridCol w:w="5760"/>
      </w:tblGrid>
      <w:tr w:rsidTr="00155F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 xml:space="preserve">5) </w:t>
            </w:r>
          </w:p>
        </w:tc>
      </w:tr>
      <w:tr w:rsidTr="00155F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 xml:space="preserve">The required outcomes described in this unit of competency contain applicable facets of Employability Skills. The Employability Skills Summary </w:t>
            </w:r>
            <w:r w:rsidRPr="00E04010">
              <w:t>of the qualification in which this unit of competency is packaged will assist in identifying Employability Skill requirements.</w:t>
            </w:r>
          </w:p>
        </w:tc>
      </w:tr>
    </w:tbl>
    <w:p w:rsidR="00000000" w:rsidRPr="00E04010" w:rsidP="00E04010">
      <w:pPr>
        <w:pStyle w:val="BodyText"/>
      </w:pPr>
    </w:p>
    <w:p w:rsidR="00000000" w:rsidRPr="00E04010" w:rsidP="00E04010">
      <w:pPr>
        <w:pStyle w:val="AllowPageBreak"/>
      </w:pPr>
    </w:p>
    <w:p w:rsidR="00000000" w:rsidRPr="00E04010" w:rsidP="00E04010">
      <w:pPr>
        <w:pStyle w:val="Heading1"/>
      </w:pPr>
      <w:bookmarkStart w:id="7" w:name="O_475554"/>
      <w:bookmarkEnd w:id="7"/>
      <w:r w:rsidRPr="00E04010">
        <w:t>Elements and Performance Criteria Pre-Content</w:t>
      </w:r>
    </w:p>
    <w:tbl>
      <w:tblPr>
        <w:tblW w:w="0" w:type="auto"/>
        <w:tblLayout w:type="fixed"/>
        <w:tblCellMar>
          <w:left w:w="62" w:type="dxa"/>
          <w:right w:w="62" w:type="dxa"/>
        </w:tblCellMar>
        <w:tblLook w:val="0000"/>
      </w:tblPr>
      <w:tblGrid>
        <w:gridCol w:w="2700"/>
        <w:gridCol w:w="5760"/>
      </w:tblGrid>
      <w:tr w:rsidTr="00155F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6)</w:t>
            </w:r>
            <w:r w:rsidRPr="00E04010">
              <w:t xml:space="preserve"> Elements describe the essential outcomes of a competency stan</w:t>
            </w:r>
            <w:r w:rsidRPr="00E04010">
              <w:t>dard unit</w:t>
            </w:r>
          </w:p>
        </w:tc>
        <w:tc>
          <w:tcPr>
            <w:tcW w:w="576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Performance Criteria describe the required performance needed to demonstrate achievement of the element. Assessment of performance is to be consistent with the Evidence Guide.</w:t>
            </w:r>
          </w:p>
        </w:tc>
      </w:tr>
    </w:tbl>
    <w:p w:rsidR="00000000" w:rsidRPr="00E04010" w:rsidP="00E04010">
      <w:pPr>
        <w:pStyle w:val="BodyText"/>
      </w:pPr>
    </w:p>
    <w:p w:rsidR="00000000" w:rsidRPr="00E04010" w:rsidP="00E04010">
      <w:pPr>
        <w:pStyle w:val="AllowPageBreak"/>
      </w:pPr>
    </w:p>
    <w:p w:rsidR="00000000" w:rsidRPr="00E04010" w:rsidP="00E04010">
      <w:pPr>
        <w:pStyle w:val="Heading1"/>
      </w:pPr>
      <w:bookmarkStart w:id="8" w:name="O_475553"/>
      <w:bookmarkEnd w:id="8"/>
      <w:r w:rsidRPr="00E04010">
        <w:t>Elements and Performance Criteria</w:t>
      </w:r>
    </w:p>
    <w:tbl>
      <w:tblPr>
        <w:tblW w:w="0" w:type="auto"/>
        <w:tblLayout w:type="fixed"/>
        <w:tblCellMar>
          <w:left w:w="62" w:type="dxa"/>
          <w:right w:w="62" w:type="dxa"/>
        </w:tblCellMar>
        <w:tblLook w:val="0000"/>
      </w:tblPr>
      <w:tblGrid>
        <w:gridCol w:w="402"/>
        <w:gridCol w:w="2284"/>
        <w:gridCol w:w="14"/>
        <w:gridCol w:w="882"/>
        <w:gridCol w:w="4833"/>
        <w:gridCol w:w="45"/>
      </w:tblGrid>
      <w:tr w:rsidTr="00155FD1">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PERFORMANCE CRITERIA</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1</w:t>
            </w:r>
          </w:p>
        </w:tc>
        <w:tc>
          <w:tcPr>
            <w:tcW w:w="2284" w:type="dxa"/>
            <w:vMerge w:val="restart"/>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Plan and prepare work</w:t>
            </w: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1.1</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Safety issues are identified to comply with enterprise/site requirements</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1.2</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Work, plant and type of start requirements are identified from relevant personnel and documentation</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1.3</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The turbine running-up and loading schedule are ascertained from relevant documentation and in accordance with enterprise/site requirements</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1.4</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Localised plant inspection, pre operational tests and field preparation for service are carried out in accord</w:t>
            </w:r>
            <w:r w:rsidRPr="00E04010">
              <w:t>ance with manufacturer and enterprise/site procedures</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1.5</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Plant operational prerequisites are established in accordance with manufacturer and enterprise/site procedures</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1.6</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Sequence for recommissioning of plant is determined to suit existing circumstances in accordance with enterprise/site requirements</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2</w:t>
            </w:r>
          </w:p>
        </w:tc>
        <w:tc>
          <w:tcPr>
            <w:tcW w:w="2284" w:type="dxa"/>
            <w:vMerge w:val="restart"/>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Operate plant</w:t>
            </w: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2.1</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Output is adjusted to achieve required generator/alternator operating requirements and demand, observing</w:t>
            </w:r>
            <w:r w:rsidRPr="00E04010">
              <w:t xml:space="preserve"> operational requirements  </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2.2</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Plant is operated within limits of plant design, regulators requirements, enterprise or site requirements</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2.3</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Plant is monitored and observed to detect deviations from required operating conditions</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2.4</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Corrective actions are taken to rectify abnormalities in accordance with manufacturer and enterprise/site procedures</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3</w:t>
            </w:r>
          </w:p>
        </w:tc>
        <w:tc>
          <w:tcPr>
            <w:tcW w:w="2284" w:type="dxa"/>
            <w:vMerge w:val="restart"/>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Test plant operation</w:t>
            </w: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3.1</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Tests are performed in accordance with defined procedures applicable to the operational test</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3.2</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System and plant is observed for correct operational response</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3.3</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Correct action is taken when response is not in accordance with documentation, plant integrity or personnel safety requirements</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3.4</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Plant is returned to required operational status upo</w:t>
            </w:r>
            <w:r w:rsidRPr="00E04010">
              <w:t>n completion of test</w:t>
            </w:r>
          </w:p>
        </w:tc>
      </w:tr>
      <w:tr w:rsidTr="00155FD1">
        <w:tblPrEx>
          <w:tblW w:w="0" w:type="auto"/>
          <w:tblLayout w:type="fixed"/>
          <w:tblCellMar>
            <w:left w:w="62" w:type="dxa"/>
            <w:right w:w="62" w:type="dxa"/>
          </w:tblCellMar>
          <w:tblLook w:val="0000"/>
        </w:tblPrEx>
        <w:trPr>
          <w:gridAfter w:val="1"/>
          <w:wAfter w:w="45" w:type="dxa"/>
          <w:trHeight w:val="780"/>
        </w:trPr>
        <w:tc>
          <w:tcPr>
            <w:tcW w:w="402"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4</w:t>
            </w:r>
          </w:p>
        </w:tc>
        <w:tc>
          <w:tcPr>
            <w:tcW w:w="2284"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Analyse plant faults</w:t>
            </w: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4.1</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Cause of abnormal plant operating conditions are identified by analysing the technical and operational information in a logical and sequential manner</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4.2</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Actions necessary to rectify fault are correctly determined</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4.3</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Plant integrity and personnel safety is maintained through consultation with appropriate personnel, and reference to plant, technical and operational documentation</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5</w:t>
            </w:r>
          </w:p>
        </w:tc>
        <w:tc>
          <w:tcPr>
            <w:tcW w:w="2284"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Monitor and inspect plant</w:t>
            </w: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5.1</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Plant to be monitored/inspected is physically identified</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5.2</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 xml:space="preserve">Plant is monitored/inspected for normal operation or to detect deviations </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5.3</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Corrective action taken is in accordance with enterprise procedures</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5.4</w:t>
            </w:r>
          </w:p>
        </w:tc>
        <w:tc>
          <w:tcPr>
            <w:tcW w:w="4833"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Appro</w:t>
            </w:r>
            <w:r w:rsidRPr="00E04010">
              <w:t>priate personnel are notified when defects are detected</w:t>
            </w:r>
          </w:p>
        </w:tc>
      </w:tr>
      <w:tr w:rsidTr="00155FD1">
        <w:tblPrEx>
          <w:tblW w:w="0" w:type="auto"/>
          <w:tblLayout w:type="fixed"/>
          <w:tblCellMar>
            <w:left w:w="62" w:type="dxa"/>
            <w:right w:w="62" w:type="dxa"/>
          </w:tblCellMar>
          <w:tblLook w:val="0000"/>
        </w:tblPrEx>
        <w:trPr>
          <w:gridAfter w:val="1"/>
          <w:wAfter w:w="45" w:type="dxa"/>
        </w:trPr>
        <w:tc>
          <w:tcPr>
            <w:tcW w:w="402"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6</w:t>
            </w:r>
          </w:p>
        </w:tc>
        <w:tc>
          <w:tcPr>
            <w:tcW w:w="2284"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Complete documentation</w:t>
            </w:r>
          </w:p>
        </w:tc>
        <w:tc>
          <w:tcPr>
            <w:tcW w:w="896" w:type="dxa"/>
            <w:gridSpan w:val="2"/>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t>6.1</w:t>
            </w:r>
          </w:p>
        </w:tc>
        <w:tc>
          <w:tcPr>
            <w:tcW w:w="4833"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Documentation is updated and plant problems, movements, abnormalities and status are reported and logged in accordance with enterprise/site procedures</w:t>
            </w:r>
          </w:p>
        </w:tc>
      </w:tr>
    </w:tbl>
    <w:p w:rsidR="00000000" w:rsidRPr="00E04010" w:rsidP="00E04010">
      <w:pPr>
        <w:pStyle w:val="BodyText"/>
      </w:pPr>
    </w:p>
    <w:p w:rsidR="00000000" w:rsidRPr="00E04010" w:rsidP="00E04010">
      <w:pPr>
        <w:pStyle w:val="AllowPageBreak"/>
      </w:pPr>
    </w:p>
    <w:p w:rsidR="00000000" w:rsidRPr="00E04010" w:rsidP="00E04010">
      <w:pPr>
        <w:pStyle w:val="Heading1"/>
      </w:pPr>
      <w:bookmarkStart w:id="9" w:name="O_475561"/>
      <w:bookmarkEnd w:id="9"/>
      <w:r w:rsidRPr="00E04010">
        <w:t>Required Skills and Knowledge</w:t>
      </w:r>
    </w:p>
    <w:tbl>
      <w:tblPr>
        <w:tblW w:w="0" w:type="auto"/>
        <w:tblLayout w:type="fixed"/>
        <w:tblCellMar>
          <w:left w:w="62" w:type="dxa"/>
          <w:right w:w="62" w:type="dxa"/>
        </w:tblCellMar>
        <w:tblLook w:val="0000"/>
      </w:tblPr>
      <w:tblGrid>
        <w:gridCol w:w="8460"/>
      </w:tblGrid>
      <w:tr w:rsidTr="00155F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REQUIRED SKILLS AND KNOWLEDGE</w:t>
            </w:r>
          </w:p>
        </w:tc>
      </w:tr>
      <w:tr w:rsidTr="00155FD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8)</w:t>
            </w:r>
            <w:r w:rsidRPr="00E04010">
              <w:t xml:space="preserve"> This describes the essential skills and knowledge and their level, required for this unit.</w:t>
            </w:r>
          </w:p>
          <w:p w:rsidR="00000000" w:rsidRPr="00E04010" w:rsidP="00E04010">
            <w:pPr>
              <w:pStyle w:val="BodyText"/>
            </w:pPr>
            <w:r w:rsidRPr="00E04010">
              <w:t>Evidence shall show that knowledge has been acquired of operating a generator/alternator.</w:t>
            </w:r>
          </w:p>
          <w:p w:rsidR="00000000" w:rsidRPr="00E04010" w:rsidP="00E04010">
            <w:pPr>
              <w:pStyle w:val="BodyText"/>
            </w:pPr>
            <w:r w:rsidRPr="00E04010">
              <w:t>The extent of the Essential Knowledge and Associated Skills required follows:</w:t>
            </w:r>
          </w:p>
          <w:p w:rsidR="00000000" w:rsidRPr="00E04010" w:rsidP="00E04010">
            <w:pPr>
              <w:pStyle w:val="BodyText"/>
            </w:pPr>
            <w:r w:rsidRPr="00E04010">
              <w:t>KS01-PO362A  Generator/Alternator</w:t>
            </w:r>
          </w:p>
          <w:p w:rsidR="00000000" w:rsidRPr="00E04010" w:rsidP="00E04010">
            <w:pPr>
              <w:pStyle w:val="BodyText"/>
            </w:pPr>
            <w:r w:rsidRPr="00E04010">
              <w:t>Evidence shall show that knowledge has been acquired for safe working practices of:</w:t>
            </w:r>
          </w:p>
          <w:p w:rsidR="00000000" w:rsidRPr="00E04010" w:rsidP="00E04010">
            <w:pPr>
              <w:pStyle w:val="BodyText"/>
            </w:pPr>
            <w:r w:rsidRPr="00E04010">
              <w:t>T1 Safety legislation and  regulations</w:t>
            </w:r>
          </w:p>
          <w:p w:rsidR="00000000" w:rsidRPr="00E04010" w:rsidP="00E04010">
            <w:pPr>
              <w:pStyle w:val="BodyText"/>
            </w:pPr>
            <w:r w:rsidRPr="00E04010">
              <w:t>T2 Enterprise procedu</w:t>
            </w:r>
            <w:r w:rsidRPr="00E04010">
              <w:t xml:space="preserve">res </w:t>
            </w:r>
          </w:p>
          <w:p w:rsidR="00000000" w:rsidRPr="00E04010" w:rsidP="00E04010">
            <w:pPr>
              <w:pStyle w:val="BodyText"/>
            </w:pPr>
            <w:r w:rsidRPr="00E04010">
              <w:t xml:space="preserve">T3 Plant drawings and manufacturers manuals </w:t>
            </w:r>
          </w:p>
          <w:p w:rsidR="00000000" w:rsidRPr="00E04010" w:rsidP="00E04010">
            <w:pPr>
              <w:pStyle w:val="BodyText"/>
            </w:pPr>
            <w:r w:rsidRPr="00E04010">
              <w:t>T4 Introduction to and typical arrangements of  power production plant</w:t>
            </w:r>
          </w:p>
          <w:p w:rsidR="00000000" w:rsidRPr="00E04010" w:rsidP="00E04010">
            <w:pPr>
              <w:pStyle w:val="BodyText"/>
            </w:pPr>
            <w:r w:rsidRPr="00E04010">
              <w:t>T5 Relevant plant and equipment, its location and operating parameters</w:t>
            </w:r>
          </w:p>
          <w:p w:rsidR="00000000" w:rsidRPr="00E04010" w:rsidP="00E04010">
            <w:pPr>
              <w:pStyle w:val="BodyText"/>
            </w:pPr>
            <w:r w:rsidRPr="00E04010">
              <w:t xml:space="preserve">T6 Electric motor types and characteristics </w:t>
            </w:r>
          </w:p>
          <w:p w:rsidR="00000000" w:rsidRPr="00E04010" w:rsidP="00E04010">
            <w:pPr>
              <w:pStyle w:val="BodyText"/>
            </w:pPr>
            <w:r w:rsidRPr="00E04010">
              <w:t>T7 Generator/alternator excitation systems types and characteristics</w:t>
            </w:r>
          </w:p>
          <w:p w:rsidR="00000000" w:rsidRPr="00E04010" w:rsidP="00E04010">
            <w:pPr>
              <w:pStyle w:val="BodyText"/>
            </w:pPr>
            <w:r w:rsidRPr="00E04010">
              <w:t>T8 Generator/alternator cooling systems types and characteristics</w:t>
            </w:r>
          </w:p>
          <w:p w:rsidR="00000000" w:rsidRPr="00E04010" w:rsidP="00E04010">
            <w:pPr>
              <w:pStyle w:val="BodyText"/>
            </w:pPr>
            <w:r w:rsidRPr="00E04010">
              <w:t xml:space="preserve">T9 Automatic voltage regulators types and characteristics </w:t>
            </w:r>
          </w:p>
          <w:p w:rsidR="00000000" w:rsidRPr="00E04010" w:rsidP="00E04010">
            <w:pPr>
              <w:pStyle w:val="BodyText"/>
            </w:pPr>
            <w:r w:rsidRPr="00E04010">
              <w:t>T10 Pump and compressor types and characteristics</w:t>
            </w:r>
          </w:p>
          <w:p w:rsidR="00000000" w:rsidRPr="00E04010" w:rsidP="00E04010">
            <w:pPr>
              <w:pStyle w:val="BodyText"/>
            </w:pPr>
            <w:r w:rsidRPr="00E04010">
              <w:t>T11 Switchge</w:t>
            </w:r>
            <w:r w:rsidRPr="00E04010">
              <w:t>ar types and characteristics</w:t>
            </w:r>
          </w:p>
          <w:p w:rsidR="00000000" w:rsidRPr="00E04010" w:rsidP="00E04010">
            <w:pPr>
              <w:pStyle w:val="BodyText"/>
            </w:pPr>
            <w:r w:rsidRPr="00E04010">
              <w:t>T12 Electrical protection types and characteristics</w:t>
            </w:r>
          </w:p>
          <w:p w:rsidR="00000000" w:rsidRPr="00E04010" w:rsidP="00E04010">
            <w:pPr>
              <w:pStyle w:val="BodyText"/>
            </w:pPr>
            <w:r w:rsidRPr="00E04010">
              <w:t xml:space="preserve">T13 Control and data acquisition systems </w:t>
            </w:r>
          </w:p>
          <w:p w:rsidR="00000000" w:rsidRPr="00E04010" w:rsidP="00E04010">
            <w:pPr>
              <w:pStyle w:val="BodyText"/>
            </w:pPr>
            <w:r w:rsidRPr="00E04010">
              <w:t>T14 Generator/alternator types and characteristics</w:t>
            </w:r>
          </w:p>
          <w:p w:rsidR="00000000" w:rsidRPr="00E04010" w:rsidP="00E04010">
            <w:pPr>
              <w:pStyle w:val="BodyText"/>
            </w:pPr>
            <w:r w:rsidRPr="00E04010">
              <w:t xml:space="preserve">T15 Generator performance characteristics </w:t>
            </w:r>
          </w:p>
          <w:p w:rsidR="00000000" w:rsidRPr="00E04010" w:rsidP="00E04010">
            <w:pPr>
              <w:pStyle w:val="BodyText"/>
            </w:pPr>
            <w:r w:rsidRPr="00E04010">
              <w:t xml:space="preserve">T16 Electrical fundamentals </w:t>
            </w:r>
          </w:p>
          <w:p w:rsidR="00000000" w:rsidRPr="00E04010" w:rsidP="00E04010">
            <w:pPr>
              <w:pStyle w:val="BodyText"/>
            </w:pPr>
            <w:r w:rsidRPr="00E04010">
              <w:t>T17 Genera</w:t>
            </w:r>
            <w:r w:rsidRPr="00E04010">
              <w:t>tor/alternator theory of operation</w:t>
            </w:r>
          </w:p>
          <w:p w:rsidR="00000000" w:rsidRPr="00E04010" w:rsidP="00E04010">
            <w:pPr>
              <w:pStyle w:val="BodyText"/>
            </w:pPr>
            <w:r w:rsidRPr="00E04010">
              <w:t>T18 Heat exchanger types and characteristics</w:t>
            </w:r>
          </w:p>
          <w:p w:rsidR="00000000" w:rsidRPr="00E04010" w:rsidP="00E04010">
            <w:pPr>
              <w:pStyle w:val="BodyText"/>
            </w:pPr>
            <w:r w:rsidRPr="00E04010">
              <w:t>T19 lubrication systems and oil conditioning systems types and characteristics</w:t>
            </w:r>
          </w:p>
          <w:p w:rsidR="00000000" w:rsidRPr="00E04010" w:rsidP="00E04010">
            <w:pPr>
              <w:pStyle w:val="BodyText"/>
            </w:pPr>
            <w:r w:rsidRPr="00E04010">
              <w:t>KS02-PO362A  Generator/Alternator</w:t>
            </w:r>
          </w:p>
          <w:p w:rsidR="00000000" w:rsidRPr="00E04010" w:rsidP="00E04010">
            <w:pPr>
              <w:pStyle w:val="BodyText"/>
            </w:pPr>
            <w:r w:rsidRPr="00E04010">
              <w:t>Specific skills needed to achieve the Performance Criteria:</w:t>
            </w:r>
          </w:p>
          <w:p w:rsidR="00000000" w:rsidRPr="00E04010" w:rsidP="00E04010">
            <w:pPr>
              <w:pStyle w:val="BodyText"/>
            </w:pPr>
            <w:r w:rsidRPr="00E04010">
              <w:t xml:space="preserve">T1 </w:t>
            </w:r>
            <w:r w:rsidRPr="00E04010">
              <w:t xml:space="preserve">Interpret plant drawings and manufacturers manuals </w:t>
            </w:r>
          </w:p>
          <w:p w:rsidR="00000000" w:rsidRPr="00E04010" w:rsidP="00E04010">
            <w:pPr>
              <w:pStyle w:val="BodyText"/>
            </w:pPr>
            <w:r w:rsidRPr="00E04010">
              <w:t xml:space="preserve">T2 Apply relevant state and territory regulations </w:t>
            </w:r>
          </w:p>
          <w:p w:rsidR="00000000" w:rsidRPr="00E04010" w:rsidP="00E04010">
            <w:pPr>
              <w:pStyle w:val="BodyText"/>
            </w:pPr>
            <w:r w:rsidRPr="00E04010">
              <w:t xml:space="preserve">T3 Apply enterprise recording procedures </w:t>
            </w:r>
          </w:p>
          <w:p w:rsidR="00000000" w:rsidRPr="00E04010" w:rsidP="00E04010">
            <w:pPr>
              <w:pStyle w:val="BodyText"/>
            </w:pPr>
            <w:r w:rsidRPr="00E04010">
              <w:t xml:space="preserve">T4 Identify plant status </w:t>
            </w:r>
          </w:p>
          <w:p w:rsidR="00000000" w:rsidRPr="00E04010" w:rsidP="00E04010">
            <w:pPr>
              <w:pStyle w:val="BodyText"/>
            </w:pPr>
            <w:r w:rsidRPr="00E04010">
              <w:t xml:space="preserve">T5 Prepare plant/equipment for operation </w:t>
            </w:r>
          </w:p>
          <w:p w:rsidR="00000000" w:rsidRPr="00E04010" w:rsidP="00E04010">
            <w:pPr>
              <w:pStyle w:val="BodyText"/>
            </w:pPr>
            <w:r w:rsidRPr="00E04010">
              <w:t xml:space="preserve">T6 Organise resources </w:t>
            </w:r>
          </w:p>
          <w:p w:rsidR="00000000" w:rsidRPr="00E04010" w:rsidP="00E04010">
            <w:pPr>
              <w:pStyle w:val="BodyText"/>
            </w:pPr>
            <w:r w:rsidRPr="00E04010">
              <w:t xml:space="preserve">T7 Apply diagnostic </w:t>
            </w:r>
            <w:r w:rsidRPr="00E04010">
              <w:t xml:space="preserve">and testing techniques </w:t>
            </w:r>
          </w:p>
          <w:p w:rsidR="00000000" w:rsidRPr="00E04010" w:rsidP="00E04010">
            <w:pPr>
              <w:pStyle w:val="BodyText"/>
            </w:pPr>
            <w:r w:rsidRPr="00E04010">
              <w:t xml:space="preserve">T8 Identify and respond to abnormal plant operating conditions </w:t>
            </w:r>
          </w:p>
          <w:p w:rsidR="00000000" w:rsidRPr="00E04010" w:rsidP="00E04010">
            <w:pPr>
              <w:pStyle w:val="BodyText"/>
            </w:pPr>
            <w:r w:rsidRPr="00E04010">
              <w:t xml:space="preserve">T9 Plan and prioritise work </w:t>
            </w:r>
          </w:p>
          <w:p w:rsidR="00000000" w:rsidRPr="00E04010" w:rsidP="00E04010">
            <w:pPr>
              <w:pStyle w:val="BodyText"/>
            </w:pPr>
            <w:r w:rsidRPr="00E04010">
              <w:t xml:space="preserve">T10 Use relevant hand tools </w:t>
            </w:r>
          </w:p>
          <w:p w:rsidR="00000000" w:rsidRPr="00E04010" w:rsidP="00E04010">
            <w:pPr>
              <w:pStyle w:val="BodyText"/>
            </w:pPr>
            <w:r w:rsidRPr="00E04010">
              <w:t xml:space="preserve">T11 Communicate effectively </w:t>
            </w:r>
          </w:p>
          <w:p w:rsidR="00000000" w:rsidRPr="00E04010" w:rsidP="00E04010">
            <w:pPr>
              <w:pStyle w:val="BodyText"/>
            </w:pPr>
            <w:r w:rsidRPr="00E04010">
              <w:t xml:space="preserve">T12 Apply data analysis techniques and tools </w:t>
            </w:r>
          </w:p>
        </w:tc>
      </w:tr>
    </w:tbl>
    <w:p w:rsidR="00000000" w:rsidRPr="00E04010" w:rsidP="00E04010">
      <w:pPr>
        <w:pStyle w:val="BodyText"/>
      </w:pPr>
    </w:p>
    <w:p w:rsidR="00000000" w:rsidRPr="00E04010" w:rsidP="00E04010">
      <w:pPr>
        <w:pStyle w:val="AllowPageBreak"/>
      </w:pPr>
    </w:p>
    <w:p w:rsidR="00000000" w:rsidRPr="00E04010" w:rsidP="00E04010">
      <w:pPr>
        <w:pStyle w:val="Heading1"/>
      </w:pPr>
      <w:bookmarkStart w:id="10" w:name="O_475556"/>
      <w:bookmarkEnd w:id="10"/>
      <w:r w:rsidRPr="00E04010">
        <w:t>Evidence Guide</w:t>
      </w:r>
    </w:p>
    <w:tbl>
      <w:tblPr>
        <w:tblW w:w="0" w:type="auto"/>
        <w:tblLayout w:type="fixed"/>
        <w:tblCellMar>
          <w:left w:w="62" w:type="dxa"/>
          <w:right w:w="62" w:type="dxa"/>
        </w:tblCellMar>
        <w:tblLook w:val="0000"/>
      </w:tblPr>
      <w:tblGrid>
        <w:gridCol w:w="8460"/>
      </w:tblGrid>
      <w:tr w:rsidTr="00155F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EVIDENCE GUIDE</w:t>
            </w:r>
          </w:p>
        </w:tc>
      </w:tr>
      <w:tr w:rsidTr="00155F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9)</w:t>
            </w:r>
            <w:r w:rsidRPr="00E04010">
              <w:t xml:space="preserve"> This provides essential advice for assessment of the unit of competency and must be read in conjunction with the Performance Criteria and the Range Statement of the unit and the Training Package Assessment Guidelines.</w:t>
            </w:r>
          </w:p>
          <w:p w:rsidR="00000000" w:rsidRPr="00E04010" w:rsidP="00E04010">
            <w:pPr>
              <w:pStyle w:val="BodyText"/>
            </w:pPr>
            <w:r w:rsidRPr="00E04010">
              <w:t xml:space="preserve">The Evidence Guide </w:t>
            </w:r>
            <w:r w:rsidRPr="00E04010">
              <w:t>forms an integral part of this Competency Standard Unit and shall be used in conjunction with all components parts of this unit and, performed in accordance with the Assessment Guidelines of this Training Package.</w:t>
            </w:r>
          </w:p>
        </w:tc>
      </w:tr>
    </w:tbl>
    <w:p w:rsidR="00000000" w:rsidRPr="00E04010" w:rsidP="00E04010">
      <w:pPr>
        <w:pStyle w:val="BodyText"/>
      </w:pPr>
    </w:p>
    <w:tbl>
      <w:tblPr>
        <w:tblW w:w="0" w:type="auto"/>
        <w:tblLayout w:type="fixed"/>
        <w:tblCellMar>
          <w:left w:w="62" w:type="dxa"/>
          <w:right w:w="62" w:type="dxa"/>
        </w:tblCellMar>
        <w:tblLook w:val="0000"/>
      </w:tblPr>
      <w:tblGrid>
        <w:gridCol w:w="1890"/>
        <w:gridCol w:w="6570"/>
      </w:tblGrid>
      <w:tr w:rsidTr="00155F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9.1)</w:t>
            </w:r>
          </w:p>
        </w:tc>
      </w:tr>
      <w:tr w:rsidTr="00155F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Longitude competency development approaches to assessment, such as Profiling, require data to be reliably gathered in a form that can be consistently interpreted over time. This approach is best utilised in Apprenticeship programs and reduces assessment in</w:t>
            </w:r>
            <w:r w:rsidRPr="00E04010">
              <w:t>tervention. It is the Industry’s preferred model for apprenticeships. However, where summative (or final) assessment is used it is to include the application of the competency in the normal work environment or, at a minimum, the application of the competen</w:t>
            </w:r>
            <w:r w:rsidRPr="00E04010">
              <w:t>cy in a realistically simulated work environment. It is recognised that, in some circumstances, assessment in part or full can occur outside the workplace. However, it must be in accord with Industry and, Regulatory policy in this regard.</w:t>
            </w:r>
          </w:p>
          <w:p w:rsidR="00000000" w:rsidRPr="00E04010" w:rsidP="00E04010">
            <w:pPr>
              <w:pStyle w:val="BodyText"/>
            </w:pPr>
            <w:r w:rsidRPr="00E04010">
              <w:t>Methods chosen fo</w:t>
            </w:r>
            <w:r w:rsidRPr="00E04010">
              <w:t>r a particular assessment will be influenced by various factors. These include the extent of the assessment, the most effective locations for the assessment activities to take place, access to physical resources, additional safety measures that may be requ</w:t>
            </w:r>
            <w:r w:rsidRPr="00E04010">
              <w:t>ired and the critical nature of the competencies being assessed.</w:t>
            </w:r>
          </w:p>
          <w:p w:rsidR="00000000" w:rsidRPr="00E04010" w:rsidP="00E04010">
            <w:pPr>
              <w:pStyle w:val="BodyText"/>
            </w:pPr>
            <w:r w:rsidRPr="00E04010">
              <w:t>The critical safety nature of working with electricity, electrical equipment, gas or any other hazardous substance/material carries risk in deeming a person competent. Hence, sources of evide</w:t>
            </w:r>
            <w:r w:rsidRPr="00E04010">
              <w:t>nce need to be ‘rich’ in nature so as to minimise error in judgment.</w:t>
            </w:r>
          </w:p>
          <w:p w:rsidR="00000000" w:rsidRPr="00E04010" w:rsidP="00E04010">
            <w:pPr>
              <w:pStyle w:val="BodyText"/>
            </w:pPr>
            <w:r w:rsidRPr="00E04010">
              <w:t>Activities associated with normal every day work have a bearing on the decision as to how much and how detailed the data gathered will contribute to its ‘richness’. Some skills are more c</w:t>
            </w:r>
            <w:r w:rsidRPr="00E04010">
              <w:t>ritical to safety and operational requirements while the same skills may be more or less frequently practised. These points are raised for the assessors to consider when choosing an assessment method and developing assessment instruments. Sample assessment</w:t>
            </w:r>
            <w:r w:rsidRPr="00E04010">
              <w:t xml:space="preserve"> instruments are included for Assessors in the Assessment Guidelines of this Training Package.</w:t>
            </w:r>
          </w:p>
        </w:tc>
      </w:tr>
    </w:tbl>
    <w:p w:rsidR="00000000" w:rsidRPr="00E04010" w:rsidP="00E04010">
      <w:pPr>
        <w:pStyle w:val="BodyText"/>
      </w:pPr>
    </w:p>
    <w:tbl>
      <w:tblPr>
        <w:tblW w:w="0" w:type="auto"/>
        <w:tblLayout w:type="fixed"/>
        <w:tblCellMar>
          <w:left w:w="62" w:type="dxa"/>
          <w:right w:w="62" w:type="dxa"/>
        </w:tblCellMar>
        <w:tblLook w:val="0000"/>
      </w:tblPr>
      <w:tblGrid>
        <w:gridCol w:w="1890"/>
        <w:gridCol w:w="6570"/>
      </w:tblGrid>
      <w:tr w:rsidTr="00155F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9.2)</w:t>
            </w:r>
          </w:p>
        </w:tc>
      </w:tr>
      <w:tr w:rsidTr="00155F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Before the critical aspects of evidence are considered all prerequisites sh</w:t>
            </w:r>
            <w:r w:rsidRPr="00E04010">
              <w:t>all be met.</w:t>
            </w:r>
          </w:p>
          <w:p w:rsidR="00000000" w:rsidRPr="00E04010" w:rsidP="00E04010">
            <w:pPr>
              <w:pStyle w:val="BodyText"/>
            </w:pPr>
            <w:r w:rsidRPr="00E04010">
              <w:t>Evidence for competence in this unit shall be considered holistically.  Each element and associated Performance Criteria shall be demonstrated on at least two occasions in accordance with the “Assessment Guidelines – UEP12”.  Evidence shall als</w:t>
            </w:r>
            <w:r w:rsidRPr="00E04010">
              <w:t>o comprise:</w:t>
            </w:r>
          </w:p>
          <w:p w:rsidR="00000000" w:rsidRPr="00E04010" w:rsidP="00E04010">
            <w:pPr>
              <w:pStyle w:val="ListBullet"/>
            </w:pPr>
            <w:r w:rsidRPr="00E04010">
              <w:t>A representative body of work performance demonstrated within the timeframes typically expected of the discipline, work function and industrial environment. In particular this shall incorporate evidence that shows a candidate is able to:</w:t>
            </w:r>
          </w:p>
          <w:p w:rsidR="00000000" w:rsidRPr="00E04010" w:rsidP="00E04010">
            <w:pPr>
              <w:pStyle w:val="ListBullet2"/>
            </w:pPr>
            <w:r w:rsidRPr="00E04010">
              <w:t>Imp</w:t>
            </w:r>
            <w:r w:rsidRPr="00E04010">
              <w:t>lement Occupational Health and Safety workplace procedures and practices including the use of risk control measures as specified in the Performance Criteria and Range Statement</w:t>
            </w:r>
          </w:p>
          <w:p w:rsidR="00000000" w:rsidRPr="00E04010" w:rsidP="00E04010">
            <w:pPr>
              <w:pStyle w:val="ListBullet2"/>
            </w:pPr>
            <w:r w:rsidRPr="00E04010">
              <w:t>Apply sustainable energy principles and practices as specified in the Performan</w:t>
            </w:r>
            <w:r w:rsidRPr="00E04010">
              <w:t>ce Criteria and Range Statement</w:t>
            </w:r>
          </w:p>
          <w:p w:rsidR="00000000" w:rsidRPr="00E04010" w:rsidP="00E04010">
            <w:pPr>
              <w:pStyle w:val="ListBullet2"/>
            </w:pPr>
            <w:r w:rsidRPr="00E04010">
              <w:t>Demonstrate an understanding of the essential knowledge and associated skills as described in 6) Essential Knowledge and Associated Skills of this unit</w:t>
            </w:r>
          </w:p>
          <w:p w:rsidR="00000000" w:rsidRPr="00E04010" w:rsidP="00E04010">
            <w:pPr>
              <w:pStyle w:val="ListBullet2"/>
            </w:pPr>
            <w:r w:rsidRPr="00E04010">
              <w:t>employability skillsConduct work observing the relevant Anti Discriminat</w:t>
            </w:r>
            <w:r w:rsidRPr="00E04010">
              <w:t>ion legislation, regulations, polices and workplace procedures</w:t>
            </w:r>
          </w:p>
          <w:p w:rsidR="00000000" w:rsidRPr="00E04010" w:rsidP="00E04010">
            <w:pPr>
              <w:pStyle w:val="ListBullet"/>
            </w:pPr>
            <w:r w:rsidRPr="00E04010">
              <w:t>Demonstrated performance across a representative range of contexts from the prescribed items below:</w:t>
            </w:r>
          </w:p>
          <w:p w:rsidR="00000000" w:rsidRPr="00E04010" w:rsidP="00E04010">
            <w:pPr>
              <w:pStyle w:val="ListBullet2"/>
            </w:pPr>
            <w:r w:rsidRPr="00E04010">
              <w:t>Knowledge and application of relevant sections of: Occupational Health and Safety legislati</w:t>
            </w:r>
            <w:r w:rsidRPr="00E04010">
              <w:t>on; Statutory legislation; Enterprise/site safety procedures; Enterprise/site emergency procedures</w:t>
            </w:r>
          </w:p>
          <w:p w:rsidR="00000000" w:rsidRPr="00E04010" w:rsidP="00E04010">
            <w:pPr>
              <w:pStyle w:val="ListBullet2"/>
            </w:pPr>
            <w:r w:rsidRPr="00E04010">
              <w:t>Preparation and planning of work</w:t>
            </w:r>
          </w:p>
          <w:p w:rsidR="00000000" w:rsidRPr="00E04010" w:rsidP="00E04010">
            <w:pPr>
              <w:pStyle w:val="ListBullet2"/>
            </w:pPr>
            <w:r w:rsidRPr="00E04010">
              <w:t>Operation of generator/alternator unit</w:t>
            </w:r>
          </w:p>
          <w:p w:rsidR="00000000" w:rsidRPr="00E04010" w:rsidP="00E04010">
            <w:pPr>
              <w:pStyle w:val="ListBullet2"/>
            </w:pPr>
            <w:r w:rsidRPr="00E04010">
              <w:t>Operationally testing plant</w:t>
            </w:r>
          </w:p>
          <w:p w:rsidR="00000000" w:rsidRPr="00E04010" w:rsidP="00E04010">
            <w:pPr>
              <w:pStyle w:val="ListBullet2"/>
            </w:pPr>
            <w:r w:rsidRPr="00E04010">
              <w:t>Analysing plant faults</w:t>
            </w:r>
          </w:p>
          <w:p w:rsidR="00000000" w:rsidRPr="00E04010" w:rsidP="00E04010">
            <w:pPr>
              <w:pStyle w:val="ListBullet2"/>
            </w:pPr>
            <w:r w:rsidRPr="00E04010">
              <w:t>Monitoring plant operation</w:t>
            </w:r>
          </w:p>
          <w:p w:rsidR="00000000" w:rsidRPr="00E04010" w:rsidP="00E04010">
            <w:pPr>
              <w:pStyle w:val="ListBullet2"/>
            </w:pPr>
            <w:r w:rsidRPr="00E04010">
              <w:t>Dealing with an unplanned event by drawing on essential knowledge and skills to provide appropriate solutions incorporated in the holistic assessment with the above listed items.</w:t>
            </w:r>
          </w:p>
        </w:tc>
      </w:tr>
    </w:tbl>
    <w:p w:rsidR="00000000" w:rsidRPr="00E04010" w:rsidP="00E04010">
      <w:pPr>
        <w:pStyle w:val="BodyText"/>
      </w:pPr>
    </w:p>
    <w:tbl>
      <w:tblPr>
        <w:tblW w:w="0" w:type="auto"/>
        <w:tblLayout w:type="fixed"/>
        <w:tblCellMar>
          <w:left w:w="62" w:type="dxa"/>
          <w:right w:w="62" w:type="dxa"/>
        </w:tblCellMar>
        <w:tblLook w:val="0000"/>
      </w:tblPr>
      <w:tblGrid>
        <w:gridCol w:w="1890"/>
        <w:gridCol w:w="6570"/>
      </w:tblGrid>
      <w:tr w:rsidTr="00155FD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9.3)</w:t>
            </w:r>
          </w:p>
        </w:tc>
      </w:tr>
      <w:tr w:rsidTr="00155FD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This unit should be</w:t>
            </w:r>
            <w:r w:rsidRPr="00E04010">
              <w:t xml:space="preserve"> assessed as it relates to normal work practice using procedures, information and resources typical of a workplace. This should include:</w:t>
            </w:r>
          </w:p>
          <w:p w:rsidR="00000000" w:rsidRPr="00E04010" w:rsidP="00E04010">
            <w:pPr>
              <w:pStyle w:val="ListBullet"/>
            </w:pPr>
            <w:r w:rsidRPr="00E04010">
              <w:t>OHS policy and work procedures and instructions.</w:t>
            </w:r>
          </w:p>
          <w:p w:rsidR="00000000" w:rsidRPr="00E04010" w:rsidP="00E04010">
            <w:pPr>
              <w:pStyle w:val="ListBullet"/>
            </w:pPr>
            <w:r w:rsidRPr="00E04010">
              <w:t>Suitable work environment, facilities, equipment and materials to undertake actual work as prescribed by this unit.</w:t>
            </w:r>
          </w:p>
          <w:p w:rsidR="00000000" w:rsidRPr="00E04010" w:rsidP="00E04010">
            <w:pPr>
              <w:pStyle w:val="BodyText"/>
            </w:pPr>
            <w:r w:rsidRPr="00E04010">
              <w:t>Competency Standards should be assessed in the workplace or simulated workplace and under the normal range of workplace conditions.</w:t>
            </w:r>
          </w:p>
          <w:p w:rsidR="00000000" w:rsidRPr="00E04010" w:rsidP="00E04010">
            <w:pPr>
              <w:pStyle w:val="BodyText"/>
            </w:pPr>
            <w:r w:rsidRPr="00E04010">
              <w:t>Assessme</w:t>
            </w:r>
            <w:r w:rsidRPr="00E04010">
              <w:t>nt of this unit will be supported with documentary evidence, by means of endorsement stating type and application of work.</w:t>
            </w:r>
          </w:p>
          <w:p w:rsidR="00000000" w:rsidRPr="00E04010" w:rsidP="00E04010">
            <w:pPr>
              <w:pStyle w:val="BodyText"/>
            </w:pPr>
            <w:r w:rsidRPr="00E04010">
              <w:t>In addition to the resources listed above in Context of assessment’, evidence should show competency working, in limited spaces, with</w:t>
            </w:r>
            <w:r w:rsidRPr="00E04010">
              <w:t xml:space="preserve"> different types of plant and equipment as well as different structural/construction types and methods and in a variety of environments.</w:t>
            </w:r>
          </w:p>
        </w:tc>
      </w:tr>
    </w:tbl>
    <w:p w:rsidR="00000000" w:rsidRPr="00E04010" w:rsidP="00E04010">
      <w:pPr>
        <w:pStyle w:val="BodyText"/>
      </w:pPr>
    </w:p>
    <w:tbl>
      <w:tblPr>
        <w:tblW w:w="0" w:type="auto"/>
        <w:tblLayout w:type="fixed"/>
        <w:tblCellMar>
          <w:left w:w="62" w:type="dxa"/>
          <w:right w:w="62" w:type="dxa"/>
        </w:tblCellMar>
        <w:tblLook w:val="0000"/>
      </w:tblPr>
      <w:tblGrid>
        <w:gridCol w:w="1890"/>
        <w:gridCol w:w="6570"/>
      </w:tblGrid>
      <w:tr w:rsidTr="00155F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9.4)</w:t>
            </w:r>
          </w:p>
        </w:tc>
      </w:tr>
      <w:tr w:rsidTr="00155F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This unit shall be assessed by methods given in Section 1.3.00 Assessment Guidelines..</w:t>
            </w:r>
          </w:p>
          <w:p w:rsidR="00000000" w:rsidRPr="00E04010" w:rsidP="00E04010">
            <w:pPr>
              <w:pStyle w:val="BodyText"/>
            </w:pPr>
            <w:r w:rsidRPr="00E04010">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E04010">
              <w:t>intended for learning/assessment and incorporates all necessary equipment and facilities for learners to develop and demonstrate the essential knowledge and skills described in this unit.</w:t>
            </w:r>
          </w:p>
        </w:tc>
      </w:tr>
    </w:tbl>
    <w:p w:rsidR="00000000" w:rsidRPr="00E04010" w:rsidP="00E04010">
      <w:pPr>
        <w:pStyle w:val="BodyText"/>
      </w:pPr>
    </w:p>
    <w:tbl>
      <w:tblPr>
        <w:tblW w:w="0" w:type="auto"/>
        <w:tblLayout w:type="fixed"/>
        <w:tblCellMar>
          <w:left w:w="62" w:type="dxa"/>
          <w:right w:w="62" w:type="dxa"/>
        </w:tblCellMar>
        <w:tblLook w:val="0000"/>
      </w:tblPr>
      <w:tblGrid>
        <w:gridCol w:w="1890"/>
        <w:gridCol w:w="6570"/>
      </w:tblGrid>
      <w:tr w:rsidTr="00155F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9.5)</w:t>
            </w:r>
          </w:p>
        </w:tc>
      </w:tr>
      <w:tr w:rsidTr="00155FD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The</w:t>
            </w:r>
            <w:r w:rsidRPr="00E04010">
              <w:t>re are no recommended concurrent assessments with this unit, however in some cases efficiencies may be gained in terms of learning and assessment effort being concurrently managed with allied competency standard units where listed.</w:t>
            </w:r>
          </w:p>
          <w:p w:rsidR="00000000" w:rsidRPr="00E04010" w:rsidP="00E04010">
            <w:pPr>
              <w:pStyle w:val="BodyText"/>
            </w:pPr>
            <w:r w:rsidRPr="00E04010">
              <w:t>Nil</w:t>
            </w:r>
            <w:r w:rsidRPr="00E04010">
              <w:tab/>
            </w:r>
          </w:p>
        </w:tc>
      </w:tr>
    </w:tbl>
    <w:p w:rsidR="00000000" w:rsidRPr="00E04010" w:rsidP="00E04010">
      <w:pPr>
        <w:pStyle w:val="BodyText"/>
      </w:pPr>
    </w:p>
    <w:p w:rsidR="00000000" w:rsidRPr="00E04010" w:rsidP="00E04010">
      <w:pPr>
        <w:pStyle w:val="AllowPageBreak"/>
      </w:pPr>
    </w:p>
    <w:p w:rsidR="00000000" w:rsidRPr="00E04010" w:rsidP="00E04010">
      <w:pPr>
        <w:pStyle w:val="Heading1"/>
      </w:pPr>
      <w:bookmarkStart w:id="11" w:name="O_475560"/>
      <w:bookmarkEnd w:id="11"/>
      <w:r w:rsidRPr="00E04010">
        <w:t>Range Statement</w:t>
      </w:r>
    </w:p>
    <w:tbl>
      <w:tblPr>
        <w:tblW w:w="0" w:type="auto"/>
        <w:tblLayout w:type="fixed"/>
        <w:tblCellMar>
          <w:left w:w="62" w:type="dxa"/>
          <w:right w:w="62" w:type="dxa"/>
        </w:tblCellMar>
        <w:tblLook w:val="0000"/>
      </w:tblPr>
      <w:tblGrid>
        <w:gridCol w:w="8460"/>
      </w:tblGrid>
      <w:tr w:rsidTr="00155F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RANGE STATEMENT</w:t>
            </w:r>
          </w:p>
        </w:tc>
      </w:tr>
      <w:tr w:rsidTr="00155F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 xml:space="preserve">10) </w:t>
            </w:r>
            <w:r w:rsidRPr="00E04010">
              <w:t xml:space="preserve">This relates to the unit of competency as a whole providing the range of contexts and conditions </w:t>
            </w:r>
            <w:r w:rsidRPr="00E04010">
              <w:t>to which the Performance Criteria apply. It allows for different work environments and situations that will affect performance.</w:t>
            </w:r>
          </w:p>
          <w:p w:rsidR="00000000" w:rsidRPr="00E04010" w:rsidP="00E04010">
            <w:pPr>
              <w:pStyle w:val="BodyText"/>
            </w:pPr>
            <w:r w:rsidRPr="00E04010">
              <w:t>Generator/alternator plant and equipment may include cooling water systems; lubrication systems; excitation systems; automatic v</w:t>
            </w:r>
            <w:r w:rsidRPr="00E04010">
              <w:t>oltage regulators, control system; supervisory, alarm and control equipment; electrical motors, fans and pumps; electrical supply and distribution systems; fire protection equipment; heat exchangers, filters and strainers; transformers; water drainage syst</w:t>
            </w:r>
            <w:r w:rsidRPr="00E04010">
              <w:t>ems; and environmental protective systems.</w:t>
            </w:r>
          </w:p>
          <w:p w:rsidR="00000000" w:rsidRPr="00E04010" w:rsidP="00E04010">
            <w:pPr>
              <w:pStyle w:val="BodyText"/>
            </w:pPr>
            <w:r w:rsidRPr="00E04010">
              <w:t xml:space="preserve">Prime movers may include steam turbine; gas turbine; hydro turbine; wind turbine and reciprocating engine. </w:t>
            </w:r>
          </w:p>
          <w:p w:rsidR="00000000" w:rsidRPr="00E04010" w:rsidP="00E04010">
            <w:pPr>
              <w:pStyle w:val="BodyText"/>
            </w:pPr>
            <w:r w:rsidRPr="00E04010">
              <w:t xml:space="preserve">Safety standards may include relevant sections of Occupational Health and Safety legislation, enterprise </w:t>
            </w:r>
            <w:r w:rsidRPr="00E04010">
              <w:t>safety rules, relevant state and federal legislation, national standards for plant and Australian standards and enterprise safety procedures and practices.</w:t>
            </w:r>
          </w:p>
          <w:p w:rsidR="00000000" w:rsidRPr="00E04010" w:rsidP="00E04010">
            <w:pPr>
              <w:pStyle w:val="BodyText"/>
            </w:pPr>
            <w:r w:rsidRPr="00E04010">
              <w:t>Information and documentation sources may include verbal or written communications; enterprise safet</w:t>
            </w:r>
            <w:r w:rsidRPr="00E04010">
              <w:t>y rules documentation; enterprise operating instructions; dedicated computer equipment; enterprise/site standing and operating instructions; enterprise log books; manufacturer operation and maintenance manuals; and equipment and alarm manuals.</w:t>
            </w:r>
          </w:p>
          <w:p w:rsidR="00000000" w:rsidRPr="00E04010" w:rsidP="00E04010">
            <w:pPr>
              <w:pStyle w:val="BodyText"/>
            </w:pPr>
            <w:r w:rsidRPr="00E04010">
              <w:t>Technical an</w:t>
            </w:r>
            <w:r w:rsidRPr="00E04010">
              <w:t>d operational indicators may include stimuli (audio, smell, touch, visual), remote or local indicators and recorders, computers and alarms (visible and or audible).Tests may include HV relay tests, Control system operation tests, Rotor earth tests, Oil qua</w:t>
            </w:r>
            <w:r w:rsidRPr="00E04010">
              <w:t>lity test and Cooling system tests</w:t>
            </w:r>
          </w:p>
          <w:p w:rsidR="00000000" w:rsidRPr="00E04010" w:rsidP="00E04010">
            <w:pPr>
              <w:pStyle w:val="BodyText"/>
            </w:pPr>
            <w:r w:rsidRPr="00E04010">
              <w:t>Communications may be by means of telephone, two way radio, pager, computer (electronic mail) and operating logs (written or verbal).</w:t>
            </w:r>
          </w:p>
          <w:p w:rsidR="00000000" w:rsidRPr="00E04010" w:rsidP="00E04010">
            <w:pPr>
              <w:pStyle w:val="BodyText"/>
            </w:pPr>
            <w:r w:rsidRPr="00E04010">
              <w:t>Appropriate personnel to consult, give or receive direction may include, supervisor/tea</w:t>
            </w:r>
            <w:r w:rsidRPr="00E04010">
              <w:t xml:space="preserve">m leader , Network regulator, engineering officer, maintenance office or equivalent, technical and officers, contractor staff, maintenance staff, </w:t>
            </w:r>
          </w:p>
          <w:p w:rsidR="00000000" w:rsidRPr="00E04010" w:rsidP="00E04010">
            <w:pPr>
              <w:pStyle w:val="BodyText"/>
            </w:pPr>
            <w:r w:rsidRPr="00E04010">
              <w:t>Test, fault finding and operating tools may include low and high voltage testers, proving dead equipment, pow</w:t>
            </w:r>
            <w:r w:rsidRPr="00E04010">
              <w:t>ered or non-powered hand tools.</w:t>
            </w:r>
          </w:p>
          <w:p w:rsidR="00000000" w:rsidRPr="00E04010" w:rsidP="00E04010">
            <w:pPr>
              <w:pStyle w:val="BodyText"/>
            </w:pPr>
            <w:r w:rsidRPr="00E04010">
              <w:t>Operating environment may be remote from plant, aided by indicators and monitors, during inclement or otherwise harsh weather conditions, in wet/noisy/dusty/hot areas, during night periods or locally aided by visual and audi</w:t>
            </w:r>
            <w:r w:rsidRPr="00E04010">
              <w:t>ble indicators.</w:t>
            </w:r>
          </w:p>
          <w:p w:rsidR="00000000" w:rsidRPr="00E04010" w:rsidP="00E04010">
            <w:pPr>
              <w:pStyle w:val="BodyText"/>
            </w:pPr>
            <w:r w:rsidRPr="00E04010">
              <w:t>Generic terms are used throughout this Training Package for vocational standard shall be regarded as part of the Range Statement in which competency is demonstrated. The definition of these and other terms are given in Section 2.1 Prelimina</w:t>
            </w:r>
            <w:r w:rsidRPr="00E04010">
              <w:t>ry Information and Glossaries.</w:t>
            </w:r>
          </w:p>
        </w:tc>
      </w:tr>
    </w:tbl>
    <w:p w:rsidR="00000000" w:rsidRPr="00E04010" w:rsidP="00E04010">
      <w:pPr>
        <w:pStyle w:val="BodyText"/>
      </w:pPr>
    </w:p>
    <w:p w:rsidR="00000000" w:rsidRPr="00E04010" w:rsidP="00E04010">
      <w:pPr>
        <w:pStyle w:val="AllowPageBreak"/>
      </w:pPr>
    </w:p>
    <w:p w:rsidR="00000000" w:rsidRPr="00E04010" w:rsidP="00E04010">
      <w:pPr>
        <w:pStyle w:val="Heading1"/>
      </w:pPr>
      <w:bookmarkStart w:id="12" w:name="O_475563"/>
      <w:bookmarkEnd w:id="12"/>
      <w:r w:rsidRPr="00E04010">
        <w:t>Unit Sector(s)</w:t>
      </w:r>
    </w:p>
    <w:p w:rsidR="00000000" w:rsidRPr="00E04010" w:rsidP="00E04010">
      <w:pPr>
        <w:pStyle w:val="BodyText"/>
      </w:pPr>
      <w:r w:rsidRPr="00E04010">
        <w:t>Not applicable.</w:t>
      </w:r>
    </w:p>
    <w:p w:rsidR="00000000" w:rsidRPr="00E04010" w:rsidP="00E04010">
      <w:pPr>
        <w:pStyle w:val="AllowPageBreak"/>
      </w:pPr>
    </w:p>
    <w:p w:rsidR="00000000" w:rsidRPr="00E04010" w:rsidP="00E04010">
      <w:pPr>
        <w:pStyle w:val="Heading1"/>
      </w:pPr>
      <w:bookmarkStart w:id="13" w:name="O_475552"/>
      <w:bookmarkEnd w:id="13"/>
      <w:r w:rsidRPr="00E04010">
        <w:t>Competency Field</w:t>
      </w:r>
    </w:p>
    <w:tbl>
      <w:tblPr>
        <w:tblW w:w="0" w:type="auto"/>
        <w:tblLayout w:type="fixed"/>
        <w:tblCellMar>
          <w:left w:w="62" w:type="dxa"/>
          <w:right w:w="62" w:type="dxa"/>
        </w:tblCellMar>
        <w:tblLook w:val="0000"/>
      </w:tblPr>
      <w:tblGrid>
        <w:gridCol w:w="2700"/>
        <w:gridCol w:w="5760"/>
      </w:tblGrid>
      <w:tr w:rsidTr="00155F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04010">
            <w:pPr>
              <w:pStyle w:val="BodyText"/>
              <w:rPr>
                <w:lang w:val="en-NZ"/>
              </w:rPr>
            </w:pPr>
            <w:r w:rsidRPr="00E04010">
              <w:rPr>
                <w:rStyle w:val="SpecialBold"/>
              </w:rPr>
              <w:t xml:space="preserve">11) </w:t>
            </w:r>
          </w:p>
        </w:tc>
      </w:tr>
      <w:tr w:rsidTr="00155F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4010" w:rsidP="00E04010">
            <w:pPr>
              <w:pStyle w:val="BodyText"/>
            </w:pPr>
            <w:r w:rsidRPr="00E04010">
              <w:t>Operations.</w:t>
            </w:r>
          </w:p>
        </w:tc>
      </w:tr>
    </w:tbl>
    <w:p w:rsidR="00000000" w:rsidRPr="00E04010" w:rsidP="00E04010">
      <w:pPr>
        <w:pStyle w:val="BodyText"/>
      </w:pPr>
    </w:p>
    <w:p w:rsidR="00000000" w:rsidRPr="00E04010" w:rsidP="00E04010"/>
    <w:sectPr w:rsidSect="00E040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10" w:rsidRPr="00155FD1" w:rsidP="00155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D1" w:rsidP="00E04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55FD1" w:rsidP="00E040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55FD1" w:rsidP="00E040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10" w:rsidRPr="00155FD1" w:rsidP="00155F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D1" w:rsidRPr="002D2AF8" w:rsidP="00E04010">
    <w:pPr>
      <w:pStyle w:val="Header"/>
      <w:framePr w:wrap="around"/>
    </w:pPr>
    <w:r>
      <w:fldChar w:fldCharType="begin"/>
    </w:r>
    <w:r>
      <w:instrText xml:space="preserve"> TITLE   \* MERGEFORMAT </w:instrText>
    </w:r>
    <w:r>
      <w:fldChar w:fldCharType="separate"/>
    </w:r>
    <w:r>
      <w:t>UEPOPS362A Operate and Monitor Generator/Alternator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55FD1" w:rsidP="00E040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E4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67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AEE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0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010"/>
    <w:pPr>
      <w:spacing w:before="360" w:after="60"/>
      <w:outlineLvl w:val="0"/>
    </w:pPr>
    <w:rPr>
      <w:sz w:val="32"/>
    </w:rPr>
  </w:style>
  <w:style w:type="paragraph" w:styleId="Heading2">
    <w:name w:val="heading 2"/>
    <w:basedOn w:val="HeadingBase"/>
    <w:next w:val="BodyText"/>
    <w:link w:val="Heading2Char"/>
    <w:qFormat/>
    <w:rsid w:val="00E04010"/>
    <w:pPr>
      <w:keepLines/>
      <w:spacing w:before="240" w:after="120"/>
      <w:outlineLvl w:val="1"/>
    </w:pPr>
    <w:rPr>
      <w:sz w:val="28"/>
      <w:szCs w:val="40"/>
    </w:rPr>
  </w:style>
  <w:style w:type="paragraph" w:styleId="Heading3">
    <w:name w:val="heading 3"/>
    <w:basedOn w:val="HeadingBase"/>
    <w:next w:val="BodyText"/>
    <w:link w:val="Heading3Char"/>
    <w:qFormat/>
    <w:rsid w:val="00E04010"/>
    <w:pPr>
      <w:spacing w:before="180" w:after="120"/>
      <w:outlineLvl w:val="2"/>
    </w:pPr>
    <w:rPr>
      <w:spacing w:val="-10"/>
      <w:kern w:val="32"/>
    </w:rPr>
  </w:style>
  <w:style w:type="paragraph" w:styleId="Heading4">
    <w:name w:val="heading 4"/>
    <w:basedOn w:val="HeadingBase"/>
    <w:next w:val="BodyText"/>
    <w:link w:val="Heading4Char"/>
    <w:qFormat/>
    <w:rsid w:val="00E04010"/>
    <w:pPr>
      <w:spacing w:before="160" w:after="120"/>
      <w:outlineLvl w:val="3"/>
    </w:pPr>
    <w:rPr>
      <w:sz w:val="22"/>
    </w:rPr>
  </w:style>
  <w:style w:type="paragraph" w:styleId="Heading5">
    <w:name w:val="heading 5"/>
    <w:basedOn w:val="HeadingBase"/>
    <w:next w:val="Normal"/>
    <w:link w:val="Heading5Char"/>
    <w:qFormat/>
    <w:rsid w:val="00E04010"/>
    <w:pPr>
      <w:spacing w:before="80"/>
      <w:outlineLvl w:val="4"/>
    </w:pPr>
    <w:rPr>
      <w:color w:val="918585"/>
      <w:sz w:val="20"/>
    </w:rPr>
  </w:style>
  <w:style w:type="paragraph" w:styleId="Heading6">
    <w:name w:val="heading 6"/>
    <w:basedOn w:val="HeadingBase"/>
    <w:next w:val="Normal"/>
    <w:link w:val="Heading6Char"/>
    <w:qFormat/>
    <w:rsid w:val="00E04010"/>
    <w:pPr>
      <w:spacing w:before="60"/>
      <w:outlineLvl w:val="5"/>
    </w:pPr>
    <w:rPr>
      <w:color w:val="918585"/>
      <w:sz w:val="20"/>
    </w:rPr>
  </w:style>
  <w:style w:type="paragraph" w:styleId="Heading7">
    <w:name w:val="heading 7"/>
    <w:basedOn w:val="Normal"/>
    <w:next w:val="Normal"/>
    <w:link w:val="Heading7Char"/>
    <w:qFormat/>
    <w:rsid w:val="00E04010"/>
    <w:pPr>
      <w:ind w:left="720"/>
      <w:outlineLvl w:val="6"/>
    </w:pPr>
    <w:rPr>
      <w:i/>
    </w:rPr>
  </w:style>
  <w:style w:type="paragraph" w:styleId="Heading8">
    <w:name w:val="heading 8"/>
    <w:basedOn w:val="Normal"/>
    <w:next w:val="Normal"/>
    <w:link w:val="Heading8Char"/>
    <w:qFormat/>
    <w:rsid w:val="00E04010"/>
    <w:pPr>
      <w:ind w:left="720"/>
      <w:outlineLvl w:val="7"/>
    </w:pPr>
    <w:rPr>
      <w:i/>
    </w:rPr>
  </w:style>
  <w:style w:type="paragraph" w:styleId="Heading9">
    <w:name w:val="heading 9"/>
    <w:basedOn w:val="Normal"/>
    <w:next w:val="Normal"/>
    <w:link w:val="Heading9Char"/>
    <w:qFormat/>
    <w:rsid w:val="00E04010"/>
    <w:pPr>
      <w:ind w:left="720"/>
      <w:outlineLvl w:val="8"/>
    </w:pPr>
    <w:rPr>
      <w:i/>
    </w:rPr>
  </w:style>
  <w:style w:type="character" w:default="1" w:styleId="DefaultParagraphFont">
    <w:name w:val="Default Paragraph Font"/>
    <w:uiPriority w:val="1"/>
    <w:unhideWhenUsed/>
    <w:rsid w:val="00E04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010"/>
  </w:style>
  <w:style w:type="character" w:customStyle="1" w:styleId="Heading1Char">
    <w:name w:val="Heading 1 Char"/>
    <w:basedOn w:val="DefaultParagraphFont"/>
    <w:link w:val="Heading1"/>
    <w:rsid w:val="00E04010"/>
    <w:rPr>
      <w:rFonts w:ascii="Times New Roman" w:eastAsia="Times New Roman" w:hAnsi="Times New Roman" w:cs="Times New Roman"/>
      <w:b/>
      <w:sz w:val="32"/>
      <w:szCs w:val="20"/>
      <w:lang w:eastAsia="en-US"/>
    </w:rPr>
  </w:style>
  <w:style w:type="paragraph" w:styleId="BodyText">
    <w:name w:val="Body Text"/>
    <w:basedOn w:val="Normal"/>
    <w:link w:val="BodyTextChar"/>
    <w:rsid w:val="00E040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4010"/>
    <w:rPr>
      <w:rFonts w:ascii="Times New Roman" w:eastAsia="Times New Roman" w:hAnsi="Times New Roman" w:cs="Times New Roman"/>
      <w:sz w:val="24"/>
      <w:lang w:eastAsia="en-US"/>
    </w:rPr>
  </w:style>
  <w:style w:type="paragraph" w:styleId="ListBullet">
    <w:name w:val="List Bullet"/>
    <w:basedOn w:val="List"/>
    <w:rsid w:val="00E04010"/>
    <w:pPr>
      <w:numPr>
        <w:numId w:val="13"/>
      </w:numPr>
      <w:tabs>
        <w:tab w:val="clear" w:pos="340"/>
      </w:tabs>
      <w:spacing w:before="40" w:after="40"/>
    </w:pPr>
  </w:style>
  <w:style w:type="character" w:customStyle="1" w:styleId="SpecialBold">
    <w:name w:val="Special Bold"/>
    <w:basedOn w:val="DefaultParagraphFont"/>
    <w:rsid w:val="00E04010"/>
    <w:rPr>
      <w:b/>
      <w:spacing w:val="0"/>
    </w:rPr>
  </w:style>
  <w:style w:type="paragraph" w:styleId="ListBullet2">
    <w:name w:val="List Bullet 2"/>
    <w:basedOn w:val="List2"/>
    <w:rsid w:val="00E04010"/>
    <w:pPr>
      <w:numPr>
        <w:numId w:val="14"/>
      </w:numPr>
      <w:tabs>
        <w:tab w:val="clear" w:pos="680"/>
      </w:tabs>
    </w:pPr>
  </w:style>
  <w:style w:type="paragraph" w:customStyle="1" w:styleId="SuperHeading">
    <w:name w:val="SuperHeading"/>
    <w:basedOn w:val="Normal"/>
    <w:rsid w:val="00E04010"/>
    <w:pPr>
      <w:spacing w:before="240" w:after="120"/>
      <w:outlineLvl w:val="0"/>
    </w:pPr>
    <w:rPr>
      <w:rFonts w:ascii="Times New Roman" w:hAnsi="Times New Roman"/>
      <w:b/>
      <w:sz w:val="32"/>
    </w:rPr>
  </w:style>
  <w:style w:type="paragraph" w:customStyle="1" w:styleId="AllowPageBreak">
    <w:name w:val="AllowPageBreak"/>
    <w:rsid w:val="00E040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40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0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0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0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0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0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010"/>
    <w:rPr>
      <w:rFonts w:ascii="Courier New" w:eastAsia="Times New Roman" w:hAnsi="Courier New" w:cs="Times New Roman"/>
      <w:i/>
      <w:szCs w:val="20"/>
      <w:lang w:eastAsia="en-US"/>
    </w:rPr>
  </w:style>
  <w:style w:type="paragraph" w:customStyle="1" w:styleId="HeadingBase">
    <w:name w:val="Heading Base"/>
    <w:rsid w:val="00E04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010"/>
    <w:pPr>
      <w:tabs>
        <w:tab w:val="right" w:leader="dot" w:pos="9072"/>
      </w:tabs>
      <w:ind w:left="567"/>
    </w:pPr>
    <w:rPr>
      <w:szCs w:val="22"/>
    </w:rPr>
  </w:style>
  <w:style w:type="paragraph" w:customStyle="1" w:styleId="TOCBase">
    <w:name w:val="TOC Base"/>
    <w:rsid w:val="00E04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010"/>
    <w:pPr>
      <w:tabs>
        <w:tab w:val="right" w:leader="dot" w:pos="9072"/>
      </w:tabs>
      <w:spacing w:before="40" w:after="40"/>
      <w:ind w:left="284"/>
    </w:pPr>
    <w:rPr>
      <w:rFonts w:ascii="Times New Roman" w:hAnsi="Times New Roman"/>
    </w:rPr>
  </w:style>
  <w:style w:type="paragraph" w:styleId="TOC1">
    <w:name w:val="toc 1"/>
    <w:basedOn w:val="TOCBase"/>
    <w:next w:val="Normal"/>
    <w:rsid w:val="00E040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010"/>
    <w:rPr>
      <w:rFonts w:ascii="Times New Roman" w:eastAsia="Times New Roman" w:hAnsi="Times New Roman" w:cs="Times New Roman"/>
      <w:sz w:val="16"/>
      <w:lang w:eastAsia="en-US"/>
    </w:rPr>
  </w:style>
  <w:style w:type="paragraph" w:styleId="Title">
    <w:name w:val="Title"/>
    <w:basedOn w:val="HeadingBase"/>
    <w:link w:val="TitleChar"/>
    <w:qFormat/>
    <w:rsid w:val="00E04010"/>
    <w:pPr>
      <w:spacing w:before="5040"/>
      <w:jc w:val="center"/>
    </w:pPr>
    <w:rPr>
      <w:sz w:val="48"/>
      <w:szCs w:val="72"/>
      <w:lang w:val="en-US"/>
    </w:rPr>
  </w:style>
  <w:style w:type="character" w:customStyle="1" w:styleId="TitleChar">
    <w:name w:val="Title Char"/>
    <w:basedOn w:val="DefaultParagraphFont"/>
    <w:link w:val="Title"/>
    <w:rsid w:val="00E04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010"/>
    <w:pPr>
      <w:tabs>
        <w:tab w:val="left" w:pos="3600"/>
        <w:tab w:val="left" w:pos="3958"/>
      </w:tabs>
    </w:pPr>
  </w:style>
  <w:style w:type="paragraph" w:styleId="List">
    <w:name w:val="List"/>
    <w:basedOn w:val="BodyText"/>
    <w:next w:val="BodyText"/>
    <w:rsid w:val="00E04010"/>
    <w:pPr>
      <w:tabs>
        <w:tab w:val="left" w:pos="340"/>
      </w:tabs>
      <w:spacing w:before="60" w:after="60"/>
      <w:ind w:left="340" w:hanging="340"/>
    </w:pPr>
  </w:style>
  <w:style w:type="paragraph" w:customStyle="1" w:styleId="Note">
    <w:name w:val="Note"/>
    <w:basedOn w:val="BodyText"/>
    <w:rsid w:val="00E040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010"/>
    <w:pPr>
      <w:framePr w:wrap="auto" w:hAnchor="text" w:y="6049"/>
    </w:pPr>
    <w:rPr>
      <w:color w:val="000000"/>
      <w:sz w:val="40"/>
    </w:rPr>
  </w:style>
  <w:style w:type="paragraph" w:customStyle="1" w:styleId="TOCTitle">
    <w:name w:val="TOCTitle"/>
    <w:basedOn w:val="Heading1"/>
    <w:rsid w:val="00E04010"/>
    <w:pPr>
      <w:spacing w:after="240"/>
      <w:jc w:val="center"/>
      <w:outlineLvl w:val="9"/>
    </w:pPr>
    <w:rPr>
      <w:caps/>
    </w:rPr>
  </w:style>
  <w:style w:type="paragraph" w:customStyle="1" w:styleId="Version">
    <w:name w:val="Version"/>
    <w:rsid w:val="00E040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010"/>
    <w:pPr>
      <w:keepNext w:val="0"/>
      <w:tabs>
        <w:tab w:val="right" w:pos="4176"/>
      </w:tabs>
      <w:ind w:left="198" w:hanging="198"/>
    </w:pPr>
    <w:rPr>
      <w:rFonts w:ascii="Garamond" w:hAnsi="Garamond"/>
    </w:rPr>
  </w:style>
  <w:style w:type="paragraph" w:styleId="IndexHeading">
    <w:name w:val="index heading"/>
    <w:basedOn w:val="Normal"/>
    <w:next w:val="Index1"/>
    <w:semiHidden/>
    <w:rsid w:val="00E04010"/>
    <w:pPr>
      <w:spacing w:before="120" w:after="120"/>
    </w:pPr>
    <w:rPr>
      <w:rFonts w:ascii="Arial" w:hAnsi="Arial"/>
      <w:b/>
      <w:color w:val="918585"/>
      <w:sz w:val="24"/>
    </w:rPr>
  </w:style>
  <w:style w:type="paragraph" w:styleId="Header">
    <w:name w:val="header"/>
    <w:basedOn w:val="Normal"/>
    <w:link w:val="HeaderChar"/>
    <w:rsid w:val="00E04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010"/>
    <w:rPr>
      <w:rFonts w:ascii="Times New Roman" w:eastAsia="Times New Roman" w:hAnsi="Times New Roman" w:cs="Times New Roman"/>
      <w:sz w:val="16"/>
      <w:szCs w:val="20"/>
      <w:lang w:val="en-GB" w:eastAsia="en-US"/>
    </w:rPr>
  </w:style>
  <w:style w:type="paragraph" w:customStyle="1" w:styleId="Chapter">
    <w:name w:val="Chapter"/>
    <w:basedOn w:val="Normal"/>
    <w:rsid w:val="00E04010"/>
    <w:pPr>
      <w:spacing w:before="240"/>
    </w:pPr>
    <w:rPr>
      <w:rFonts w:ascii="Times New Roman" w:hAnsi="Times New Roman"/>
      <w:smallCaps/>
      <w:spacing w:val="80"/>
      <w:sz w:val="28"/>
    </w:rPr>
  </w:style>
  <w:style w:type="paragraph" w:customStyle="1" w:styleId="InChapter">
    <w:name w:val="InChapter"/>
    <w:basedOn w:val="Heading3"/>
    <w:rsid w:val="00E04010"/>
    <w:pPr>
      <w:spacing w:after="240"/>
      <w:outlineLvl w:val="9"/>
    </w:pPr>
    <w:rPr>
      <w:noProof/>
    </w:rPr>
  </w:style>
  <w:style w:type="paragraph" w:styleId="Index2">
    <w:name w:val="index 2"/>
    <w:basedOn w:val="Normal"/>
    <w:next w:val="Normal"/>
    <w:semiHidden/>
    <w:rsid w:val="00E04010"/>
    <w:pPr>
      <w:tabs>
        <w:tab w:val="right" w:pos="4176"/>
      </w:tabs>
      <w:ind w:left="568" w:hanging="284"/>
    </w:pPr>
    <w:rPr>
      <w:rFonts w:ascii="Garamond" w:hAnsi="Garamond"/>
    </w:rPr>
  </w:style>
  <w:style w:type="paragraph" w:customStyle="1" w:styleId="Byline">
    <w:name w:val="Byline"/>
    <w:rsid w:val="00E04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010"/>
    <w:pPr>
      <w:tabs>
        <w:tab w:val="clear" w:pos="3600"/>
        <w:tab w:val="clear" w:pos="3958"/>
      </w:tabs>
      <w:jc w:val="right"/>
    </w:pPr>
  </w:style>
  <w:style w:type="character" w:styleId="Emphasis">
    <w:name w:val="Emphasis"/>
    <w:basedOn w:val="DefaultParagraphFont"/>
    <w:qFormat/>
    <w:rsid w:val="00E04010"/>
    <w:rPr>
      <w:i/>
    </w:rPr>
  </w:style>
  <w:style w:type="paragraph" w:styleId="Caption">
    <w:name w:val="caption"/>
    <w:basedOn w:val="BodyText"/>
    <w:next w:val="Normal"/>
    <w:qFormat/>
    <w:rsid w:val="00E04010"/>
    <w:pPr>
      <w:framePr w:w="2268" w:hSpace="181" w:vSpace="181" w:wrap="around" w:vAnchor="text" w:hAnchor="page" w:x="1135" w:y="285" w:anchorLock="1"/>
    </w:pPr>
    <w:rPr>
      <w:i/>
    </w:rPr>
  </w:style>
  <w:style w:type="paragraph" w:customStyle="1" w:styleId="MiniTOCTitle">
    <w:name w:val="MiniTOCTitle"/>
    <w:basedOn w:val="Heading4"/>
    <w:rsid w:val="00E04010"/>
    <w:pPr>
      <w:spacing w:before="240"/>
      <w:outlineLvl w:val="9"/>
    </w:pPr>
    <w:rPr>
      <w:noProof/>
      <w:sz w:val="24"/>
    </w:rPr>
  </w:style>
  <w:style w:type="paragraph" w:customStyle="1" w:styleId="MiniTOCItem">
    <w:name w:val="MiniTOCItem"/>
    <w:basedOn w:val="ListBullet"/>
    <w:rsid w:val="00E04010"/>
    <w:pPr>
      <w:numPr>
        <w:numId w:val="0"/>
      </w:numPr>
      <w:tabs>
        <w:tab w:val="right" w:leader="dot" w:pos="6521"/>
      </w:tabs>
      <w:spacing w:before="0" w:after="0"/>
    </w:pPr>
  </w:style>
  <w:style w:type="paragraph" w:customStyle="1" w:styleId="TOFTitle">
    <w:name w:val="TOFTitle"/>
    <w:basedOn w:val="TOCTitle"/>
    <w:rsid w:val="00E04010"/>
  </w:style>
  <w:style w:type="paragraph" w:styleId="TableofFigures">
    <w:name w:val="table of figures"/>
    <w:basedOn w:val="Normal"/>
    <w:next w:val="Normal"/>
    <w:semiHidden/>
    <w:rsid w:val="00E04010"/>
    <w:pPr>
      <w:tabs>
        <w:tab w:val="right" w:leader="dot" w:pos="9072"/>
      </w:tabs>
      <w:ind w:left="970" w:hanging="403"/>
    </w:pPr>
    <w:rPr>
      <w:rFonts w:ascii="Times New Roman" w:hAnsi="Times New Roman"/>
      <w:b/>
    </w:rPr>
  </w:style>
  <w:style w:type="paragraph" w:styleId="ListNumber">
    <w:name w:val="List Number"/>
    <w:basedOn w:val="List"/>
    <w:rsid w:val="00E04010"/>
    <w:pPr>
      <w:numPr>
        <w:numId w:val="11"/>
      </w:numPr>
    </w:pPr>
  </w:style>
  <w:style w:type="character" w:customStyle="1" w:styleId="WingdingSymbols">
    <w:name w:val="Wingding Symbols"/>
    <w:rsid w:val="00E04010"/>
    <w:rPr>
      <w:rFonts w:ascii="Wingdings" w:hAnsi="Wingdings"/>
    </w:rPr>
  </w:style>
  <w:style w:type="paragraph" w:customStyle="1" w:styleId="TableHeading">
    <w:name w:val="Table Heading"/>
    <w:basedOn w:val="HeadingBase"/>
    <w:rsid w:val="00E04010"/>
    <w:pPr>
      <w:keepLines/>
      <w:pBdr>
        <w:bottom w:val="single" w:sz="6" w:space="1" w:color="918585"/>
      </w:pBdr>
      <w:spacing w:before="240"/>
    </w:pPr>
  </w:style>
  <w:style w:type="character" w:customStyle="1" w:styleId="HotSpot">
    <w:name w:val="HotSpot"/>
    <w:rsid w:val="00E04010"/>
    <w:rPr>
      <w:color w:val="0033CC"/>
      <w:u w:val="none"/>
    </w:rPr>
  </w:style>
  <w:style w:type="paragraph" w:customStyle="1" w:styleId="BodyTextRight">
    <w:name w:val="Body Text Right"/>
    <w:basedOn w:val="BodyText"/>
    <w:rsid w:val="00E04010"/>
    <w:pPr>
      <w:spacing w:before="0" w:after="0"/>
      <w:jc w:val="right"/>
    </w:pPr>
  </w:style>
  <w:style w:type="paragraph" w:styleId="Index3">
    <w:name w:val="index 3"/>
    <w:basedOn w:val="ListNumber2"/>
    <w:next w:val="Normal"/>
    <w:semiHidden/>
    <w:rsid w:val="00E04010"/>
    <w:pPr>
      <w:numPr>
        <w:numId w:val="0"/>
      </w:numPr>
      <w:tabs>
        <w:tab w:val="right" w:leader="dot" w:pos="4176"/>
      </w:tabs>
    </w:pPr>
  </w:style>
  <w:style w:type="paragraph" w:styleId="ListNumber2">
    <w:name w:val="List Number 2"/>
    <w:basedOn w:val="List2"/>
    <w:rsid w:val="00E04010"/>
    <w:pPr>
      <w:numPr>
        <w:numId w:val="10"/>
      </w:numPr>
      <w:tabs>
        <w:tab w:val="clear" w:pos="1060"/>
      </w:tabs>
    </w:pPr>
  </w:style>
  <w:style w:type="paragraph" w:customStyle="1" w:styleId="MarginNote">
    <w:name w:val="Margin Note"/>
    <w:basedOn w:val="BodyText"/>
    <w:rsid w:val="00E04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0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010"/>
    <w:rPr>
      <w:sz w:val="32"/>
    </w:rPr>
  </w:style>
  <w:style w:type="paragraph" w:customStyle="1" w:styleId="HeadingProcedure">
    <w:name w:val="Heading Procedure"/>
    <w:basedOn w:val="HeadingBase"/>
    <w:next w:val="Normal"/>
    <w:rsid w:val="00E04010"/>
    <w:pPr>
      <w:tabs>
        <w:tab w:val="left" w:pos="0"/>
      </w:tabs>
      <w:spacing w:before="120" w:after="60"/>
    </w:pPr>
    <w:rPr>
      <w:i/>
      <w:color w:val="918585"/>
      <w:sz w:val="22"/>
    </w:rPr>
  </w:style>
  <w:style w:type="paragraph" w:customStyle="1" w:styleId="TableBodyText">
    <w:name w:val="Table Body Text"/>
    <w:basedOn w:val="BodyText"/>
    <w:rsid w:val="00E04010"/>
    <w:pPr>
      <w:spacing w:before="60" w:after="60"/>
    </w:pPr>
  </w:style>
  <w:style w:type="paragraph" w:styleId="ListContinue">
    <w:name w:val="List Continue"/>
    <w:basedOn w:val="List"/>
    <w:rsid w:val="00E04010"/>
    <w:pPr>
      <w:ind w:firstLine="0"/>
    </w:pPr>
  </w:style>
  <w:style w:type="paragraph" w:customStyle="1" w:styleId="ListNote">
    <w:name w:val="List Note"/>
    <w:basedOn w:val="List"/>
    <w:rsid w:val="00E04010"/>
    <w:pPr>
      <w:pBdr>
        <w:top w:val="single" w:sz="6" w:space="2" w:color="918585"/>
        <w:bottom w:val="single" w:sz="6" w:space="2" w:color="918585"/>
      </w:pBdr>
      <w:tabs>
        <w:tab w:val="left" w:pos="1021"/>
      </w:tabs>
      <w:ind w:firstLine="0"/>
    </w:pPr>
  </w:style>
  <w:style w:type="paragraph" w:customStyle="1" w:styleId="Warning">
    <w:name w:val="Warning"/>
    <w:basedOn w:val="BodyText"/>
    <w:rsid w:val="00E04010"/>
    <w:pPr>
      <w:shd w:val="clear" w:color="auto" w:fill="D9D9D9"/>
      <w:tabs>
        <w:tab w:val="left" w:pos="992"/>
      </w:tabs>
      <w:ind w:left="119" w:right="119"/>
    </w:pPr>
    <w:rPr>
      <w:sz w:val="20"/>
    </w:rPr>
  </w:style>
  <w:style w:type="paragraph" w:customStyle="1" w:styleId="MarginIcons">
    <w:name w:val="Margin Icons"/>
    <w:basedOn w:val="BodyText"/>
    <w:rsid w:val="00E040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010"/>
    <w:rPr>
      <w:rFonts w:ascii="Courier New" w:hAnsi="Courier New"/>
    </w:rPr>
  </w:style>
  <w:style w:type="paragraph" w:customStyle="1" w:styleId="NoteBullet">
    <w:name w:val="Note Bullet"/>
    <w:basedOn w:val="Note"/>
    <w:rsid w:val="00E04010"/>
    <w:pPr>
      <w:tabs>
        <w:tab w:val="clear" w:pos="680"/>
      </w:tabs>
      <w:spacing w:before="60" w:after="60"/>
    </w:pPr>
  </w:style>
  <w:style w:type="paragraph" w:customStyle="1" w:styleId="SubHeading2">
    <w:name w:val="SubHeading2"/>
    <w:basedOn w:val="HeadingBase"/>
    <w:rsid w:val="00E04010"/>
    <w:pPr>
      <w:spacing w:before="240" w:after="60"/>
    </w:pPr>
    <w:rPr>
      <w:sz w:val="20"/>
    </w:rPr>
  </w:style>
  <w:style w:type="paragraph" w:customStyle="1" w:styleId="SubHeading1">
    <w:name w:val="SubHeading1"/>
    <w:basedOn w:val="HeadingBase"/>
    <w:rsid w:val="00E04010"/>
    <w:pPr>
      <w:spacing w:before="240" w:after="60"/>
    </w:pPr>
    <w:rPr>
      <w:color w:val="918585"/>
      <w:sz w:val="22"/>
    </w:rPr>
  </w:style>
  <w:style w:type="paragraph" w:customStyle="1" w:styleId="SideHeading">
    <w:name w:val="Side Heading"/>
    <w:basedOn w:val="HeadingBase"/>
    <w:rsid w:val="00E04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010"/>
    <w:pPr>
      <w:numPr>
        <w:numId w:val="12"/>
      </w:numPr>
    </w:pPr>
  </w:style>
  <w:style w:type="paragraph" w:styleId="PlainText">
    <w:name w:val="Plain Text"/>
    <w:basedOn w:val="Normal"/>
    <w:link w:val="PlainTextChar"/>
    <w:rsid w:val="00E04010"/>
    <w:rPr>
      <w:sz w:val="20"/>
    </w:rPr>
  </w:style>
  <w:style w:type="character" w:customStyle="1" w:styleId="PlainTextChar">
    <w:name w:val="Plain Text Char"/>
    <w:basedOn w:val="DefaultParagraphFont"/>
    <w:link w:val="PlainText"/>
    <w:rsid w:val="00E04010"/>
    <w:rPr>
      <w:rFonts w:ascii="Courier New" w:eastAsia="Times New Roman" w:hAnsi="Courier New" w:cs="Times New Roman"/>
      <w:sz w:val="20"/>
      <w:szCs w:val="20"/>
      <w:lang w:eastAsia="en-US"/>
    </w:rPr>
  </w:style>
  <w:style w:type="character" w:customStyle="1" w:styleId="MenuOption">
    <w:name w:val="Menu Option"/>
    <w:basedOn w:val="DefaultParagraphFont"/>
    <w:rsid w:val="00E04010"/>
    <w:rPr>
      <w:b/>
      <w:smallCaps/>
    </w:rPr>
  </w:style>
  <w:style w:type="paragraph" w:customStyle="1" w:styleId="TableListNumber">
    <w:name w:val="Table List Number"/>
    <w:basedOn w:val="ListNumber"/>
    <w:rsid w:val="00E04010"/>
    <w:pPr>
      <w:numPr>
        <w:numId w:val="0"/>
      </w:numPr>
    </w:pPr>
  </w:style>
  <w:style w:type="paragraph" w:styleId="TOC4">
    <w:name w:val="toc 4"/>
    <w:basedOn w:val="TOCBase"/>
    <w:next w:val="Normal"/>
    <w:semiHidden/>
    <w:rsid w:val="00E04010"/>
    <w:pPr>
      <w:tabs>
        <w:tab w:val="right" w:leader="dot" w:pos="9071"/>
      </w:tabs>
      <w:ind w:left="1701"/>
    </w:pPr>
  </w:style>
  <w:style w:type="paragraph" w:customStyle="1" w:styleId="ListAlpha">
    <w:name w:val="List Alpha"/>
    <w:basedOn w:val="List"/>
    <w:rsid w:val="00E04010"/>
    <w:pPr>
      <w:numPr>
        <w:numId w:val="9"/>
      </w:numPr>
    </w:pPr>
  </w:style>
  <w:style w:type="paragraph" w:customStyle="1" w:styleId="ListAlpha2">
    <w:name w:val="List Alpha 2"/>
    <w:basedOn w:val="List2"/>
    <w:rsid w:val="00E04010"/>
    <w:pPr>
      <w:numPr>
        <w:numId w:val="8"/>
      </w:numPr>
    </w:pPr>
  </w:style>
  <w:style w:type="paragraph" w:styleId="List2">
    <w:name w:val="List 2"/>
    <w:basedOn w:val="BodyText"/>
    <w:rsid w:val="00E04010"/>
    <w:pPr>
      <w:tabs>
        <w:tab w:val="left" w:pos="680"/>
      </w:tabs>
      <w:spacing w:before="60" w:after="60"/>
      <w:ind w:left="680" w:hanging="340"/>
    </w:pPr>
  </w:style>
  <w:style w:type="paragraph" w:styleId="List3">
    <w:name w:val="List 3"/>
    <w:basedOn w:val="BodyText"/>
    <w:rsid w:val="00E04010"/>
    <w:pPr>
      <w:tabs>
        <w:tab w:val="left" w:pos="1021"/>
      </w:tabs>
      <w:spacing w:before="60" w:after="60"/>
      <w:ind w:left="1020" w:hanging="340"/>
    </w:pPr>
  </w:style>
  <w:style w:type="paragraph" w:styleId="List4">
    <w:name w:val="List 4"/>
    <w:basedOn w:val="BodyText"/>
    <w:rsid w:val="00E04010"/>
    <w:pPr>
      <w:tabs>
        <w:tab w:val="left" w:pos="1361"/>
      </w:tabs>
      <w:spacing w:before="60" w:after="60"/>
      <w:ind w:left="1361" w:hanging="340"/>
    </w:pPr>
  </w:style>
  <w:style w:type="paragraph" w:styleId="List5">
    <w:name w:val="List 5"/>
    <w:basedOn w:val="BodyText"/>
    <w:rsid w:val="00E04010"/>
    <w:pPr>
      <w:tabs>
        <w:tab w:val="left" w:pos="1701"/>
      </w:tabs>
      <w:spacing w:before="60" w:after="60"/>
      <w:ind w:left="1701" w:hanging="340"/>
    </w:pPr>
  </w:style>
  <w:style w:type="paragraph" w:styleId="ListBullet3">
    <w:name w:val="List Bullet 3"/>
    <w:basedOn w:val="List3"/>
    <w:rsid w:val="00E04010"/>
    <w:pPr>
      <w:numPr>
        <w:numId w:val="15"/>
      </w:numPr>
      <w:tabs>
        <w:tab w:val="clear" w:pos="1021"/>
      </w:tabs>
      <w:ind w:left="1037" w:hanging="357"/>
    </w:pPr>
  </w:style>
  <w:style w:type="paragraph" w:styleId="ListBullet4">
    <w:name w:val="List Bullet 4"/>
    <w:basedOn w:val="List4"/>
    <w:rsid w:val="00E04010"/>
    <w:pPr>
      <w:numPr>
        <w:numId w:val="3"/>
      </w:numPr>
    </w:pPr>
  </w:style>
  <w:style w:type="paragraph" w:styleId="ListBullet5">
    <w:name w:val="List Bullet 5"/>
    <w:basedOn w:val="List5"/>
    <w:rsid w:val="00E04010"/>
    <w:pPr>
      <w:numPr>
        <w:numId w:val="4"/>
      </w:numPr>
    </w:pPr>
  </w:style>
  <w:style w:type="paragraph" w:styleId="ListContinue2">
    <w:name w:val="List Continue 2"/>
    <w:basedOn w:val="List2"/>
    <w:rsid w:val="00E04010"/>
    <w:pPr>
      <w:ind w:firstLine="0"/>
    </w:pPr>
  </w:style>
  <w:style w:type="paragraph" w:styleId="ListContinue3">
    <w:name w:val="List Continue 3"/>
    <w:basedOn w:val="List3"/>
    <w:rsid w:val="00E04010"/>
    <w:pPr>
      <w:ind w:left="1021" w:firstLine="0"/>
    </w:pPr>
  </w:style>
  <w:style w:type="paragraph" w:styleId="ListContinue4">
    <w:name w:val="List Continue 4"/>
    <w:basedOn w:val="List4"/>
    <w:rsid w:val="00E04010"/>
    <w:pPr>
      <w:ind w:firstLine="0"/>
    </w:pPr>
  </w:style>
  <w:style w:type="paragraph" w:styleId="ListContinue5">
    <w:name w:val="List Continue 5"/>
    <w:basedOn w:val="List5"/>
    <w:rsid w:val="00E04010"/>
    <w:pPr>
      <w:ind w:firstLine="0"/>
    </w:pPr>
  </w:style>
  <w:style w:type="paragraph" w:styleId="ListNumber3">
    <w:name w:val="List Number 3"/>
    <w:basedOn w:val="List3"/>
    <w:rsid w:val="00E04010"/>
    <w:pPr>
      <w:numPr>
        <w:numId w:val="5"/>
      </w:numPr>
    </w:pPr>
  </w:style>
  <w:style w:type="paragraph" w:styleId="ListNumber4">
    <w:name w:val="List Number 4"/>
    <w:basedOn w:val="List4"/>
    <w:rsid w:val="00E04010"/>
    <w:pPr>
      <w:numPr>
        <w:numId w:val="6"/>
      </w:numPr>
    </w:pPr>
  </w:style>
  <w:style w:type="paragraph" w:styleId="ListNumber5">
    <w:name w:val="List Number 5"/>
    <w:basedOn w:val="List5"/>
    <w:rsid w:val="00E04010"/>
    <w:pPr>
      <w:numPr>
        <w:numId w:val="7"/>
      </w:numPr>
    </w:pPr>
  </w:style>
  <w:style w:type="paragraph" w:styleId="BlockText">
    <w:name w:val="Block Text"/>
    <w:basedOn w:val="Normal"/>
    <w:rsid w:val="00E04010"/>
    <w:pPr>
      <w:spacing w:after="120"/>
      <w:ind w:left="1440" w:right="1440"/>
    </w:pPr>
  </w:style>
  <w:style w:type="character" w:customStyle="1" w:styleId="Subscript">
    <w:name w:val="Subscript"/>
    <w:basedOn w:val="DefaultParagraphFont"/>
    <w:rsid w:val="00E04010"/>
    <w:rPr>
      <w:sz w:val="16"/>
      <w:vertAlign w:val="subscript"/>
    </w:rPr>
  </w:style>
  <w:style w:type="character" w:customStyle="1" w:styleId="Superscript">
    <w:name w:val="Superscript"/>
    <w:basedOn w:val="DefaultParagraphFont"/>
    <w:rsid w:val="00E04010"/>
    <w:rPr>
      <w:sz w:val="16"/>
      <w:vertAlign w:val="superscript"/>
    </w:rPr>
  </w:style>
  <w:style w:type="character" w:customStyle="1" w:styleId="Symbols">
    <w:name w:val="Symbols"/>
    <w:basedOn w:val="DefaultParagraphFont"/>
    <w:rsid w:val="00E04010"/>
    <w:rPr>
      <w:rFonts w:ascii="Symbol" w:hAnsi="Symbol"/>
    </w:rPr>
  </w:style>
  <w:style w:type="character" w:customStyle="1" w:styleId="MenuOptions">
    <w:name w:val="Menu Options"/>
    <w:basedOn w:val="DefaultParagraphFont"/>
    <w:rsid w:val="00E04010"/>
    <w:rPr>
      <w:rFonts w:ascii="Arial Narrow" w:hAnsi="Arial Narrow"/>
      <w:smallCaps/>
    </w:rPr>
  </w:style>
  <w:style w:type="character" w:customStyle="1" w:styleId="Buttons">
    <w:name w:val="Buttons"/>
    <w:basedOn w:val="DefaultParagraphFont"/>
    <w:rsid w:val="00E04010"/>
    <w:rPr>
      <w:b/>
    </w:rPr>
  </w:style>
  <w:style w:type="character" w:customStyle="1" w:styleId="Underlined">
    <w:name w:val="Underlined"/>
    <w:basedOn w:val="DefaultParagraphFont"/>
    <w:rsid w:val="00E04010"/>
    <w:rPr>
      <w:u w:val="single"/>
    </w:rPr>
  </w:style>
  <w:style w:type="paragraph" w:customStyle="1" w:styleId="TableBodyTextRight">
    <w:name w:val="Table Body Text Right"/>
    <w:basedOn w:val="TableBodyText"/>
    <w:rsid w:val="00E04010"/>
    <w:pPr>
      <w:widowControl w:val="0"/>
      <w:autoSpaceDE w:val="0"/>
      <w:autoSpaceDN w:val="0"/>
      <w:adjustRightInd w:val="0"/>
      <w:jc w:val="right"/>
    </w:pPr>
    <w:rPr>
      <w:rFonts w:cs="Arial"/>
      <w:szCs w:val="18"/>
    </w:rPr>
  </w:style>
  <w:style w:type="paragraph" w:customStyle="1" w:styleId="CopyrightText">
    <w:name w:val="Copyright Text"/>
    <w:basedOn w:val="BodyText"/>
    <w:rsid w:val="00E04010"/>
    <w:rPr>
      <w:sz w:val="18"/>
    </w:rPr>
  </w:style>
  <w:style w:type="paragraph" w:customStyle="1" w:styleId="BodySmallRight">
    <w:name w:val="Body Small Right"/>
    <w:basedOn w:val="BodyTextRight"/>
    <w:rsid w:val="00E04010"/>
    <w:rPr>
      <w:sz w:val="18"/>
      <w:szCs w:val="18"/>
    </w:rPr>
  </w:style>
  <w:style w:type="paragraph" w:customStyle="1" w:styleId="MarginEdition">
    <w:name w:val="Margin Edition"/>
    <w:basedOn w:val="MarginNote"/>
    <w:rsid w:val="00E04010"/>
    <w:pPr>
      <w:spacing w:before="0" w:after="0"/>
    </w:pPr>
    <w:rPr>
      <w:rFonts w:ascii="Times New Roman" w:hAnsi="Times New Roman"/>
      <w:color w:val="999999"/>
    </w:rPr>
  </w:style>
  <w:style w:type="paragraph" w:customStyle="1" w:styleId="Spacer">
    <w:name w:val="Spacer"/>
    <w:basedOn w:val="Normal"/>
    <w:rsid w:val="00E04010"/>
    <w:rPr>
      <w:sz w:val="2"/>
      <w:szCs w:val="2"/>
    </w:rPr>
  </w:style>
  <w:style w:type="character" w:customStyle="1" w:styleId="Small">
    <w:name w:val="Small"/>
    <w:basedOn w:val="DefaultParagraphFont"/>
    <w:rsid w:val="00E04010"/>
    <w:rPr>
      <w:sz w:val="16"/>
    </w:rPr>
  </w:style>
  <w:style w:type="paragraph" w:customStyle="1" w:styleId="WideTable">
    <w:name w:val="Wide Table"/>
    <w:basedOn w:val="Normal"/>
    <w:rsid w:val="00E04010"/>
    <w:pPr>
      <w:ind w:left="-1418"/>
    </w:pPr>
    <w:rPr>
      <w:sz w:val="2"/>
      <w:szCs w:val="2"/>
    </w:rPr>
  </w:style>
  <w:style w:type="character" w:styleId="PageNumber">
    <w:name w:val="page number"/>
    <w:basedOn w:val="DefaultParagraphFont"/>
    <w:rsid w:val="00E04010"/>
  </w:style>
  <w:style w:type="paragraph" w:styleId="Quote">
    <w:name w:val="Quote"/>
    <w:basedOn w:val="Heading1"/>
    <w:link w:val="QuoteChar"/>
    <w:qFormat/>
    <w:rsid w:val="00E04010"/>
    <w:rPr>
      <w:b w:val="0"/>
      <w:sz w:val="72"/>
      <w:szCs w:val="72"/>
      <w:lang w:val="en-NZ"/>
    </w:rPr>
  </w:style>
  <w:style w:type="character" w:customStyle="1" w:styleId="QuoteChar">
    <w:name w:val="Quote Char"/>
    <w:basedOn w:val="DefaultParagraphFont"/>
    <w:link w:val="Quote"/>
    <w:rsid w:val="00E04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010"/>
    <w:pPr>
      <w:pageBreakBefore/>
    </w:pPr>
  </w:style>
  <w:style w:type="paragraph" w:customStyle="1" w:styleId="Border">
    <w:name w:val="Border"/>
    <w:basedOn w:val="Normal"/>
    <w:qFormat/>
    <w:rsid w:val="00E040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010"/>
    <w:rPr>
      <w:b/>
      <w:bCs/>
      <w:i/>
      <w:iCs/>
      <w:color w:val="auto"/>
    </w:rPr>
  </w:style>
  <w:style w:type="paragraph" w:styleId="IntenseQuote">
    <w:name w:val="Intense Quote"/>
    <w:basedOn w:val="Normal"/>
    <w:next w:val="Normal"/>
    <w:link w:val="IntenseQuoteChar"/>
    <w:uiPriority w:val="30"/>
    <w:qFormat/>
    <w:rsid w:val="00E040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0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010"/>
    <w:rPr>
      <w:smallCaps/>
      <w:color w:val="auto"/>
      <w:u w:val="single"/>
    </w:rPr>
  </w:style>
  <w:style w:type="character" w:styleId="IntenseReference">
    <w:name w:val="Intense Reference"/>
    <w:basedOn w:val="DefaultParagraphFont"/>
    <w:uiPriority w:val="32"/>
    <w:qFormat/>
    <w:rsid w:val="00E04010"/>
    <w:rPr>
      <w:b/>
      <w:bCs/>
      <w:smallCaps/>
      <w:color w:val="auto"/>
      <w:spacing w:val="5"/>
      <w:u w:val="single"/>
    </w:rPr>
  </w:style>
  <w:style w:type="paragraph" w:customStyle="1" w:styleId="2ColumnHeading">
    <w:name w:val="2Column Heading"/>
    <w:basedOn w:val="BodyText"/>
    <w:qFormat/>
    <w:rsid w:val="00E04010"/>
    <w:pPr>
      <w:spacing w:after="60"/>
      <w:ind w:left="-2268"/>
    </w:pPr>
    <w:rPr>
      <w:b/>
    </w:rPr>
  </w:style>
  <w:style w:type="paragraph" w:customStyle="1" w:styleId="Heading1TOC">
    <w:name w:val="Heading1 TOC"/>
    <w:basedOn w:val="Normal"/>
    <w:qFormat/>
    <w:rsid w:val="00E04010"/>
    <w:pPr>
      <w:spacing w:before="240" w:after="120"/>
    </w:pPr>
    <w:rPr>
      <w:rFonts w:ascii="Times New Roman" w:hAnsi="Times New Roman"/>
      <w:b/>
      <w:sz w:val="32"/>
    </w:rPr>
  </w:style>
  <w:style w:type="paragraph" w:customStyle="1" w:styleId="Heading2TOC">
    <w:name w:val="Heading2 TOC"/>
    <w:basedOn w:val="Normal"/>
    <w:qFormat/>
    <w:rsid w:val="00E04010"/>
    <w:pPr>
      <w:spacing w:before="240" w:after="60"/>
    </w:pPr>
    <w:rPr>
      <w:rFonts w:ascii="Times New Roman" w:hAnsi="Times New Roman"/>
      <w:b/>
      <w:sz w:val="28"/>
    </w:rPr>
  </w:style>
  <w:style w:type="character" w:customStyle="1" w:styleId="Underline">
    <w:name w:val="Underline"/>
    <w:basedOn w:val="DefaultParagraphFont"/>
    <w:qFormat/>
    <w:rsid w:val="00E04010"/>
    <w:rPr>
      <w:u w:val="single"/>
    </w:rPr>
  </w:style>
  <w:style w:type="character" w:customStyle="1" w:styleId="BoldandItalics">
    <w:name w:val="Bold and Italics"/>
    <w:qFormat/>
    <w:rsid w:val="00E04010"/>
    <w:rPr>
      <w:b/>
      <w:i/>
      <w:u w:val="none"/>
    </w:rPr>
  </w:style>
  <w:style w:type="paragraph" w:styleId="BalloonText">
    <w:name w:val="Balloon Text"/>
    <w:basedOn w:val="Normal"/>
    <w:link w:val="BalloonTextChar"/>
    <w:rsid w:val="00E04010"/>
    <w:rPr>
      <w:rFonts w:ascii="Tahoma" w:hAnsi="Tahoma" w:cs="Tahoma"/>
      <w:sz w:val="16"/>
      <w:szCs w:val="16"/>
    </w:rPr>
  </w:style>
  <w:style w:type="character" w:customStyle="1" w:styleId="BalloonTextChar">
    <w:name w:val="Balloon Text Char"/>
    <w:basedOn w:val="DefaultParagraphFont"/>
    <w:link w:val="BalloonText"/>
    <w:rsid w:val="00E040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0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40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010"/>
    <w:rPr>
      <w:b/>
      <w:color w:val="660033"/>
      <w:spacing w:val="0"/>
    </w:rPr>
  </w:style>
  <w:style w:type="paragraph" w:customStyle="1" w:styleId="Nameditemlist">
    <w:name w:val="Named item list"/>
    <w:basedOn w:val="BodyText"/>
    <w:qFormat/>
    <w:rsid w:val="00E040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2131</Words>
  <Characters>13307</Characters>
  <Application>Microsoft Office Word</Application>
  <DocSecurity>0</DocSecurity>
  <Lines>462</Lines>
  <Paragraphs>203</Paragraphs>
  <ScaleCrop>false</ScaleCrop>
  <Company>Author-it Software Corporation Ltd.</Company>
  <LinksUpToDate>false</LinksUpToDate>
  <CharactersWithSpaces>15287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UEPOPS362A Operate and Monitor Generator/Alternator</dc:title>
  <dc:subject>Approved</dc:subject>
  <dc:creator>E-OZ Training Standards</dc:creator>
  <cp:keywords>Release: 1</cp:keywords>
  <dc:description>Review Date: 12 April 2008</dc:description>
  <cp:lastModifiedBy>HSD_TPCMSd.prod</cp:lastModifiedBy>
  <cp:revision>3</cp:revision>
  <dcterms:created xsi:type="dcterms:W3CDTF">2013-10-25T06:22:00Z</dcterms:created>
  <dcterms:modified xsi:type="dcterms:W3CDTF">2013-10-25T06:22:00Z</dcterms:modified>
</cp:coreProperties>
</file>