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2DBA" w:rsidP="00552DBA">
      <w:pPr>
        <w:pStyle w:val="Title"/>
      </w:pPr>
      <w:bookmarkStart w:id="0" w:name="_GoBack"/>
      <w:bookmarkEnd w:id="0"/>
      <w:r>
        <w:fldChar w:fldCharType="begin"/>
      </w:r>
      <w:r>
        <w:instrText xml:space="preserve"> TITLE   \* MERGEFORMAT </w:instrText>
      </w:r>
      <w:r>
        <w:fldChar w:fldCharType="separate"/>
      </w:r>
      <w:r>
        <w:t>UEPOPS360A Operate and Monitor a Hydro Turbine</w:t>
      </w:r>
      <w:r>
        <w:fldChar w:fldCharType="end"/>
      </w:r>
    </w:p>
    <w:p w:rsidR="00552DBA" w:rsidP="00552DBA">
      <w:pPr>
        <w:pStyle w:val="Version"/>
        <w:sectPr w:rsidSect="00D706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0646" w:rsidP="00D70646">
      <w:pPr>
        <w:pStyle w:val="SuperHeading"/>
      </w:pPr>
      <w:r w:rsidRPr="00D70646">
        <w:t>UEPOPS360A Operate and Monitor a Hydro Turbine</w:t>
      </w:r>
    </w:p>
    <w:p w:rsidR="00000000" w:rsidRPr="00D70646" w:rsidP="00D70646">
      <w:pPr>
        <w:pStyle w:val="Heading1"/>
      </w:pPr>
      <w:bookmarkStart w:id="1" w:name="O_475534"/>
      <w:bookmarkEnd w:id="1"/>
      <w:r w:rsidRPr="00D70646">
        <w:t>Modification History</w:t>
      </w:r>
    </w:p>
    <w:p w:rsidR="00000000" w:rsidRPr="00D70646" w:rsidP="00D70646">
      <w:pPr>
        <w:pStyle w:val="BodyText"/>
      </w:pPr>
      <w:r w:rsidRPr="00D70646">
        <w:t>Not applicable.</w:t>
      </w:r>
    </w:p>
    <w:p w:rsidR="00000000" w:rsidRPr="00D70646" w:rsidP="00D70646">
      <w:pPr>
        <w:pStyle w:val="AllowPageBreak"/>
      </w:pPr>
    </w:p>
    <w:p w:rsidR="00000000" w:rsidRPr="00D70646" w:rsidP="00D70646">
      <w:pPr>
        <w:pStyle w:val="Heading1"/>
      </w:pPr>
      <w:bookmarkStart w:id="2" w:name="O_475532"/>
      <w:bookmarkEnd w:id="2"/>
      <w:r w:rsidRPr="00D70646">
        <w:t>Unit Descriptor</w:t>
      </w:r>
    </w:p>
    <w:tbl>
      <w:tblPr>
        <w:tblW w:w="0" w:type="auto"/>
        <w:tblLayout w:type="fixed"/>
        <w:tblCellMar>
          <w:left w:w="62" w:type="dxa"/>
          <w:right w:w="62" w:type="dxa"/>
        </w:tblCellMar>
        <w:tblLook w:val="0000"/>
      </w:tblPr>
      <w:tblGrid>
        <w:gridCol w:w="2700"/>
        <w:gridCol w:w="5760"/>
      </w:tblGrid>
      <w:tr w:rsidTr="00552D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70646" w:rsidP="00D70646">
            <w:pPr>
              <w:pStyle w:val="BodyText"/>
            </w:pPr>
            <w:r w:rsidRPr="00D7064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rPr>
                <w:rStyle w:val="SpecialBold"/>
              </w:rPr>
              <w:t>1)</w:t>
            </w:r>
            <w:r w:rsidRPr="00D70646">
              <w:t xml:space="preserve"> </w:t>
            </w:r>
            <w:r w:rsidRPr="00D70646">
              <w:rPr>
                <w:rStyle w:val="SpecialBold"/>
              </w:rPr>
              <w:t>Scope:</w:t>
            </w:r>
          </w:p>
        </w:tc>
      </w:tr>
      <w:tr w:rsidTr="00552D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7064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rPr>
                <w:rStyle w:val="SpecialBold"/>
              </w:rPr>
              <w:t>1.1) Descriptor</w:t>
            </w:r>
          </w:p>
        </w:tc>
      </w:tr>
      <w:tr w:rsidTr="00552D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70646" w:rsidP="00D70646">
            <w:pPr>
              <w:pStyle w:val="BodyText"/>
            </w:pPr>
            <w:r w:rsidRPr="00D70646">
              <w:t>This unit deals with the skills and knowledge required to operate, inspect and monitor of an in-service hydro turbine</w:t>
            </w:r>
          </w:p>
        </w:tc>
      </w:tr>
    </w:tbl>
    <w:p w:rsidR="00000000" w:rsidRPr="00D70646" w:rsidP="00D70646">
      <w:pPr>
        <w:pStyle w:val="BodyText"/>
      </w:pPr>
    </w:p>
    <w:p w:rsidR="00000000" w:rsidRPr="00D70646" w:rsidP="00D70646">
      <w:pPr>
        <w:pStyle w:val="AllowPageBreak"/>
      </w:pPr>
    </w:p>
    <w:p w:rsidR="00000000" w:rsidRPr="00D70646" w:rsidP="00D70646">
      <w:pPr>
        <w:pStyle w:val="Heading1"/>
      </w:pPr>
      <w:bookmarkStart w:id="3" w:name="O_475521"/>
      <w:bookmarkEnd w:id="3"/>
      <w:r w:rsidRPr="00D70646">
        <w:t>Application of the Unit</w:t>
      </w:r>
    </w:p>
    <w:tbl>
      <w:tblPr>
        <w:tblW w:w="0" w:type="auto"/>
        <w:tblLayout w:type="fixed"/>
        <w:tblCellMar>
          <w:left w:w="62" w:type="dxa"/>
          <w:right w:w="62" w:type="dxa"/>
        </w:tblCellMar>
        <w:tblLook w:val="0000"/>
      </w:tblPr>
      <w:tblGrid>
        <w:gridCol w:w="2672"/>
        <w:gridCol w:w="5699"/>
      </w:tblGrid>
      <w:tr w:rsidTr="00552DB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70646" w:rsidP="00D70646">
            <w:pPr>
              <w:pStyle w:val="BodyText"/>
            </w:pPr>
            <w:r w:rsidRPr="00D7064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rPr>
                <w:rStyle w:val="SpecialBold"/>
              </w:rPr>
              <w:t>2)</w:t>
            </w:r>
          </w:p>
        </w:tc>
      </w:tr>
      <w:tr w:rsidTr="00552DB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70646" w:rsidP="00D70646">
            <w:pPr>
              <w:pStyle w:val="BodyText"/>
            </w:pPr>
            <w:r w:rsidRPr="00D70646">
              <w:t>This unit is intended to augment formally acquired competencies. It is suitable for employment-based programs under an approved contract of training.</w:t>
            </w:r>
          </w:p>
        </w:tc>
      </w:tr>
    </w:tbl>
    <w:p w:rsidR="00000000" w:rsidRPr="00D70646" w:rsidP="00D70646">
      <w:pPr>
        <w:pStyle w:val="BodyText"/>
      </w:pPr>
    </w:p>
    <w:p w:rsidR="00000000" w:rsidRPr="00D70646" w:rsidP="00D70646">
      <w:pPr>
        <w:pStyle w:val="AllowPageBreak"/>
      </w:pPr>
    </w:p>
    <w:p w:rsidR="00000000" w:rsidRPr="00D70646" w:rsidP="00D70646">
      <w:pPr>
        <w:pStyle w:val="Heading1"/>
      </w:pPr>
      <w:bookmarkStart w:id="4" w:name="O_475528"/>
      <w:bookmarkEnd w:id="4"/>
      <w:r w:rsidRPr="00D70646">
        <w:t>Licensing/Regulatory Information</w:t>
      </w:r>
    </w:p>
    <w:tbl>
      <w:tblPr>
        <w:tblW w:w="0" w:type="auto"/>
        <w:tblLayout w:type="fixed"/>
        <w:tblCellMar>
          <w:left w:w="62" w:type="dxa"/>
          <w:right w:w="62" w:type="dxa"/>
        </w:tblCellMar>
        <w:tblLook w:val="0000"/>
      </w:tblPr>
      <w:tblGrid>
        <w:gridCol w:w="2700"/>
        <w:gridCol w:w="5760"/>
      </w:tblGrid>
      <w:tr w:rsidTr="00552D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70646" w:rsidP="00D70646">
            <w:pPr>
              <w:pStyle w:val="BodyText"/>
            </w:pPr>
            <w:r w:rsidRPr="00D7064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rPr>
                <w:rStyle w:val="SpecialBold"/>
              </w:rPr>
              <w:t xml:space="preserve">3) </w:t>
            </w:r>
          </w:p>
        </w:tc>
      </w:tr>
      <w:tr w:rsidTr="00552D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70646" w:rsidP="00D70646">
            <w:pPr>
              <w:pStyle w:val="BodyText"/>
            </w:pPr>
            <w:r w:rsidRPr="00D70646">
              <w:t>The skills and knowledge des</w:t>
            </w:r>
            <w:r w:rsidRPr="00D70646">
              <w:t>cribed in this unit do not require a licence to practise in the workplace. However, practice in this unit is subject to regulations directly related to Occupational Health and Safety.</w:t>
            </w:r>
          </w:p>
        </w:tc>
      </w:tr>
    </w:tbl>
    <w:p w:rsidR="00000000" w:rsidRPr="00D70646" w:rsidP="00D70646">
      <w:pPr>
        <w:pStyle w:val="BodyText"/>
      </w:pPr>
    </w:p>
    <w:p w:rsidR="00000000" w:rsidRPr="00D70646" w:rsidP="00D70646">
      <w:pPr>
        <w:pStyle w:val="AllowPageBreak"/>
      </w:pPr>
    </w:p>
    <w:p w:rsidR="00000000" w:rsidRPr="00D70646" w:rsidP="00D70646">
      <w:pPr>
        <w:pStyle w:val="Heading1"/>
      </w:pPr>
      <w:bookmarkStart w:id="5" w:name="O_475529"/>
      <w:bookmarkEnd w:id="5"/>
      <w:r w:rsidRPr="00D70646">
        <w:t>Pre-Requisites</w:t>
      </w:r>
    </w:p>
    <w:tbl>
      <w:tblPr>
        <w:tblW w:w="0" w:type="auto"/>
        <w:tblLayout w:type="fixed"/>
        <w:tblCellMar>
          <w:left w:w="62" w:type="dxa"/>
          <w:right w:w="62" w:type="dxa"/>
        </w:tblCellMar>
        <w:tblLook w:val="0000"/>
      </w:tblPr>
      <w:tblGrid>
        <w:gridCol w:w="2700"/>
        <w:gridCol w:w="5764"/>
      </w:tblGrid>
      <w:tr w:rsidTr="00552D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70646" w:rsidP="00D70646">
            <w:pPr>
              <w:pStyle w:val="BodyText"/>
            </w:pPr>
            <w:r w:rsidRPr="00D70646">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rPr>
                <w:rStyle w:val="SpecialBold"/>
              </w:rPr>
              <w:t xml:space="preserve">4) </w:t>
            </w:r>
          </w:p>
        </w:tc>
      </w:tr>
      <w:tr w:rsidTr="00552D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70646" w:rsidP="00D70646">
            <w:pPr>
              <w:pStyle w:val="BodyText"/>
            </w:pPr>
            <w:r w:rsidRPr="00D70646">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rPr>
                <w:rStyle w:val="SpecialBold"/>
              </w:rPr>
              <w:t>4.1)</w:t>
            </w:r>
          </w:p>
        </w:tc>
      </w:tr>
      <w:tr w:rsidTr="00552D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D70646" w:rsidP="00D70646">
            <w:pPr>
              <w:pStyle w:val="BodyText"/>
            </w:pPr>
            <w:r w:rsidRPr="00D70646">
              <w:t>Granting of competency in this unit shall be made only after competency in the following unit(s) has/have been confirmed.</w:t>
            </w:r>
          </w:p>
          <w:p w:rsidR="00000000" w:rsidRPr="00D70646" w:rsidP="00D70646">
            <w:pPr>
              <w:pStyle w:val="BodyText"/>
            </w:pPr>
            <w:r w:rsidRPr="00D70646">
              <w:t>Where pre-requisite pathways have been identified. All competencies in the Common Unit Group must be have been completed.</w:t>
            </w:r>
          </w:p>
          <w:p w:rsidR="00000000" w:rsidRPr="00D70646" w:rsidP="00D70646">
            <w:pPr>
              <w:pStyle w:val="BodyText"/>
            </w:pPr>
            <w:r w:rsidRPr="00D70646">
              <w:t>Ther</w:t>
            </w:r>
            <w:r w:rsidRPr="00D70646">
              <w:t xml:space="preserve">e are no prerequisite </w:t>
            </w:r>
          </w:p>
        </w:tc>
      </w:tr>
    </w:tbl>
    <w:p w:rsidR="00000000" w:rsidRPr="00D70646" w:rsidP="00D7064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52DB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70646" w:rsidP="00D70646">
            <w:pPr>
              <w:pStyle w:val="BodyText"/>
            </w:pPr>
            <w:r w:rsidRPr="00D7064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rPr>
                <w:rStyle w:val="SpecialBold"/>
              </w:rPr>
              <w:t xml:space="preserve">4.2) </w:t>
            </w:r>
          </w:p>
        </w:tc>
      </w:tr>
      <w:tr w:rsidTr="00552D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 xml:space="preserve">Participants are best equipped to achieve this unit if they have reading, writing and numeracy skills indicated by the following levels. A </w:t>
            </w:r>
            <w:r w:rsidRPr="00D70646">
              <w:t>description of what each level entails is provided in Section 2.3.1 Language, Literacy and Numeracy.</w:t>
            </w:r>
          </w:p>
        </w:tc>
      </w:tr>
      <w:tr w:rsidTr="00552D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Reading</w:t>
            </w:r>
          </w:p>
        </w:tc>
        <w:tc>
          <w:tcPr>
            <w:tcW w:w="81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3</w:t>
            </w:r>
          </w:p>
        </w:tc>
        <w:tc>
          <w:tcPr>
            <w:tcW w:w="99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Writing</w:t>
            </w:r>
          </w:p>
        </w:tc>
        <w:tc>
          <w:tcPr>
            <w:tcW w:w="90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3</w:t>
            </w:r>
          </w:p>
        </w:tc>
        <w:tc>
          <w:tcPr>
            <w:tcW w:w="126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Numeracy</w:t>
            </w:r>
          </w:p>
        </w:tc>
        <w:tc>
          <w:tcPr>
            <w:tcW w:w="720" w:type="dxa"/>
            <w:tcBorders>
              <w:top w:val="nil"/>
              <w:left w:val="nil"/>
              <w:bottom w:val="nil"/>
              <w:right w:val="nil"/>
            </w:tcBorders>
            <w:tcMar>
              <w:top w:w="0" w:type="dxa"/>
              <w:left w:w="62" w:type="dxa"/>
              <w:bottom w:w="0" w:type="dxa"/>
              <w:right w:w="62" w:type="dxa"/>
            </w:tcMar>
          </w:tcPr>
          <w:p w:rsidR="00000000" w:rsidRPr="00D70646" w:rsidP="00D70646">
            <w:pPr>
              <w:pStyle w:val="BodyText"/>
            </w:pPr>
            <w:r w:rsidRPr="00D70646">
              <w:t>3</w:t>
            </w:r>
          </w:p>
        </w:tc>
      </w:tr>
    </w:tbl>
    <w:p w:rsidR="00000000" w:rsidRPr="00D70646" w:rsidP="00D70646">
      <w:pPr>
        <w:pStyle w:val="BodyText"/>
      </w:pPr>
    </w:p>
    <w:p w:rsidR="00000000" w:rsidRPr="00D70646" w:rsidP="00D70646">
      <w:pPr>
        <w:pStyle w:val="AllowPageBreak"/>
      </w:pPr>
    </w:p>
    <w:p w:rsidR="00000000" w:rsidRPr="00D70646" w:rsidP="00D70646">
      <w:pPr>
        <w:pStyle w:val="Heading1"/>
      </w:pPr>
      <w:bookmarkStart w:id="6" w:name="O_475525"/>
      <w:bookmarkEnd w:id="6"/>
      <w:r w:rsidRPr="00D70646">
        <w:t>Employability Skills Information</w:t>
      </w:r>
    </w:p>
    <w:tbl>
      <w:tblPr>
        <w:tblW w:w="0" w:type="auto"/>
        <w:tblLayout w:type="fixed"/>
        <w:tblCellMar>
          <w:left w:w="62" w:type="dxa"/>
          <w:right w:w="62" w:type="dxa"/>
        </w:tblCellMar>
        <w:tblLook w:val="0000"/>
      </w:tblPr>
      <w:tblGrid>
        <w:gridCol w:w="2700"/>
        <w:gridCol w:w="5760"/>
      </w:tblGrid>
      <w:tr w:rsidTr="00552D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70646" w:rsidP="00D70646">
            <w:pPr>
              <w:pStyle w:val="BodyText"/>
            </w:pPr>
            <w:r w:rsidRPr="00D7064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rPr>
                <w:rStyle w:val="SpecialBold"/>
              </w:rPr>
              <w:t xml:space="preserve">5) </w:t>
            </w:r>
          </w:p>
        </w:tc>
      </w:tr>
      <w:tr w:rsidTr="00552D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70646" w:rsidP="00D70646">
            <w:pPr>
              <w:pStyle w:val="BodyText"/>
            </w:pPr>
            <w:r w:rsidRPr="00D7064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70646">
              <w:t>requirements.</w:t>
            </w:r>
          </w:p>
        </w:tc>
      </w:tr>
    </w:tbl>
    <w:p w:rsidR="00000000" w:rsidRPr="00D70646" w:rsidP="00D70646">
      <w:pPr>
        <w:pStyle w:val="BodyText"/>
      </w:pPr>
    </w:p>
    <w:p w:rsidR="00000000" w:rsidRPr="00D70646" w:rsidP="00D70646">
      <w:pPr>
        <w:pStyle w:val="AllowPageBreak"/>
      </w:pPr>
    </w:p>
    <w:p w:rsidR="00000000" w:rsidRPr="00D70646" w:rsidP="00D70646">
      <w:pPr>
        <w:pStyle w:val="Heading1"/>
      </w:pPr>
      <w:bookmarkStart w:id="7" w:name="O_475524"/>
      <w:bookmarkEnd w:id="7"/>
      <w:r w:rsidRPr="00D70646">
        <w:t>Elements and Performance Criteria Pre-Content</w:t>
      </w:r>
    </w:p>
    <w:tbl>
      <w:tblPr>
        <w:tblW w:w="0" w:type="auto"/>
        <w:tblLayout w:type="fixed"/>
        <w:tblCellMar>
          <w:left w:w="62" w:type="dxa"/>
          <w:right w:w="62" w:type="dxa"/>
        </w:tblCellMar>
        <w:tblLook w:val="0000"/>
      </w:tblPr>
      <w:tblGrid>
        <w:gridCol w:w="2700"/>
        <w:gridCol w:w="5760"/>
      </w:tblGrid>
      <w:tr w:rsidTr="00552D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rPr>
                <w:rStyle w:val="SpecialBold"/>
              </w:rPr>
              <w:t>6)</w:t>
            </w:r>
            <w:r w:rsidRPr="00D7064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70646" w:rsidP="00D70646">
            <w:pPr>
              <w:pStyle w:val="BodyText"/>
            </w:pPr>
            <w:r w:rsidRPr="00D70646">
              <w:t>Performance Criteria describe the required performance needed to demonstrate achievement of the element</w:t>
            </w:r>
            <w:r w:rsidRPr="00D70646">
              <w:t>. Assessment of performance is to be consistent with the Evidence Guide.</w:t>
            </w:r>
          </w:p>
        </w:tc>
      </w:tr>
    </w:tbl>
    <w:p w:rsidR="00000000" w:rsidRPr="00D70646" w:rsidP="00D70646">
      <w:pPr>
        <w:pStyle w:val="BodyText"/>
      </w:pPr>
    </w:p>
    <w:p w:rsidR="00000000" w:rsidRPr="00D70646" w:rsidP="00D70646">
      <w:pPr>
        <w:pStyle w:val="AllowPageBreak"/>
      </w:pPr>
    </w:p>
    <w:p w:rsidR="00000000" w:rsidRPr="00D70646" w:rsidP="00D70646">
      <w:pPr>
        <w:pStyle w:val="Heading1"/>
      </w:pPr>
      <w:bookmarkStart w:id="8" w:name="O_475523"/>
      <w:bookmarkEnd w:id="8"/>
      <w:r w:rsidRPr="00D7064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52DB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70646" w:rsidP="00D70646">
            <w:pPr>
              <w:pStyle w:val="BodyText"/>
            </w:pPr>
            <w:r w:rsidRPr="00D7064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rPr>
                <w:rStyle w:val="SpecialBold"/>
              </w:rPr>
              <w:t>PERFORMANCE CRITERIA</w:t>
            </w:r>
          </w:p>
        </w:tc>
      </w:tr>
      <w:tr w:rsidTr="00552D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1</w:t>
            </w:r>
          </w:p>
        </w:tc>
        <w:tc>
          <w:tcPr>
            <w:tcW w:w="2296" w:type="dxa"/>
            <w:vMerge w:val="restart"/>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Plan and prepare work</w:t>
            </w:r>
          </w:p>
        </w:tc>
        <w:tc>
          <w:tcPr>
            <w:tcW w:w="90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1.1</w:t>
            </w:r>
          </w:p>
        </w:tc>
        <w:tc>
          <w:tcPr>
            <w:tcW w:w="486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Safety issues are identified to comply with enterprise/site requirements</w:t>
            </w:r>
          </w:p>
        </w:tc>
      </w:tr>
      <w:tr w:rsidTr="00552D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1.2</w:t>
            </w:r>
          </w:p>
        </w:tc>
        <w:tc>
          <w:tcPr>
            <w:tcW w:w="486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Work, plant and type of start requirements are identified from relevant personnel and documentation</w:t>
            </w:r>
          </w:p>
        </w:tc>
      </w:tr>
      <w:tr w:rsidTr="00552D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1.3</w:t>
            </w:r>
          </w:p>
        </w:tc>
        <w:tc>
          <w:tcPr>
            <w:tcW w:w="486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The turbine runni</w:t>
            </w:r>
            <w:r w:rsidRPr="00D70646">
              <w:t>ng-up and loading schedule are ascertained from relevant documentation and in accordance with enterprise/site requirements</w:t>
            </w:r>
          </w:p>
        </w:tc>
      </w:tr>
      <w:tr w:rsidTr="00552D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1.4</w:t>
            </w:r>
          </w:p>
        </w:tc>
        <w:tc>
          <w:tcPr>
            <w:tcW w:w="486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Localised plant inspection, pre operational tests and field preparation for service are carried out in accordance with manufac</w:t>
            </w:r>
            <w:r w:rsidRPr="00D70646">
              <w:t>turer and enterprise/site procedures</w:t>
            </w:r>
          </w:p>
        </w:tc>
      </w:tr>
      <w:tr w:rsidTr="00552D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1.5</w:t>
            </w:r>
          </w:p>
        </w:tc>
        <w:tc>
          <w:tcPr>
            <w:tcW w:w="486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Plant operational prerequisites are established in accordance with manufacturer and enterprise/site procedures</w:t>
            </w:r>
          </w:p>
        </w:tc>
      </w:tr>
      <w:tr w:rsidTr="00552D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1.6</w:t>
            </w:r>
          </w:p>
        </w:tc>
        <w:tc>
          <w:tcPr>
            <w:tcW w:w="486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Sequence for recommissioning of plant is determined to suit existing circumstances in accordance with enterprise/site requirements</w:t>
            </w:r>
          </w:p>
        </w:tc>
      </w:tr>
      <w:tr w:rsidTr="00552D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2</w:t>
            </w:r>
          </w:p>
        </w:tc>
        <w:tc>
          <w:tcPr>
            <w:tcW w:w="2296" w:type="dxa"/>
            <w:vMerge w:val="restart"/>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Operate hydro turbine</w:t>
            </w:r>
          </w:p>
        </w:tc>
        <w:tc>
          <w:tcPr>
            <w:tcW w:w="90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2.1</w:t>
            </w:r>
          </w:p>
        </w:tc>
        <w:tc>
          <w:tcPr>
            <w:tcW w:w="486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 xml:space="preserve">Output is adjusted to achieve required hydro turbine operating conditions and demand, observing </w:t>
            </w:r>
            <w:r w:rsidRPr="00D70646">
              <w:t xml:space="preserve"> operational requirements </w:t>
            </w:r>
          </w:p>
        </w:tc>
      </w:tr>
      <w:tr w:rsidTr="00552D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2.2</w:t>
            </w:r>
          </w:p>
        </w:tc>
        <w:tc>
          <w:tcPr>
            <w:tcW w:w="486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Plant is operated within limits of plant design, enterprise or site requirements</w:t>
            </w:r>
          </w:p>
        </w:tc>
      </w:tr>
      <w:tr w:rsidTr="00552D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2.3</w:t>
            </w:r>
          </w:p>
        </w:tc>
        <w:tc>
          <w:tcPr>
            <w:tcW w:w="486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Plant is monitored and observed to detect deviations from required operating conditions</w:t>
            </w:r>
          </w:p>
        </w:tc>
      </w:tr>
      <w:tr w:rsidTr="00552D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2.4</w:t>
            </w:r>
          </w:p>
        </w:tc>
        <w:tc>
          <w:tcPr>
            <w:tcW w:w="486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Corrective actions are taken to rectify abnormalities in accordance with manufacturer and enterprise/site procedures</w:t>
            </w:r>
          </w:p>
        </w:tc>
      </w:tr>
      <w:tr w:rsidTr="00552D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3</w:t>
            </w:r>
          </w:p>
        </w:tc>
        <w:tc>
          <w:tcPr>
            <w:tcW w:w="2296" w:type="dxa"/>
            <w:vMerge w:val="restart"/>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Test plant operation</w:t>
            </w:r>
          </w:p>
        </w:tc>
        <w:tc>
          <w:tcPr>
            <w:tcW w:w="90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3.1</w:t>
            </w:r>
          </w:p>
        </w:tc>
        <w:tc>
          <w:tcPr>
            <w:tcW w:w="486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Tests are performed in accordance with defined procedures applicable to the operational test</w:t>
            </w:r>
          </w:p>
        </w:tc>
      </w:tr>
      <w:tr w:rsidTr="00552D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3.2</w:t>
            </w:r>
          </w:p>
        </w:tc>
        <w:tc>
          <w:tcPr>
            <w:tcW w:w="486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System and plant is observed for correct operational response</w:t>
            </w:r>
          </w:p>
        </w:tc>
      </w:tr>
      <w:tr w:rsidTr="00552D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3.3</w:t>
            </w:r>
          </w:p>
        </w:tc>
        <w:tc>
          <w:tcPr>
            <w:tcW w:w="486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Correct action is taken when response is not in accordance with documentation, plant integrity or personnel safety requirements</w:t>
            </w:r>
          </w:p>
        </w:tc>
      </w:tr>
      <w:tr w:rsidTr="00552D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3.4</w:t>
            </w:r>
          </w:p>
        </w:tc>
        <w:tc>
          <w:tcPr>
            <w:tcW w:w="486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Plant is returned to required safe operational statu</w:t>
            </w:r>
            <w:r w:rsidRPr="00D70646">
              <w:t>s upon completion of test</w:t>
            </w:r>
          </w:p>
        </w:tc>
      </w:tr>
      <w:tr w:rsidTr="00552D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4</w:t>
            </w:r>
          </w:p>
        </w:tc>
        <w:tc>
          <w:tcPr>
            <w:tcW w:w="2296"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Analyse plant faults</w:t>
            </w:r>
          </w:p>
        </w:tc>
        <w:tc>
          <w:tcPr>
            <w:tcW w:w="90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4.1</w:t>
            </w:r>
          </w:p>
        </w:tc>
        <w:tc>
          <w:tcPr>
            <w:tcW w:w="486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Cause of abnormal plant operating conditions are identified by analysing the technical and operational information in a logical and sequential manner</w:t>
            </w:r>
          </w:p>
        </w:tc>
      </w:tr>
      <w:tr w:rsidTr="00552D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4.2</w:t>
            </w:r>
          </w:p>
        </w:tc>
        <w:tc>
          <w:tcPr>
            <w:tcW w:w="486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Ac</w:t>
            </w:r>
            <w:r w:rsidRPr="00D70646">
              <w:t>tions necessary to rectify fault are correctly determined</w:t>
            </w:r>
          </w:p>
        </w:tc>
      </w:tr>
      <w:tr w:rsidTr="00552D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4.3</w:t>
            </w:r>
          </w:p>
        </w:tc>
        <w:tc>
          <w:tcPr>
            <w:tcW w:w="486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Plant integrity and personnel safety is maintained through consultation with appropriate personnel, and reference to plant, technical and operational documentation</w:t>
            </w:r>
          </w:p>
        </w:tc>
      </w:tr>
      <w:tr w:rsidTr="00552D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5</w:t>
            </w:r>
          </w:p>
        </w:tc>
        <w:tc>
          <w:tcPr>
            <w:tcW w:w="2296"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Monitor and inspect plan</w:t>
            </w:r>
            <w:r w:rsidRPr="00D70646">
              <w:t>t</w:t>
            </w:r>
          </w:p>
        </w:tc>
        <w:tc>
          <w:tcPr>
            <w:tcW w:w="90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5.1</w:t>
            </w:r>
          </w:p>
        </w:tc>
        <w:tc>
          <w:tcPr>
            <w:tcW w:w="486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Plant to be monitored/inspected is physically identified</w:t>
            </w:r>
          </w:p>
        </w:tc>
      </w:tr>
      <w:tr w:rsidTr="00552D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5.2</w:t>
            </w:r>
          </w:p>
        </w:tc>
        <w:tc>
          <w:tcPr>
            <w:tcW w:w="486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 xml:space="preserve">Plant is monitored/inspected for normal operation or to detect deviations </w:t>
            </w:r>
          </w:p>
        </w:tc>
      </w:tr>
      <w:tr w:rsidTr="00552D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5.3</w:t>
            </w:r>
          </w:p>
        </w:tc>
        <w:tc>
          <w:tcPr>
            <w:tcW w:w="486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Corrective action taken is in accordance with enterprise procedures</w:t>
            </w:r>
          </w:p>
        </w:tc>
      </w:tr>
      <w:tr w:rsidTr="00552D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5.4</w:t>
            </w:r>
          </w:p>
        </w:tc>
        <w:tc>
          <w:tcPr>
            <w:tcW w:w="486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Appropriate personnel are notified when defects are detected</w:t>
            </w:r>
          </w:p>
        </w:tc>
      </w:tr>
      <w:tr w:rsidTr="00552D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p>
        </w:tc>
      </w:tr>
      <w:tr w:rsidTr="00552D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6</w:t>
            </w:r>
          </w:p>
        </w:tc>
        <w:tc>
          <w:tcPr>
            <w:tcW w:w="2296"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Complete documentation</w:t>
            </w:r>
          </w:p>
        </w:tc>
        <w:tc>
          <w:tcPr>
            <w:tcW w:w="90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t>6.1</w:t>
            </w:r>
          </w:p>
        </w:tc>
        <w:tc>
          <w:tcPr>
            <w:tcW w:w="4860" w:type="dxa"/>
            <w:tcBorders>
              <w:top w:val="nil"/>
              <w:left w:val="nil"/>
              <w:bottom w:val="nil"/>
              <w:right w:val="nil"/>
            </w:tcBorders>
            <w:tcMar>
              <w:top w:w="0" w:type="dxa"/>
              <w:left w:w="62" w:type="dxa"/>
              <w:bottom w:w="0" w:type="dxa"/>
              <w:right w:w="62" w:type="dxa"/>
            </w:tcMar>
          </w:tcPr>
          <w:p w:rsidR="00000000" w:rsidRPr="00D70646" w:rsidP="00D70646">
            <w:pPr>
              <w:pStyle w:val="BodyText"/>
            </w:pPr>
            <w:r w:rsidRPr="00D70646">
              <w:t>Documentation is updated and plant problems, movements, abnormalities and status are reported and logged in accordance with enterprise/site procedures</w:t>
            </w:r>
          </w:p>
        </w:tc>
      </w:tr>
    </w:tbl>
    <w:p w:rsidR="00000000" w:rsidRPr="00D70646" w:rsidP="00D70646">
      <w:pPr>
        <w:pStyle w:val="BodyText"/>
      </w:pPr>
    </w:p>
    <w:p w:rsidR="00000000" w:rsidRPr="00D70646" w:rsidP="00D70646">
      <w:pPr>
        <w:pStyle w:val="AllowPageBreak"/>
      </w:pPr>
    </w:p>
    <w:p w:rsidR="00000000" w:rsidRPr="00D70646" w:rsidP="00D70646">
      <w:pPr>
        <w:pStyle w:val="Heading1"/>
      </w:pPr>
      <w:bookmarkStart w:id="9" w:name="O_475531"/>
      <w:bookmarkEnd w:id="9"/>
      <w:r w:rsidRPr="00D70646">
        <w:t>Required Skills and Knowledge</w:t>
      </w:r>
    </w:p>
    <w:tbl>
      <w:tblPr>
        <w:tblW w:w="0" w:type="auto"/>
        <w:tblLayout w:type="fixed"/>
        <w:tblCellMar>
          <w:left w:w="62" w:type="dxa"/>
          <w:right w:w="62" w:type="dxa"/>
        </w:tblCellMar>
        <w:tblLook w:val="0000"/>
      </w:tblPr>
      <w:tblGrid>
        <w:gridCol w:w="8460"/>
      </w:tblGrid>
      <w:tr w:rsidTr="00552DB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rPr>
                <w:rStyle w:val="SpecialBold"/>
              </w:rPr>
              <w:t>REQUIRED SKILLS AND KNOWLEDGE</w:t>
            </w:r>
          </w:p>
        </w:tc>
      </w:tr>
      <w:tr w:rsidTr="00552DB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70646" w:rsidP="00D70646">
            <w:pPr>
              <w:pStyle w:val="BodyText"/>
            </w:pPr>
            <w:r w:rsidRPr="00D70646">
              <w:rPr>
                <w:rStyle w:val="SpecialBold"/>
              </w:rPr>
              <w:t>8)</w:t>
            </w:r>
            <w:r w:rsidRPr="00D70646">
              <w:t xml:space="preserve"> This describes the essential skills and knowledge and their level, required for this unit.</w:t>
            </w:r>
          </w:p>
          <w:p w:rsidR="00000000" w:rsidRPr="00D70646" w:rsidP="00D70646">
            <w:pPr>
              <w:pStyle w:val="BodyText"/>
            </w:pPr>
            <w:r w:rsidRPr="00D70646">
              <w:t>Evidence shall show that knowledge has been acquired of operating a hydro turbine.</w:t>
            </w:r>
          </w:p>
          <w:p w:rsidR="00000000" w:rsidRPr="00D70646" w:rsidP="00D70646">
            <w:pPr>
              <w:pStyle w:val="BodyText"/>
            </w:pPr>
            <w:r w:rsidRPr="00D70646">
              <w:t>Th</w:t>
            </w:r>
            <w:r w:rsidRPr="00D70646">
              <w:t>e extent of the Essential Knowledge and Associated Skills required follows:</w:t>
            </w:r>
          </w:p>
          <w:p w:rsidR="00000000" w:rsidRPr="00D70646" w:rsidP="00D70646">
            <w:pPr>
              <w:pStyle w:val="BodyText"/>
            </w:pPr>
            <w:r w:rsidRPr="00D70646">
              <w:t>KS01-PO360A A Hydro Turbine</w:t>
            </w:r>
          </w:p>
          <w:p w:rsidR="00000000" w:rsidRPr="00D70646" w:rsidP="00D70646">
            <w:pPr>
              <w:pStyle w:val="BodyText"/>
            </w:pPr>
            <w:r w:rsidRPr="00D70646">
              <w:t>Evidence shall show that knowledge has been acquired for safe working practices of:</w:t>
            </w:r>
          </w:p>
          <w:p w:rsidR="00000000" w:rsidRPr="00D70646" w:rsidP="00D70646">
            <w:pPr>
              <w:pStyle w:val="BodyText"/>
            </w:pPr>
            <w:r w:rsidRPr="00D70646">
              <w:t>T1 Relevant Environmental, Occupational Health and Safety legislatio</w:t>
            </w:r>
            <w:r w:rsidRPr="00D70646">
              <w:t>n and  regulations</w:t>
            </w:r>
          </w:p>
          <w:p w:rsidR="00000000" w:rsidRPr="00D70646" w:rsidP="00D70646">
            <w:pPr>
              <w:pStyle w:val="BodyText"/>
            </w:pPr>
            <w:r w:rsidRPr="00D70646">
              <w:t xml:space="preserve">T2 Enterprise procedures </w:t>
            </w:r>
          </w:p>
          <w:p w:rsidR="00000000" w:rsidRPr="00D70646" w:rsidP="00D70646">
            <w:pPr>
              <w:pStyle w:val="BodyText"/>
            </w:pPr>
            <w:r w:rsidRPr="00D70646">
              <w:t xml:space="preserve">T3 Plant drawings and manufacturers manuals </w:t>
            </w:r>
          </w:p>
          <w:p w:rsidR="00000000" w:rsidRPr="00D70646" w:rsidP="00D70646">
            <w:pPr>
              <w:pStyle w:val="BodyText"/>
            </w:pPr>
            <w:r w:rsidRPr="00D70646">
              <w:t>T4 Introduction to and typical arrangements of hydro  power production plant</w:t>
            </w:r>
          </w:p>
          <w:p w:rsidR="00000000" w:rsidRPr="00D70646" w:rsidP="00D70646">
            <w:pPr>
              <w:pStyle w:val="BodyText"/>
            </w:pPr>
            <w:r w:rsidRPr="00D70646">
              <w:t>T5 Relevant plant and equipment, its location and operating parameters</w:t>
            </w:r>
          </w:p>
          <w:p w:rsidR="00000000" w:rsidRPr="00D70646" w:rsidP="00D70646">
            <w:pPr>
              <w:pStyle w:val="BodyText"/>
            </w:pPr>
            <w:r w:rsidRPr="00D70646">
              <w:t xml:space="preserve">T6 Electric motor types and characteristics </w:t>
            </w:r>
          </w:p>
          <w:p w:rsidR="00000000" w:rsidRPr="00D70646" w:rsidP="00D70646">
            <w:pPr>
              <w:pStyle w:val="BodyText"/>
            </w:pPr>
            <w:r w:rsidRPr="00D70646">
              <w:t>T7 Pump and compressor types and characteristics</w:t>
            </w:r>
          </w:p>
          <w:p w:rsidR="00000000" w:rsidRPr="00D70646" w:rsidP="00D70646">
            <w:pPr>
              <w:pStyle w:val="BodyText"/>
            </w:pPr>
            <w:r w:rsidRPr="00D70646">
              <w:t>T8 Valve, and actuator types and characteristics</w:t>
            </w:r>
          </w:p>
          <w:p w:rsidR="00000000" w:rsidRPr="00D70646" w:rsidP="00D70646">
            <w:pPr>
              <w:pStyle w:val="BodyText"/>
            </w:pPr>
            <w:r w:rsidRPr="00D70646">
              <w:t>T9 Switchgear types and characteristics</w:t>
            </w:r>
          </w:p>
          <w:p w:rsidR="00000000" w:rsidRPr="00D70646" w:rsidP="00D70646">
            <w:pPr>
              <w:pStyle w:val="BodyText"/>
            </w:pPr>
            <w:r w:rsidRPr="00D70646">
              <w:t>T10 Electrical protection types and characteristics</w:t>
            </w:r>
          </w:p>
          <w:p w:rsidR="00000000" w:rsidRPr="00D70646" w:rsidP="00D70646">
            <w:pPr>
              <w:pStyle w:val="BodyText"/>
            </w:pPr>
            <w:r w:rsidRPr="00D70646">
              <w:t>T11 Relevant state an</w:t>
            </w:r>
            <w:r w:rsidRPr="00D70646">
              <w:t xml:space="preserve">d territory regulations </w:t>
            </w:r>
          </w:p>
          <w:p w:rsidR="00000000" w:rsidRPr="00D70646" w:rsidP="00D70646">
            <w:pPr>
              <w:pStyle w:val="BodyText"/>
            </w:pPr>
            <w:r w:rsidRPr="00D70646">
              <w:t xml:space="preserve">T12 Plant status </w:t>
            </w:r>
          </w:p>
          <w:p w:rsidR="00000000" w:rsidRPr="00D70646" w:rsidP="00D70646">
            <w:pPr>
              <w:pStyle w:val="BodyText"/>
            </w:pPr>
            <w:r w:rsidRPr="00D70646">
              <w:t xml:space="preserve">T13 Control and data acquisition systems </w:t>
            </w:r>
          </w:p>
          <w:p w:rsidR="00000000" w:rsidRPr="00D70646" w:rsidP="00D70646">
            <w:pPr>
              <w:pStyle w:val="BodyText"/>
            </w:pPr>
            <w:r w:rsidRPr="00D70646">
              <w:t>T14 Condition monitoring trending equipment</w:t>
            </w:r>
          </w:p>
          <w:p w:rsidR="00000000" w:rsidRPr="00D70646" w:rsidP="00D70646">
            <w:pPr>
              <w:pStyle w:val="BodyText"/>
            </w:pPr>
            <w:r w:rsidRPr="00D70646">
              <w:t>T15 Hydro turbine, types and characteristics</w:t>
            </w:r>
          </w:p>
          <w:p w:rsidR="00000000" w:rsidRPr="00D70646" w:rsidP="00D70646">
            <w:pPr>
              <w:pStyle w:val="BodyText"/>
            </w:pPr>
            <w:r w:rsidRPr="00D70646">
              <w:t>T16 Hydro turbine governor, types and characteristics</w:t>
            </w:r>
          </w:p>
          <w:p w:rsidR="00000000" w:rsidRPr="00D70646" w:rsidP="00D70646">
            <w:pPr>
              <w:pStyle w:val="BodyText"/>
            </w:pPr>
            <w:r w:rsidRPr="00D70646">
              <w:t>T17 Headgate, tailgate, inta</w:t>
            </w:r>
            <w:r w:rsidRPr="00D70646">
              <w:t>ke, penstock, tunnels and tail races, types and characteristics</w:t>
            </w:r>
          </w:p>
          <w:p w:rsidR="00000000" w:rsidRPr="00D70646" w:rsidP="00D70646">
            <w:pPr>
              <w:pStyle w:val="BodyText"/>
            </w:pPr>
            <w:r w:rsidRPr="00D70646">
              <w:t>T18 hydro generator types and characteristics</w:t>
            </w:r>
          </w:p>
          <w:p w:rsidR="00000000" w:rsidRPr="00D70646" w:rsidP="00D70646">
            <w:pPr>
              <w:pStyle w:val="BodyText"/>
            </w:pPr>
            <w:r w:rsidRPr="00D70646">
              <w:t xml:space="preserve">T19 Generator performance characteristics </w:t>
            </w:r>
          </w:p>
          <w:p w:rsidR="00000000" w:rsidRPr="00D70646" w:rsidP="00D70646">
            <w:pPr>
              <w:pStyle w:val="BodyText"/>
            </w:pPr>
            <w:r w:rsidRPr="00D70646">
              <w:t xml:space="preserve">T20 Speed control systems </w:t>
            </w:r>
          </w:p>
          <w:p w:rsidR="00000000" w:rsidRPr="00D70646" w:rsidP="00D70646">
            <w:pPr>
              <w:pStyle w:val="BodyText"/>
            </w:pPr>
            <w:r w:rsidRPr="00D70646">
              <w:t xml:space="preserve">T21 Electrical fundamentals </w:t>
            </w:r>
          </w:p>
          <w:p w:rsidR="00000000" w:rsidRPr="00D70646" w:rsidP="00D70646">
            <w:pPr>
              <w:pStyle w:val="BodyText"/>
            </w:pPr>
            <w:r w:rsidRPr="00D70646">
              <w:t xml:space="preserve">T22 Electrical supply and distribution systems </w:t>
            </w:r>
          </w:p>
          <w:p w:rsidR="00000000" w:rsidRPr="00D70646" w:rsidP="00D70646">
            <w:pPr>
              <w:pStyle w:val="BodyText"/>
            </w:pPr>
            <w:r w:rsidRPr="00D70646">
              <w:t>T23 Cooling water systems and filtration</w:t>
            </w:r>
          </w:p>
          <w:p w:rsidR="00000000" w:rsidRPr="00D70646" w:rsidP="00D70646">
            <w:pPr>
              <w:pStyle w:val="BodyText"/>
            </w:pPr>
            <w:r w:rsidRPr="00D70646">
              <w:t xml:space="preserve">T24 heat exchanger types and characteristics  lubrication systems and oil conditioning systems </w:t>
            </w:r>
          </w:p>
          <w:p w:rsidR="00000000" w:rsidRPr="00D70646" w:rsidP="00D70646">
            <w:pPr>
              <w:pStyle w:val="BodyText"/>
            </w:pPr>
            <w:r w:rsidRPr="00D70646">
              <w:t>T25 Equipment behaviours under the influence of high water pressure and/or flows</w:t>
            </w:r>
          </w:p>
          <w:p w:rsidR="00000000" w:rsidRPr="00D70646" w:rsidP="00D70646">
            <w:pPr>
              <w:pStyle w:val="BodyText"/>
            </w:pPr>
            <w:r w:rsidRPr="00D70646">
              <w:t>KS02-PO360A  A Hydro Turbine</w:t>
            </w:r>
          </w:p>
          <w:p w:rsidR="00000000" w:rsidRPr="00D70646" w:rsidP="00D70646">
            <w:pPr>
              <w:pStyle w:val="BodyText"/>
            </w:pPr>
            <w:r w:rsidRPr="00D70646">
              <w:t>Specific</w:t>
            </w:r>
            <w:r w:rsidRPr="00D70646">
              <w:t xml:space="preserve"> skills needed to achieve the Performance Criteria:</w:t>
            </w:r>
          </w:p>
          <w:p w:rsidR="00000000" w:rsidRPr="00D70646" w:rsidP="00D70646">
            <w:pPr>
              <w:pStyle w:val="BodyText"/>
            </w:pPr>
            <w:r w:rsidRPr="00D70646">
              <w:t xml:space="preserve">T1 Interpret plant drawings and manufacturers manuals </w:t>
            </w:r>
          </w:p>
          <w:p w:rsidR="00000000" w:rsidRPr="00D70646" w:rsidP="00D70646">
            <w:pPr>
              <w:pStyle w:val="BodyText"/>
            </w:pPr>
            <w:r w:rsidRPr="00D70646">
              <w:t xml:space="preserve">T2 Apply relevant state and territory regulations </w:t>
            </w:r>
          </w:p>
          <w:p w:rsidR="00000000" w:rsidRPr="00D70646" w:rsidP="00D70646">
            <w:pPr>
              <w:pStyle w:val="BodyText"/>
            </w:pPr>
            <w:r w:rsidRPr="00D70646">
              <w:t xml:space="preserve">T3 Apply enterprise recording procedures </w:t>
            </w:r>
          </w:p>
          <w:p w:rsidR="00000000" w:rsidRPr="00D70646" w:rsidP="00D70646">
            <w:pPr>
              <w:pStyle w:val="BodyText"/>
            </w:pPr>
            <w:r w:rsidRPr="00D70646">
              <w:t xml:space="preserve">T4 Identify plant status </w:t>
            </w:r>
          </w:p>
          <w:p w:rsidR="00000000" w:rsidRPr="00D70646" w:rsidP="00D70646">
            <w:pPr>
              <w:pStyle w:val="BodyText"/>
            </w:pPr>
            <w:r w:rsidRPr="00D70646">
              <w:t xml:space="preserve">T5 Prepare plant/equipment for operation </w:t>
            </w:r>
          </w:p>
          <w:p w:rsidR="00000000" w:rsidRPr="00D70646" w:rsidP="00D70646">
            <w:pPr>
              <w:pStyle w:val="BodyText"/>
            </w:pPr>
            <w:r w:rsidRPr="00D70646">
              <w:t xml:space="preserve">T6 Organise resources </w:t>
            </w:r>
          </w:p>
          <w:p w:rsidR="00000000" w:rsidRPr="00D70646" w:rsidP="00D70646">
            <w:pPr>
              <w:pStyle w:val="BodyText"/>
            </w:pPr>
            <w:r w:rsidRPr="00D70646">
              <w:t xml:space="preserve">T7 Apply diagnostic and testing techniques </w:t>
            </w:r>
          </w:p>
          <w:p w:rsidR="00000000" w:rsidRPr="00D70646" w:rsidP="00D70646">
            <w:pPr>
              <w:pStyle w:val="BodyText"/>
            </w:pPr>
            <w:r w:rsidRPr="00D70646">
              <w:t xml:space="preserve">T8 Identify and respond to abnormal plant operating conditions </w:t>
            </w:r>
          </w:p>
          <w:p w:rsidR="00000000" w:rsidRPr="00D70646" w:rsidP="00D70646">
            <w:pPr>
              <w:pStyle w:val="BodyText"/>
            </w:pPr>
            <w:r w:rsidRPr="00D70646">
              <w:t xml:space="preserve">T9 Plan and prioritise work </w:t>
            </w:r>
          </w:p>
          <w:p w:rsidR="00000000" w:rsidRPr="00D70646" w:rsidP="00D70646">
            <w:pPr>
              <w:pStyle w:val="BodyText"/>
            </w:pPr>
            <w:r w:rsidRPr="00D70646">
              <w:t xml:space="preserve">T10 Use relevant hand tools </w:t>
            </w:r>
          </w:p>
          <w:p w:rsidR="00000000" w:rsidRPr="00D70646" w:rsidP="00D70646">
            <w:pPr>
              <w:pStyle w:val="BodyText"/>
            </w:pPr>
            <w:r w:rsidRPr="00D70646">
              <w:t>T11 Communicate effective</w:t>
            </w:r>
            <w:r w:rsidRPr="00D70646">
              <w:t xml:space="preserve">ly </w:t>
            </w:r>
          </w:p>
          <w:p w:rsidR="00000000" w:rsidRPr="00D70646" w:rsidP="00D70646">
            <w:pPr>
              <w:pStyle w:val="BodyText"/>
            </w:pPr>
            <w:r w:rsidRPr="00D70646">
              <w:t>T12 Access and Apply data analysis techniques and tools to hydro machine conditiomonitoring data/trends</w:t>
            </w:r>
          </w:p>
          <w:p w:rsidR="00000000" w:rsidRPr="00D70646" w:rsidP="00D70646">
            <w:pPr>
              <w:pStyle w:val="BodyText"/>
            </w:pPr>
            <w:r w:rsidRPr="00D70646">
              <w:t xml:space="preserve">T13 Operate equipment under the influence of high water pressures and or flows </w:t>
            </w:r>
          </w:p>
          <w:p w:rsidR="00000000" w:rsidRPr="00D70646" w:rsidP="00D70646">
            <w:pPr>
              <w:pStyle w:val="BodyText"/>
            </w:pPr>
            <w:r w:rsidRPr="00D70646">
              <w:t>T14 Co-ordinate the remote operation of equipment to maintain person</w:t>
            </w:r>
            <w:r w:rsidRPr="00D70646">
              <w:t xml:space="preserve">nel safety and plant integrity </w:t>
            </w:r>
          </w:p>
          <w:p w:rsidR="00000000" w:rsidRPr="00D70646" w:rsidP="00D70646">
            <w:pPr>
              <w:pStyle w:val="BodyText"/>
            </w:pPr>
            <w:r w:rsidRPr="00D70646">
              <w:t>T15 Operate a hydro turbine generator/pump unit.</w:t>
            </w:r>
          </w:p>
        </w:tc>
      </w:tr>
    </w:tbl>
    <w:p w:rsidR="00000000" w:rsidRPr="00D70646" w:rsidP="00D70646">
      <w:pPr>
        <w:pStyle w:val="BodyText"/>
      </w:pPr>
    </w:p>
    <w:p w:rsidR="00000000" w:rsidRPr="00D70646" w:rsidP="00D70646">
      <w:pPr>
        <w:pStyle w:val="AllowPageBreak"/>
      </w:pPr>
    </w:p>
    <w:p w:rsidR="00000000" w:rsidRPr="00D70646" w:rsidP="00D70646">
      <w:pPr>
        <w:pStyle w:val="Heading1"/>
      </w:pPr>
      <w:bookmarkStart w:id="10" w:name="O_475526"/>
      <w:bookmarkEnd w:id="10"/>
      <w:r w:rsidRPr="00D70646">
        <w:t>Evidence Guide</w:t>
      </w:r>
    </w:p>
    <w:tbl>
      <w:tblPr>
        <w:tblW w:w="0" w:type="auto"/>
        <w:tblLayout w:type="fixed"/>
        <w:tblCellMar>
          <w:left w:w="62" w:type="dxa"/>
          <w:right w:w="62" w:type="dxa"/>
        </w:tblCellMar>
        <w:tblLook w:val="0000"/>
      </w:tblPr>
      <w:tblGrid>
        <w:gridCol w:w="8460"/>
      </w:tblGrid>
      <w:tr w:rsidTr="00552DB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rPr>
                <w:rStyle w:val="SpecialBold"/>
              </w:rPr>
              <w:t>EVIDENCE GUIDE</w:t>
            </w:r>
          </w:p>
        </w:tc>
      </w:tr>
      <w:tr w:rsidTr="00552D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70646" w:rsidP="00D70646">
            <w:pPr>
              <w:pStyle w:val="BodyText"/>
            </w:pPr>
            <w:r w:rsidRPr="00D70646">
              <w:rPr>
                <w:rStyle w:val="SpecialBold"/>
              </w:rPr>
              <w:t>9)</w:t>
            </w:r>
            <w:r w:rsidRPr="00D70646">
              <w:t xml:space="preserve"> This provides essential advice for assessment of the unit of competency and must be read in conjunction </w:t>
            </w:r>
            <w:r w:rsidRPr="00D70646">
              <w:t>with the Performance Criteria and the Range Statement of the unit and the Training Package Assessment Guidelines.</w:t>
            </w:r>
          </w:p>
          <w:p w:rsidR="00000000" w:rsidRPr="00D70646" w:rsidP="00D70646">
            <w:pPr>
              <w:pStyle w:val="BodyText"/>
            </w:pPr>
            <w:r w:rsidRPr="00D70646">
              <w:t xml:space="preserve">The Evidence Guide forms an integral part of this Competency Standard Unit and shall be used in conjunction with all components parts of this </w:t>
            </w:r>
            <w:r w:rsidRPr="00D70646">
              <w:t>unit and, performed in accordance with the Assessment Guidelines of this Training Package.</w:t>
            </w:r>
          </w:p>
        </w:tc>
      </w:tr>
    </w:tbl>
    <w:p w:rsidR="00000000" w:rsidRPr="00D70646" w:rsidP="00D70646">
      <w:pPr>
        <w:pStyle w:val="BodyText"/>
      </w:pPr>
    </w:p>
    <w:tbl>
      <w:tblPr>
        <w:tblW w:w="0" w:type="auto"/>
        <w:tblLayout w:type="fixed"/>
        <w:tblCellMar>
          <w:left w:w="62" w:type="dxa"/>
          <w:right w:w="62" w:type="dxa"/>
        </w:tblCellMar>
        <w:tblLook w:val="0000"/>
      </w:tblPr>
      <w:tblGrid>
        <w:gridCol w:w="1890"/>
        <w:gridCol w:w="6570"/>
      </w:tblGrid>
      <w:tr w:rsidTr="00552D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70646" w:rsidP="00D70646">
            <w:pPr>
              <w:pStyle w:val="BodyText"/>
            </w:pPr>
            <w:r w:rsidRPr="00D7064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rPr>
                <w:rStyle w:val="SpecialBold"/>
              </w:rPr>
              <w:t>9.1)</w:t>
            </w:r>
          </w:p>
        </w:tc>
      </w:tr>
      <w:tr w:rsidTr="00552D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70646" w:rsidP="00D70646">
            <w:pPr>
              <w:pStyle w:val="BodyText"/>
            </w:pPr>
            <w:r w:rsidRPr="00D70646">
              <w:t>Longitude competency development approaches to assessment, such as Profiling, require data to be reliably gathered in a form that can</w:t>
            </w:r>
            <w:r w:rsidRPr="00D70646">
              <w:t xml:space="preserve"> be consistently interpreted over time. This approach is best utilised in Apprenticeship programs and reduces assessment intervention. It is the Industry’s preferred model for apprenticeships. However, where summative (or final) assessment is used it is to</w:t>
            </w:r>
            <w:r w:rsidRPr="00D70646">
              <w:t xml:space="preserve"> include the application of the competency in the normal work environment or, at a minimum, the application of the competency in a realistically simulated work environment. It is recognised that, in some circumstances, assessment in part or full can occur </w:t>
            </w:r>
            <w:r w:rsidRPr="00D70646">
              <w:t>outside the workplace. However, it must be in accord with Industry and, Regulatory policy in this regard.</w:t>
            </w:r>
          </w:p>
          <w:p w:rsidR="00000000" w:rsidRPr="00D70646" w:rsidP="00D70646">
            <w:pPr>
              <w:pStyle w:val="BodyText"/>
            </w:pPr>
            <w:r w:rsidRPr="00D70646">
              <w:t>Methods chosen for a particular assessment will be influenced by various factors. These include the extent of the assessment, the most effective locat</w:t>
            </w:r>
            <w:r w:rsidRPr="00D70646">
              <w:t>ions for the assessment activities to take place, access to physical resources, additional safety measures that may be required and the critical nature of the competencies being assessed.</w:t>
            </w:r>
          </w:p>
          <w:p w:rsidR="00000000" w:rsidRPr="00D70646" w:rsidP="00D70646">
            <w:pPr>
              <w:pStyle w:val="BodyText"/>
            </w:pPr>
            <w:r w:rsidRPr="00D70646">
              <w:t>The critical safety nature of working with electricity, electrical e</w:t>
            </w:r>
            <w:r w:rsidRPr="00D70646">
              <w:t>quipment, gas or any other hazardous substance/material carries risk in deeming a person competent. Hence, sources of evidence need to be ‘rich’ in nature so as to minimise error in judgment.</w:t>
            </w:r>
          </w:p>
          <w:p w:rsidR="00000000" w:rsidRPr="00D70646" w:rsidP="00D70646">
            <w:pPr>
              <w:pStyle w:val="BodyText"/>
            </w:pPr>
            <w:r w:rsidRPr="00D70646">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D70646">
              <w:t xml:space="preserve">may be more or less frequently practised. These points are raised for the assessors to consider when choosing an assessment method and developing assessment instruments. Sample assessment instruments are included for Assessors in the Assessment Guidelines </w:t>
            </w:r>
            <w:r w:rsidRPr="00D70646">
              <w:t>of this Training Package.</w:t>
            </w:r>
          </w:p>
        </w:tc>
      </w:tr>
    </w:tbl>
    <w:p w:rsidR="00000000" w:rsidRPr="00D70646" w:rsidP="00D70646">
      <w:pPr>
        <w:pStyle w:val="BodyText"/>
      </w:pPr>
    </w:p>
    <w:tbl>
      <w:tblPr>
        <w:tblW w:w="0" w:type="auto"/>
        <w:tblLayout w:type="fixed"/>
        <w:tblCellMar>
          <w:left w:w="62" w:type="dxa"/>
          <w:right w:w="62" w:type="dxa"/>
        </w:tblCellMar>
        <w:tblLook w:val="0000"/>
      </w:tblPr>
      <w:tblGrid>
        <w:gridCol w:w="1890"/>
        <w:gridCol w:w="6570"/>
      </w:tblGrid>
      <w:tr w:rsidTr="00552D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70646" w:rsidP="00D70646">
            <w:pPr>
              <w:pStyle w:val="BodyText"/>
            </w:pPr>
            <w:r w:rsidRPr="00D70646">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rPr>
                <w:rStyle w:val="SpecialBold"/>
              </w:rPr>
              <w:t>9.2)</w:t>
            </w:r>
          </w:p>
        </w:tc>
      </w:tr>
      <w:tr w:rsidTr="00552D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70646" w:rsidP="00D70646">
            <w:pPr>
              <w:pStyle w:val="BodyText"/>
            </w:pPr>
            <w:r w:rsidRPr="00D70646">
              <w:t>Before the critical aspects of evidence are considered all prerequisites shall be met.</w:t>
            </w:r>
          </w:p>
          <w:p w:rsidR="00000000" w:rsidRPr="00D70646" w:rsidP="00D70646">
            <w:pPr>
              <w:pStyle w:val="BodyText"/>
            </w:pPr>
            <w:r w:rsidRPr="00D70646">
              <w:t xml:space="preserve">Evidence for competence in this unit shall be considered </w:t>
            </w:r>
            <w:r w:rsidRPr="00D70646">
              <w:t>holistically.  Each element and associated Performance Criteria shall be demonstrated on at least two occasions in accordance with the “Assessment Guidelines – UEP12”.  Evidence shall also comprise:</w:t>
            </w:r>
          </w:p>
          <w:p w:rsidR="00000000" w:rsidRPr="00D70646" w:rsidP="00D70646">
            <w:pPr>
              <w:pStyle w:val="ListBullet"/>
            </w:pPr>
            <w:r w:rsidRPr="00D70646">
              <w:t>A representative body of work performance demonstrated w</w:t>
            </w:r>
            <w:r w:rsidRPr="00D70646">
              <w:t>ithin the timeframes typically expected of the discipline, work function and industrial environment. In particular this shall incorporate evidence that shows a candidate is able to:</w:t>
            </w:r>
          </w:p>
          <w:p w:rsidR="00000000" w:rsidRPr="00D70646" w:rsidP="00D70646">
            <w:pPr>
              <w:pStyle w:val="ListBullet2"/>
            </w:pPr>
            <w:r w:rsidRPr="00D70646">
              <w:t>Implement Occupational Health and Safety workplace procedures and practic</w:t>
            </w:r>
            <w:r w:rsidRPr="00D70646">
              <w:t>es including the use of risk control measures as specified in the Performance Criteria and Range Statement</w:t>
            </w:r>
          </w:p>
          <w:p w:rsidR="00000000" w:rsidRPr="00D70646" w:rsidP="00D70646">
            <w:pPr>
              <w:pStyle w:val="ListBullet2"/>
            </w:pPr>
            <w:r w:rsidRPr="00D70646">
              <w:t>Apply sustainable energy principles and practices as specified in the Performance Criteria and Range Statement</w:t>
            </w:r>
          </w:p>
          <w:p w:rsidR="00000000" w:rsidRPr="00D70646" w:rsidP="00D70646">
            <w:pPr>
              <w:pStyle w:val="ListBullet2"/>
            </w:pPr>
            <w:r w:rsidRPr="00D70646">
              <w:t>Demonstrate an understanding of the essential knowledge and associated skills as described in 6) Essential Knowledge and Associated Skills of this unit</w:t>
            </w:r>
          </w:p>
          <w:p w:rsidR="00000000" w:rsidRPr="00D70646" w:rsidP="00D70646">
            <w:pPr>
              <w:pStyle w:val="ListBullet2"/>
            </w:pPr>
            <w:r w:rsidRPr="00D70646">
              <w:t>employability skillsConduct work observing the relevant Anti Discrimination legislation, regulations, po</w:t>
            </w:r>
            <w:r w:rsidRPr="00D70646">
              <w:t>lices and workplace procedures</w:t>
            </w:r>
          </w:p>
          <w:p w:rsidR="00000000" w:rsidRPr="00D70646" w:rsidP="00D70646">
            <w:pPr>
              <w:pStyle w:val="ListBullet"/>
            </w:pPr>
            <w:r w:rsidRPr="00D70646">
              <w:t>Demonstrated performance across a representative range of contexts from the prescribed items below:</w:t>
            </w:r>
          </w:p>
          <w:p w:rsidR="00000000" w:rsidRPr="00D70646" w:rsidP="00D70646">
            <w:pPr>
              <w:pStyle w:val="ListBullet2"/>
            </w:pPr>
            <w:r w:rsidRPr="00D70646">
              <w:t>Knowledge and application of relevant sections of: Occupational Health and Safety legislation; Statutory legislation; Enter</w:t>
            </w:r>
            <w:r w:rsidRPr="00D70646">
              <w:t>prise/site safety procedures; Enterprise/site emergency procedures</w:t>
            </w:r>
          </w:p>
          <w:p w:rsidR="00000000" w:rsidRPr="00D70646" w:rsidP="00D70646">
            <w:pPr>
              <w:pStyle w:val="ListBullet2"/>
            </w:pPr>
            <w:r w:rsidRPr="00D70646">
              <w:t>Preparation and planning of work</w:t>
            </w:r>
          </w:p>
          <w:p w:rsidR="00000000" w:rsidRPr="00D70646" w:rsidP="00D70646">
            <w:pPr>
              <w:pStyle w:val="ListBullet2"/>
            </w:pPr>
            <w:r w:rsidRPr="00D70646">
              <w:t>Operation of hydro turbine unit</w:t>
            </w:r>
          </w:p>
          <w:p w:rsidR="00000000" w:rsidRPr="00D70646" w:rsidP="00D70646">
            <w:pPr>
              <w:pStyle w:val="ListBullet2"/>
            </w:pPr>
            <w:r w:rsidRPr="00D70646">
              <w:t>Operationally testing plant</w:t>
            </w:r>
          </w:p>
          <w:p w:rsidR="00000000" w:rsidRPr="00D70646" w:rsidP="00D70646">
            <w:pPr>
              <w:pStyle w:val="ListBullet2"/>
            </w:pPr>
            <w:r w:rsidRPr="00D70646">
              <w:t>Analysing plant faults</w:t>
            </w:r>
          </w:p>
          <w:p w:rsidR="00000000" w:rsidRPr="00D70646" w:rsidP="00D70646">
            <w:pPr>
              <w:pStyle w:val="ListBullet2"/>
            </w:pPr>
            <w:r w:rsidRPr="00D70646">
              <w:t>Monitoring plant operation</w:t>
            </w:r>
          </w:p>
          <w:p w:rsidR="00000000" w:rsidRPr="00D70646" w:rsidP="00D70646">
            <w:pPr>
              <w:pStyle w:val="ListBullet2"/>
            </w:pPr>
            <w:r w:rsidRPr="00D70646">
              <w:t xml:space="preserve">Dealing with an unplanned event by drawing on </w:t>
            </w:r>
            <w:r w:rsidRPr="00D70646">
              <w:t>essential knowledge and skills to provide appropriate solutions incorporated in the holistic assessment with the above listed items.</w:t>
            </w:r>
          </w:p>
        </w:tc>
      </w:tr>
    </w:tbl>
    <w:p w:rsidR="00000000" w:rsidRPr="00D70646" w:rsidP="00D70646">
      <w:pPr>
        <w:pStyle w:val="BodyText"/>
      </w:pPr>
    </w:p>
    <w:tbl>
      <w:tblPr>
        <w:tblW w:w="0" w:type="auto"/>
        <w:tblLayout w:type="fixed"/>
        <w:tblCellMar>
          <w:left w:w="62" w:type="dxa"/>
          <w:right w:w="62" w:type="dxa"/>
        </w:tblCellMar>
        <w:tblLook w:val="0000"/>
      </w:tblPr>
      <w:tblGrid>
        <w:gridCol w:w="1890"/>
        <w:gridCol w:w="6570"/>
      </w:tblGrid>
      <w:tr w:rsidTr="00552DB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70646" w:rsidP="00D70646">
            <w:pPr>
              <w:pStyle w:val="BodyText"/>
            </w:pPr>
            <w:r w:rsidRPr="00D7064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rPr>
                <w:rStyle w:val="SpecialBold"/>
              </w:rPr>
              <w:t>9.3)</w:t>
            </w:r>
          </w:p>
        </w:tc>
      </w:tr>
      <w:tr w:rsidTr="00552DB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70646" w:rsidP="00D70646">
            <w:pPr>
              <w:pStyle w:val="BodyText"/>
            </w:pPr>
            <w:r w:rsidRPr="00D70646">
              <w:t>This unit should be assessed as it relates to normal work practice using procedures, information and resources typical of a workplace. This should include:</w:t>
            </w:r>
          </w:p>
          <w:p w:rsidR="00000000" w:rsidRPr="00D70646" w:rsidP="00D70646">
            <w:pPr>
              <w:pStyle w:val="ListBullet"/>
            </w:pPr>
            <w:r w:rsidRPr="00D70646">
              <w:t>OHS policy and work procedures and instructions.</w:t>
            </w:r>
          </w:p>
          <w:p w:rsidR="00000000" w:rsidRPr="00D70646" w:rsidP="00D70646">
            <w:pPr>
              <w:pStyle w:val="ListBullet"/>
            </w:pPr>
            <w:r w:rsidRPr="00D70646">
              <w:t>Suitable work environment, facilities, equipment a</w:t>
            </w:r>
            <w:r w:rsidRPr="00D70646">
              <w:t>nd materials to undertake actual work as prescribed by this unit.</w:t>
            </w:r>
          </w:p>
          <w:p w:rsidR="00000000" w:rsidRPr="00D70646" w:rsidP="00D70646">
            <w:pPr>
              <w:pStyle w:val="BodyText"/>
            </w:pPr>
            <w:r w:rsidRPr="00D70646">
              <w:t>Competency Standards should be assessed in the workplace or simulated workplace and under the normal range of workplace conditions.</w:t>
            </w:r>
          </w:p>
          <w:p w:rsidR="00000000" w:rsidRPr="00D70646" w:rsidP="00D70646">
            <w:pPr>
              <w:pStyle w:val="BodyText"/>
            </w:pPr>
            <w:r w:rsidRPr="00D70646">
              <w:t>Assessment of this unit will be supported with documentary evidence, by means of endorsement stating type and application of work.</w:t>
            </w:r>
          </w:p>
          <w:p w:rsidR="00000000" w:rsidRPr="00D70646" w:rsidP="00D70646">
            <w:pPr>
              <w:pStyle w:val="BodyText"/>
            </w:pPr>
            <w:r w:rsidRPr="00D70646">
              <w:t>In addition to the resources listed above in Context of assessment’, evidence should show competency working, in limited spac</w:t>
            </w:r>
            <w:r w:rsidRPr="00D70646">
              <w:t>es, with different types of plant and equipment as well as different structural/construction types and methods and in a variety of environments.</w:t>
            </w:r>
          </w:p>
        </w:tc>
      </w:tr>
    </w:tbl>
    <w:p w:rsidR="00000000" w:rsidRPr="00D70646" w:rsidP="00D70646">
      <w:pPr>
        <w:pStyle w:val="BodyText"/>
      </w:pPr>
    </w:p>
    <w:tbl>
      <w:tblPr>
        <w:tblW w:w="0" w:type="auto"/>
        <w:tblLayout w:type="fixed"/>
        <w:tblCellMar>
          <w:left w:w="62" w:type="dxa"/>
          <w:right w:w="62" w:type="dxa"/>
        </w:tblCellMar>
        <w:tblLook w:val="0000"/>
      </w:tblPr>
      <w:tblGrid>
        <w:gridCol w:w="1890"/>
        <w:gridCol w:w="6570"/>
      </w:tblGrid>
      <w:tr w:rsidTr="00552D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70646" w:rsidP="00D70646">
            <w:pPr>
              <w:pStyle w:val="BodyText"/>
            </w:pPr>
            <w:r w:rsidRPr="00D7064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rPr>
                <w:rStyle w:val="SpecialBold"/>
              </w:rPr>
              <w:t>9.4)</w:t>
            </w:r>
          </w:p>
        </w:tc>
      </w:tr>
      <w:tr w:rsidTr="00552D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70646" w:rsidP="00D70646">
            <w:pPr>
              <w:pStyle w:val="BodyText"/>
            </w:pPr>
            <w:r w:rsidRPr="00D70646">
              <w:t>This unit shall be assessed by methods given in Section 1.3.00 Assessment Guidelines.Note: Competent performance with inherent safe working practices is expected in the Industry to which this unit applies. This requires that the specified essential knowled</w:t>
            </w:r>
            <w:r w:rsidRPr="00D70646">
              <w:t>ge and associated skills are assessed in a structured environment which is primarily intended for learning/assessment and incorporates all necessary equipment and facilities for learners to develop and demonstrate the essential knowledge and skills describ</w:t>
            </w:r>
            <w:r w:rsidRPr="00D70646">
              <w:t>ed in this unit.</w:t>
            </w:r>
          </w:p>
        </w:tc>
      </w:tr>
    </w:tbl>
    <w:p w:rsidR="00000000" w:rsidRPr="00D70646" w:rsidP="00D70646">
      <w:pPr>
        <w:pStyle w:val="BodyText"/>
      </w:pPr>
    </w:p>
    <w:tbl>
      <w:tblPr>
        <w:tblW w:w="0" w:type="auto"/>
        <w:tblLayout w:type="fixed"/>
        <w:tblCellMar>
          <w:left w:w="62" w:type="dxa"/>
          <w:right w:w="62" w:type="dxa"/>
        </w:tblCellMar>
        <w:tblLook w:val="0000"/>
      </w:tblPr>
      <w:tblGrid>
        <w:gridCol w:w="1890"/>
        <w:gridCol w:w="6570"/>
      </w:tblGrid>
      <w:tr w:rsidTr="00552D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70646" w:rsidP="00D70646">
            <w:pPr>
              <w:pStyle w:val="BodyText"/>
            </w:pPr>
            <w:r w:rsidRPr="00D70646">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rPr>
                <w:rStyle w:val="SpecialBold"/>
              </w:rPr>
              <w:t>9.5)</w:t>
            </w:r>
          </w:p>
        </w:tc>
      </w:tr>
      <w:tr w:rsidTr="00552D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70646" w:rsidP="00D70646">
            <w:pPr>
              <w:pStyle w:val="BodyText"/>
            </w:pPr>
            <w:r w:rsidRPr="00D70646">
              <w:t>There are no recommended concurrent assessments with this unit, however in some cases efficiencies may be gained in terms of learning and assessment effort being concurrently</w:t>
            </w:r>
            <w:r w:rsidRPr="00D70646">
              <w:t xml:space="preserve"> managed with allied competency standard units where listed.</w:t>
            </w:r>
          </w:p>
          <w:p w:rsidR="00000000" w:rsidRPr="00D70646" w:rsidP="00D70646">
            <w:pPr>
              <w:pStyle w:val="BodyText"/>
            </w:pPr>
            <w:r w:rsidRPr="00D70646">
              <w:t>Nil</w:t>
            </w:r>
            <w:r w:rsidRPr="00D70646">
              <w:tab/>
            </w:r>
          </w:p>
        </w:tc>
      </w:tr>
    </w:tbl>
    <w:p w:rsidR="00000000" w:rsidRPr="00D70646" w:rsidP="00D70646">
      <w:pPr>
        <w:pStyle w:val="BodyText"/>
      </w:pPr>
    </w:p>
    <w:p w:rsidR="00000000" w:rsidRPr="00D70646" w:rsidP="00D70646">
      <w:pPr>
        <w:pStyle w:val="AllowPageBreak"/>
      </w:pPr>
    </w:p>
    <w:p w:rsidR="00000000" w:rsidRPr="00D70646" w:rsidP="00D70646">
      <w:pPr>
        <w:pStyle w:val="Heading1"/>
      </w:pPr>
      <w:bookmarkStart w:id="11" w:name="O_475530"/>
      <w:bookmarkEnd w:id="11"/>
      <w:r w:rsidRPr="00D70646">
        <w:t>Range Statement</w:t>
      </w:r>
    </w:p>
    <w:tbl>
      <w:tblPr>
        <w:tblW w:w="0" w:type="auto"/>
        <w:tblLayout w:type="fixed"/>
        <w:tblCellMar>
          <w:left w:w="62" w:type="dxa"/>
          <w:right w:w="62" w:type="dxa"/>
        </w:tblCellMar>
        <w:tblLook w:val="0000"/>
      </w:tblPr>
      <w:tblGrid>
        <w:gridCol w:w="8460"/>
      </w:tblGrid>
      <w:tr w:rsidTr="00552DB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rPr>
                <w:rStyle w:val="SpecialBold"/>
              </w:rPr>
              <w:t>RANGE STATEMENT</w:t>
            </w:r>
          </w:p>
        </w:tc>
      </w:tr>
      <w:tr w:rsidTr="00552D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70646" w:rsidP="00D70646">
            <w:pPr>
              <w:pStyle w:val="BodyText"/>
            </w:pPr>
            <w:r w:rsidRPr="00D70646">
              <w:rPr>
                <w:rStyle w:val="SpecialBold"/>
              </w:rPr>
              <w:t>10)</w:t>
            </w:r>
            <w:r w:rsidRPr="00D70646">
              <w:t xml:space="preserve"> This relates to the unit of competency as a whole providing the range of contexts and conditions to which the Performance Criteri</w:t>
            </w:r>
            <w:r w:rsidRPr="00D70646">
              <w:t>a apply. It allows for different work environments and situations that will affect performance.</w:t>
            </w:r>
          </w:p>
          <w:p w:rsidR="00000000" w:rsidRPr="00D70646" w:rsidP="00D70646">
            <w:pPr>
              <w:pStyle w:val="BodyText"/>
            </w:pPr>
            <w:r w:rsidRPr="00D70646">
              <w:t>Plant and equipment may include turbines; including Kaplan, Pelton and Francis type turbines; and equipment; governor and associated hydraulic circuits; auxilia</w:t>
            </w:r>
            <w:r w:rsidRPr="00D70646">
              <w:t>ry plant; computer with equipment control functions; supervisory, alarm and control equipment; electrical motors, fans and pumps; electrical supply and distribution systems; valves and dampers (electric, hydraulic, pneumatic and manual); lubrication and oi</w:t>
            </w:r>
            <w:r w:rsidRPr="00D70646">
              <w:t>l conditioning systems; fire protection equipment; heat exchangers, filters and strainers; transformers; water drainage systems; and environmental protective systems.</w:t>
            </w:r>
          </w:p>
          <w:p w:rsidR="00000000" w:rsidRPr="00D70646" w:rsidP="00D70646">
            <w:pPr>
              <w:pStyle w:val="BodyText"/>
            </w:pPr>
            <w:r w:rsidRPr="00D70646">
              <w:t>Safety standards may include relevant sections of Occupational Health and Safety legislat</w:t>
            </w:r>
            <w:r w:rsidRPr="00D70646">
              <w:t>ion, enterprise safety rules, relevant state and federal legislation, national standards for plant  Australian standards and enterprise safety procedures and practices</w:t>
            </w:r>
          </w:p>
          <w:p w:rsidR="00000000" w:rsidRPr="00D70646" w:rsidP="00D70646">
            <w:pPr>
              <w:pStyle w:val="BodyText"/>
            </w:pPr>
            <w:r w:rsidRPr="00D70646">
              <w:t>Information and documentation sources may include verbal or written communications; ente</w:t>
            </w:r>
            <w:r w:rsidRPr="00D70646">
              <w:t>rprise safety rules documentation; enterprise operating instructions; dedicated computer equipment; enterprise/site standing and operating instructions; enterprise log books; manufacturer operation and maintenance manuals; and equipment and alarm manuals.</w:t>
            </w:r>
          </w:p>
          <w:p w:rsidR="00000000" w:rsidRPr="00D70646" w:rsidP="00D70646">
            <w:pPr>
              <w:pStyle w:val="BodyText"/>
            </w:pPr>
            <w:r w:rsidRPr="00D70646">
              <w:t>Technical and operational indicators may include stimuli (audio, smell, touch, visual), remote or local indicators and recorders, computers and alarms (visible and or audible).</w:t>
            </w:r>
          </w:p>
          <w:p w:rsidR="00000000" w:rsidRPr="00D70646" w:rsidP="00D70646">
            <w:pPr>
              <w:pStyle w:val="BodyText"/>
            </w:pPr>
            <w:r w:rsidRPr="00D70646">
              <w:t>Tests may include motor direction checks, stand-by plant “cut-in” tests, relief</w:t>
            </w:r>
            <w:r w:rsidRPr="00D70646">
              <w:t xml:space="preserve"> valves operation tests, overspeed tests and main inlet valves/guide vanes timing tests.</w:t>
            </w:r>
          </w:p>
          <w:p w:rsidR="00000000" w:rsidRPr="00D70646" w:rsidP="00D70646">
            <w:pPr>
              <w:pStyle w:val="BodyText"/>
            </w:pPr>
            <w:r w:rsidRPr="00D70646">
              <w:t>Communications may be by means of telephone, two way radio, pager, computer (electronic mail) and operating logs (written or verbal).</w:t>
            </w:r>
          </w:p>
          <w:p w:rsidR="00000000" w:rsidRPr="00D70646" w:rsidP="00D70646">
            <w:pPr>
              <w:pStyle w:val="BodyText"/>
            </w:pPr>
            <w:r w:rsidRPr="00D70646">
              <w:t>Appropriate personnel to consult,</w:t>
            </w:r>
            <w:r w:rsidRPr="00D70646">
              <w:t xml:space="preserve"> give or receive direction may include, supervisor/team leader or equivalent, engineering officer / hydro maintenance office or equivalent, technical and engineering officers or equivalent, contractor staff, maintenance staff, applicable water control auth</w:t>
            </w:r>
            <w:r w:rsidRPr="00D70646">
              <w:t>ority or equivalent and “transgrid” operator or equivalent.</w:t>
            </w:r>
          </w:p>
          <w:p w:rsidR="00000000" w:rsidRPr="00D70646" w:rsidP="00D70646">
            <w:pPr>
              <w:pStyle w:val="BodyText"/>
            </w:pPr>
            <w:r w:rsidRPr="00D70646">
              <w:t>Test, fault finding and operating tools may include low and high voltage testers, proving dead equipment, powered or non-powered hand tools.</w:t>
            </w:r>
          </w:p>
          <w:p w:rsidR="00000000" w:rsidRPr="00D70646" w:rsidP="00D70646">
            <w:pPr>
              <w:pStyle w:val="BodyText"/>
            </w:pPr>
            <w:r w:rsidRPr="00D70646">
              <w:t>Operating environment may be remote from plant, aided b</w:t>
            </w:r>
            <w:r w:rsidRPr="00D70646">
              <w:t>y indicators and monitors, during inclement or otherwise harsh weather conditions, in wet/noisy/dusty/hot areas, during night periods or locally aided by visual and audible indicators.</w:t>
            </w:r>
          </w:p>
          <w:p w:rsidR="00000000" w:rsidRPr="00D70646" w:rsidP="00D70646">
            <w:pPr>
              <w:pStyle w:val="BodyText"/>
            </w:pPr>
            <w:r w:rsidRPr="00D70646">
              <w:t xml:space="preserve">Generic terms are used throughout this Training Package for vocational </w:t>
            </w:r>
            <w:r w:rsidRPr="00D70646">
              <w:t>standard shall be regarded as part of the Range Statement in which competency is demonstrated. The definition of these and other terms are given in Section 2.1 Preliminary Information and Glossaries.</w:t>
            </w:r>
          </w:p>
        </w:tc>
      </w:tr>
    </w:tbl>
    <w:p w:rsidR="00000000" w:rsidRPr="00D70646" w:rsidP="00D70646">
      <w:pPr>
        <w:pStyle w:val="BodyText"/>
      </w:pPr>
    </w:p>
    <w:p w:rsidR="00000000" w:rsidRPr="00D70646" w:rsidP="00D70646">
      <w:pPr>
        <w:pStyle w:val="AllowPageBreak"/>
      </w:pPr>
    </w:p>
    <w:p w:rsidR="00000000" w:rsidRPr="00D70646" w:rsidP="00D70646">
      <w:pPr>
        <w:pStyle w:val="Heading1"/>
      </w:pPr>
      <w:bookmarkStart w:id="12" w:name="O_475533"/>
      <w:bookmarkEnd w:id="12"/>
      <w:r w:rsidRPr="00D70646">
        <w:t>Unit Sector(s)</w:t>
      </w:r>
    </w:p>
    <w:p w:rsidR="00000000" w:rsidRPr="00D70646" w:rsidP="00D70646">
      <w:pPr>
        <w:pStyle w:val="BodyText"/>
      </w:pPr>
      <w:r w:rsidRPr="00D70646">
        <w:t>Not applicable.</w:t>
      </w:r>
    </w:p>
    <w:p w:rsidR="00000000" w:rsidRPr="00D70646" w:rsidP="00D70646">
      <w:pPr>
        <w:pStyle w:val="AllowPageBreak"/>
      </w:pPr>
    </w:p>
    <w:p w:rsidR="00000000" w:rsidRPr="00D70646" w:rsidP="00D70646">
      <w:pPr>
        <w:pStyle w:val="Heading1"/>
      </w:pPr>
      <w:bookmarkStart w:id="13" w:name="O_475522"/>
      <w:bookmarkEnd w:id="13"/>
      <w:r w:rsidRPr="00D70646">
        <w:t>Competency Field</w:t>
      </w:r>
    </w:p>
    <w:tbl>
      <w:tblPr>
        <w:tblW w:w="0" w:type="auto"/>
        <w:tblLayout w:type="fixed"/>
        <w:tblCellMar>
          <w:left w:w="62" w:type="dxa"/>
          <w:right w:w="62" w:type="dxa"/>
        </w:tblCellMar>
        <w:tblLook w:val="0000"/>
      </w:tblPr>
      <w:tblGrid>
        <w:gridCol w:w="2700"/>
        <w:gridCol w:w="5760"/>
      </w:tblGrid>
      <w:tr w:rsidTr="00552D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70646" w:rsidP="00D70646">
            <w:pPr>
              <w:pStyle w:val="BodyText"/>
            </w:pPr>
            <w:r w:rsidRPr="00D7064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70646">
            <w:pPr>
              <w:pStyle w:val="BodyText"/>
              <w:rPr>
                <w:lang w:val="en-NZ"/>
              </w:rPr>
            </w:pPr>
            <w:r w:rsidRPr="00D70646">
              <w:rPr>
                <w:rStyle w:val="SpecialBold"/>
              </w:rPr>
              <w:t xml:space="preserve">11) </w:t>
            </w:r>
          </w:p>
        </w:tc>
      </w:tr>
      <w:tr w:rsidTr="00552D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70646" w:rsidP="00D70646">
            <w:pPr>
              <w:pStyle w:val="BodyText"/>
            </w:pPr>
            <w:r w:rsidRPr="00D70646">
              <w:t>Operations.</w:t>
            </w:r>
          </w:p>
        </w:tc>
      </w:tr>
    </w:tbl>
    <w:p w:rsidR="00000000" w:rsidRPr="00D70646" w:rsidP="00D70646">
      <w:pPr>
        <w:pStyle w:val="BodyText"/>
      </w:pPr>
    </w:p>
    <w:p w:rsidR="00000000" w:rsidRPr="00D70646" w:rsidP="00D70646"/>
    <w:sectPr w:rsidSect="00D706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6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2DBA" w:rsidP="00552DB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6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DBA" w:rsidP="00D7064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52DBA" w:rsidP="00D706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52DBA" w:rsidP="00D706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6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646" w:rsidRPr="00552DBA" w:rsidP="00552DB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6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DBA" w:rsidRPr="002D2AF8" w:rsidP="00D70646">
    <w:pPr>
      <w:pStyle w:val="Header"/>
      <w:framePr w:wrap="around"/>
    </w:pPr>
    <w:r>
      <w:fldChar w:fldCharType="begin"/>
    </w:r>
    <w:r>
      <w:instrText xml:space="preserve"> TITLE   \* MERGEFORMAT </w:instrText>
    </w:r>
    <w:r>
      <w:fldChar w:fldCharType="separate"/>
    </w:r>
    <w:r>
      <w:t>UEPOPS360A Operate and Monitor a Hydro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552DBA" w:rsidP="00D706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0695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60BC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5EA8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6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0646"/>
    <w:pPr>
      <w:spacing w:before="360" w:after="60"/>
      <w:outlineLvl w:val="0"/>
    </w:pPr>
    <w:rPr>
      <w:sz w:val="32"/>
    </w:rPr>
  </w:style>
  <w:style w:type="paragraph" w:styleId="Heading2">
    <w:name w:val="heading 2"/>
    <w:basedOn w:val="HeadingBase"/>
    <w:next w:val="BodyText"/>
    <w:link w:val="Heading2Char"/>
    <w:qFormat/>
    <w:rsid w:val="00D70646"/>
    <w:pPr>
      <w:keepLines/>
      <w:spacing w:before="240" w:after="120"/>
      <w:outlineLvl w:val="1"/>
    </w:pPr>
    <w:rPr>
      <w:sz w:val="28"/>
      <w:szCs w:val="40"/>
    </w:rPr>
  </w:style>
  <w:style w:type="paragraph" w:styleId="Heading3">
    <w:name w:val="heading 3"/>
    <w:basedOn w:val="HeadingBase"/>
    <w:next w:val="BodyText"/>
    <w:link w:val="Heading3Char"/>
    <w:qFormat/>
    <w:rsid w:val="00D70646"/>
    <w:pPr>
      <w:spacing w:before="180" w:after="120"/>
      <w:outlineLvl w:val="2"/>
    </w:pPr>
    <w:rPr>
      <w:spacing w:val="-10"/>
      <w:kern w:val="32"/>
    </w:rPr>
  </w:style>
  <w:style w:type="paragraph" w:styleId="Heading4">
    <w:name w:val="heading 4"/>
    <w:basedOn w:val="HeadingBase"/>
    <w:next w:val="BodyText"/>
    <w:link w:val="Heading4Char"/>
    <w:qFormat/>
    <w:rsid w:val="00D70646"/>
    <w:pPr>
      <w:spacing w:before="160" w:after="120"/>
      <w:outlineLvl w:val="3"/>
    </w:pPr>
    <w:rPr>
      <w:sz w:val="22"/>
    </w:rPr>
  </w:style>
  <w:style w:type="paragraph" w:styleId="Heading5">
    <w:name w:val="heading 5"/>
    <w:basedOn w:val="HeadingBase"/>
    <w:next w:val="Normal"/>
    <w:link w:val="Heading5Char"/>
    <w:qFormat/>
    <w:rsid w:val="00D70646"/>
    <w:pPr>
      <w:spacing w:before="80"/>
      <w:outlineLvl w:val="4"/>
    </w:pPr>
    <w:rPr>
      <w:color w:val="918585"/>
      <w:sz w:val="20"/>
    </w:rPr>
  </w:style>
  <w:style w:type="paragraph" w:styleId="Heading6">
    <w:name w:val="heading 6"/>
    <w:basedOn w:val="HeadingBase"/>
    <w:next w:val="Normal"/>
    <w:link w:val="Heading6Char"/>
    <w:qFormat/>
    <w:rsid w:val="00D70646"/>
    <w:pPr>
      <w:spacing w:before="60"/>
      <w:outlineLvl w:val="5"/>
    </w:pPr>
    <w:rPr>
      <w:color w:val="918585"/>
      <w:sz w:val="20"/>
    </w:rPr>
  </w:style>
  <w:style w:type="paragraph" w:styleId="Heading7">
    <w:name w:val="heading 7"/>
    <w:basedOn w:val="Normal"/>
    <w:next w:val="Normal"/>
    <w:link w:val="Heading7Char"/>
    <w:qFormat/>
    <w:rsid w:val="00D70646"/>
    <w:pPr>
      <w:ind w:left="720"/>
      <w:outlineLvl w:val="6"/>
    </w:pPr>
    <w:rPr>
      <w:i/>
    </w:rPr>
  </w:style>
  <w:style w:type="paragraph" w:styleId="Heading8">
    <w:name w:val="heading 8"/>
    <w:basedOn w:val="Normal"/>
    <w:next w:val="Normal"/>
    <w:link w:val="Heading8Char"/>
    <w:qFormat/>
    <w:rsid w:val="00D70646"/>
    <w:pPr>
      <w:ind w:left="720"/>
      <w:outlineLvl w:val="7"/>
    </w:pPr>
    <w:rPr>
      <w:i/>
    </w:rPr>
  </w:style>
  <w:style w:type="paragraph" w:styleId="Heading9">
    <w:name w:val="heading 9"/>
    <w:basedOn w:val="Normal"/>
    <w:next w:val="Normal"/>
    <w:link w:val="Heading9Char"/>
    <w:qFormat/>
    <w:rsid w:val="00D70646"/>
    <w:pPr>
      <w:ind w:left="720"/>
      <w:outlineLvl w:val="8"/>
    </w:pPr>
    <w:rPr>
      <w:i/>
    </w:rPr>
  </w:style>
  <w:style w:type="character" w:default="1" w:styleId="DefaultParagraphFont">
    <w:name w:val="Default Paragraph Font"/>
    <w:uiPriority w:val="1"/>
    <w:unhideWhenUsed/>
    <w:rsid w:val="00D706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0646"/>
  </w:style>
  <w:style w:type="character" w:customStyle="1" w:styleId="Heading1Char">
    <w:name w:val="Heading 1 Char"/>
    <w:basedOn w:val="DefaultParagraphFont"/>
    <w:link w:val="Heading1"/>
    <w:rsid w:val="00D70646"/>
    <w:rPr>
      <w:rFonts w:ascii="Times New Roman" w:eastAsia="Times New Roman" w:hAnsi="Times New Roman" w:cs="Times New Roman"/>
      <w:b/>
      <w:sz w:val="32"/>
      <w:szCs w:val="20"/>
      <w:lang w:eastAsia="en-US"/>
    </w:rPr>
  </w:style>
  <w:style w:type="paragraph" w:styleId="BodyText">
    <w:name w:val="Body Text"/>
    <w:basedOn w:val="Normal"/>
    <w:link w:val="BodyTextChar"/>
    <w:rsid w:val="00D706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0646"/>
    <w:rPr>
      <w:rFonts w:ascii="Times New Roman" w:eastAsia="Times New Roman" w:hAnsi="Times New Roman" w:cs="Times New Roman"/>
      <w:sz w:val="24"/>
      <w:lang w:eastAsia="en-US"/>
    </w:rPr>
  </w:style>
  <w:style w:type="paragraph" w:styleId="Footer">
    <w:name w:val="footer"/>
    <w:basedOn w:val="Normal"/>
    <w:link w:val="FooterChar"/>
    <w:rsid w:val="00D706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0646"/>
    <w:rPr>
      <w:rFonts w:ascii="Times New Roman" w:eastAsia="Times New Roman" w:hAnsi="Times New Roman" w:cs="Times New Roman"/>
      <w:sz w:val="16"/>
      <w:lang w:eastAsia="en-US"/>
    </w:rPr>
  </w:style>
  <w:style w:type="paragraph" w:styleId="ListBullet">
    <w:name w:val="List Bullet"/>
    <w:basedOn w:val="List"/>
    <w:rsid w:val="00D70646"/>
    <w:pPr>
      <w:numPr>
        <w:numId w:val="13"/>
      </w:numPr>
      <w:tabs>
        <w:tab w:val="clear" w:pos="340"/>
      </w:tabs>
      <w:spacing w:before="40" w:after="40"/>
    </w:pPr>
  </w:style>
  <w:style w:type="character" w:customStyle="1" w:styleId="SpecialBold">
    <w:name w:val="Special Bold"/>
    <w:basedOn w:val="DefaultParagraphFont"/>
    <w:rsid w:val="00D70646"/>
    <w:rPr>
      <w:b/>
      <w:spacing w:val="0"/>
    </w:rPr>
  </w:style>
  <w:style w:type="paragraph" w:styleId="ListBullet2">
    <w:name w:val="List Bullet 2"/>
    <w:basedOn w:val="List2"/>
    <w:rsid w:val="00D70646"/>
    <w:pPr>
      <w:numPr>
        <w:numId w:val="14"/>
      </w:numPr>
      <w:tabs>
        <w:tab w:val="clear" w:pos="680"/>
      </w:tabs>
    </w:pPr>
  </w:style>
  <w:style w:type="paragraph" w:customStyle="1" w:styleId="SuperHeading">
    <w:name w:val="SuperHeading"/>
    <w:basedOn w:val="Normal"/>
    <w:rsid w:val="00D70646"/>
    <w:pPr>
      <w:spacing w:before="240" w:after="120"/>
      <w:outlineLvl w:val="0"/>
    </w:pPr>
    <w:rPr>
      <w:rFonts w:ascii="Times New Roman" w:hAnsi="Times New Roman"/>
      <w:b/>
      <w:sz w:val="28"/>
    </w:rPr>
  </w:style>
  <w:style w:type="paragraph" w:customStyle="1" w:styleId="AllowPageBreak">
    <w:name w:val="AllowPageBreak"/>
    <w:rsid w:val="00D706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06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06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06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06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06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06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06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0646"/>
    <w:rPr>
      <w:rFonts w:ascii="Courier New" w:eastAsia="Times New Roman" w:hAnsi="Courier New" w:cs="Times New Roman"/>
      <w:i/>
      <w:szCs w:val="20"/>
      <w:lang w:eastAsia="en-US"/>
    </w:rPr>
  </w:style>
  <w:style w:type="paragraph" w:customStyle="1" w:styleId="HeadingBase">
    <w:name w:val="Heading Base"/>
    <w:rsid w:val="00D706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0646"/>
    <w:pPr>
      <w:tabs>
        <w:tab w:val="right" w:leader="dot" w:pos="9072"/>
      </w:tabs>
      <w:ind w:left="567"/>
    </w:pPr>
    <w:rPr>
      <w:szCs w:val="22"/>
    </w:rPr>
  </w:style>
  <w:style w:type="paragraph" w:customStyle="1" w:styleId="TOCBase">
    <w:name w:val="TOC Base"/>
    <w:rsid w:val="00D706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0646"/>
    <w:pPr>
      <w:tabs>
        <w:tab w:val="right" w:leader="dot" w:pos="9072"/>
      </w:tabs>
      <w:spacing w:before="40" w:after="40"/>
      <w:ind w:left="284"/>
    </w:pPr>
    <w:rPr>
      <w:rFonts w:ascii="Times New Roman" w:hAnsi="Times New Roman"/>
    </w:rPr>
  </w:style>
  <w:style w:type="paragraph" w:styleId="TOC1">
    <w:name w:val="toc 1"/>
    <w:basedOn w:val="TOCBase"/>
    <w:next w:val="Normal"/>
    <w:rsid w:val="00D706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0646"/>
    <w:pPr>
      <w:spacing w:before="5040"/>
      <w:jc w:val="center"/>
    </w:pPr>
    <w:rPr>
      <w:sz w:val="48"/>
      <w:szCs w:val="72"/>
      <w:lang w:val="en-US"/>
    </w:rPr>
  </w:style>
  <w:style w:type="character" w:customStyle="1" w:styleId="TitleChar">
    <w:name w:val="Title Char"/>
    <w:basedOn w:val="DefaultParagraphFont"/>
    <w:link w:val="Title"/>
    <w:rsid w:val="00D706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0646"/>
    <w:pPr>
      <w:tabs>
        <w:tab w:val="left" w:pos="3600"/>
        <w:tab w:val="left" w:pos="3958"/>
      </w:tabs>
    </w:pPr>
  </w:style>
  <w:style w:type="paragraph" w:styleId="List">
    <w:name w:val="List"/>
    <w:basedOn w:val="BodyText"/>
    <w:next w:val="BodyText"/>
    <w:rsid w:val="00D70646"/>
    <w:pPr>
      <w:tabs>
        <w:tab w:val="left" w:pos="340"/>
      </w:tabs>
      <w:spacing w:before="60" w:after="60"/>
      <w:ind w:left="340" w:hanging="340"/>
    </w:pPr>
  </w:style>
  <w:style w:type="paragraph" w:customStyle="1" w:styleId="Note">
    <w:name w:val="Note"/>
    <w:basedOn w:val="BodyText"/>
    <w:rsid w:val="00D706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0646"/>
    <w:pPr>
      <w:framePr w:wrap="auto" w:hAnchor="text" w:y="6049"/>
    </w:pPr>
    <w:rPr>
      <w:color w:val="000000"/>
      <w:sz w:val="40"/>
    </w:rPr>
  </w:style>
  <w:style w:type="paragraph" w:customStyle="1" w:styleId="TOCTitle">
    <w:name w:val="TOCTitle"/>
    <w:basedOn w:val="Heading1"/>
    <w:rsid w:val="00D70646"/>
    <w:pPr>
      <w:spacing w:after="240"/>
      <w:jc w:val="center"/>
      <w:outlineLvl w:val="9"/>
    </w:pPr>
    <w:rPr>
      <w:caps/>
    </w:rPr>
  </w:style>
  <w:style w:type="paragraph" w:customStyle="1" w:styleId="Version">
    <w:name w:val="Version"/>
    <w:rsid w:val="00D706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0646"/>
    <w:pPr>
      <w:keepNext w:val="0"/>
      <w:tabs>
        <w:tab w:val="right" w:pos="4176"/>
      </w:tabs>
      <w:ind w:left="198" w:hanging="198"/>
    </w:pPr>
    <w:rPr>
      <w:rFonts w:ascii="Garamond" w:hAnsi="Garamond"/>
    </w:rPr>
  </w:style>
  <w:style w:type="paragraph" w:styleId="IndexHeading">
    <w:name w:val="index heading"/>
    <w:basedOn w:val="Normal"/>
    <w:next w:val="Index1"/>
    <w:semiHidden/>
    <w:rsid w:val="00D70646"/>
    <w:pPr>
      <w:spacing w:before="120" w:after="120"/>
    </w:pPr>
    <w:rPr>
      <w:rFonts w:ascii="Arial" w:hAnsi="Arial"/>
      <w:b/>
      <w:color w:val="918585"/>
      <w:sz w:val="24"/>
    </w:rPr>
  </w:style>
  <w:style w:type="paragraph" w:styleId="Header">
    <w:name w:val="header"/>
    <w:basedOn w:val="Normal"/>
    <w:link w:val="HeaderChar"/>
    <w:rsid w:val="00D706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0646"/>
    <w:rPr>
      <w:rFonts w:ascii="Times New Roman" w:eastAsia="Times New Roman" w:hAnsi="Times New Roman" w:cs="Times New Roman"/>
      <w:sz w:val="16"/>
      <w:szCs w:val="20"/>
      <w:lang w:val="en-GB" w:eastAsia="en-US"/>
    </w:rPr>
  </w:style>
  <w:style w:type="paragraph" w:customStyle="1" w:styleId="Chapter">
    <w:name w:val="Chapter"/>
    <w:basedOn w:val="Normal"/>
    <w:rsid w:val="00D70646"/>
    <w:pPr>
      <w:spacing w:before="240"/>
    </w:pPr>
    <w:rPr>
      <w:rFonts w:ascii="Times New Roman" w:hAnsi="Times New Roman"/>
      <w:smallCaps/>
      <w:spacing w:val="80"/>
      <w:sz w:val="28"/>
    </w:rPr>
  </w:style>
  <w:style w:type="paragraph" w:customStyle="1" w:styleId="InChapter">
    <w:name w:val="InChapter"/>
    <w:basedOn w:val="Heading3"/>
    <w:rsid w:val="00D70646"/>
    <w:pPr>
      <w:spacing w:after="240"/>
      <w:outlineLvl w:val="9"/>
    </w:pPr>
    <w:rPr>
      <w:noProof/>
    </w:rPr>
  </w:style>
  <w:style w:type="paragraph" w:styleId="Index2">
    <w:name w:val="index 2"/>
    <w:basedOn w:val="Normal"/>
    <w:next w:val="Normal"/>
    <w:semiHidden/>
    <w:rsid w:val="00D70646"/>
    <w:pPr>
      <w:tabs>
        <w:tab w:val="right" w:pos="4176"/>
      </w:tabs>
      <w:ind w:left="568" w:hanging="284"/>
    </w:pPr>
    <w:rPr>
      <w:rFonts w:ascii="Garamond" w:hAnsi="Garamond"/>
    </w:rPr>
  </w:style>
  <w:style w:type="paragraph" w:customStyle="1" w:styleId="Byline">
    <w:name w:val="Byline"/>
    <w:rsid w:val="00D706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0646"/>
    <w:pPr>
      <w:tabs>
        <w:tab w:val="clear" w:pos="3600"/>
        <w:tab w:val="clear" w:pos="3958"/>
      </w:tabs>
      <w:jc w:val="right"/>
    </w:pPr>
  </w:style>
  <w:style w:type="character" w:styleId="Emphasis">
    <w:name w:val="Emphasis"/>
    <w:basedOn w:val="DefaultParagraphFont"/>
    <w:qFormat/>
    <w:rsid w:val="00D70646"/>
    <w:rPr>
      <w:i/>
    </w:rPr>
  </w:style>
  <w:style w:type="paragraph" w:styleId="Caption">
    <w:name w:val="caption"/>
    <w:basedOn w:val="BodyText"/>
    <w:next w:val="Normal"/>
    <w:qFormat/>
    <w:rsid w:val="00D70646"/>
    <w:pPr>
      <w:framePr w:w="2268" w:hSpace="181" w:vSpace="181" w:wrap="around" w:vAnchor="text" w:hAnchor="page" w:x="1135" w:y="285" w:anchorLock="1"/>
    </w:pPr>
    <w:rPr>
      <w:i/>
    </w:rPr>
  </w:style>
  <w:style w:type="paragraph" w:customStyle="1" w:styleId="MiniTOCTitle">
    <w:name w:val="MiniTOCTitle"/>
    <w:basedOn w:val="Heading4"/>
    <w:rsid w:val="00D70646"/>
    <w:pPr>
      <w:spacing w:before="240"/>
      <w:outlineLvl w:val="9"/>
    </w:pPr>
    <w:rPr>
      <w:noProof/>
      <w:sz w:val="24"/>
    </w:rPr>
  </w:style>
  <w:style w:type="paragraph" w:customStyle="1" w:styleId="MiniTOCItem">
    <w:name w:val="MiniTOCItem"/>
    <w:basedOn w:val="ListBullet"/>
    <w:rsid w:val="00D70646"/>
    <w:pPr>
      <w:numPr>
        <w:numId w:val="0"/>
      </w:numPr>
      <w:tabs>
        <w:tab w:val="right" w:leader="dot" w:pos="6521"/>
      </w:tabs>
      <w:spacing w:before="0" w:after="0"/>
    </w:pPr>
  </w:style>
  <w:style w:type="paragraph" w:customStyle="1" w:styleId="TOFTitle">
    <w:name w:val="TOFTitle"/>
    <w:basedOn w:val="TOCTitle"/>
    <w:rsid w:val="00D70646"/>
  </w:style>
  <w:style w:type="paragraph" w:styleId="TableofFigures">
    <w:name w:val="table of figures"/>
    <w:basedOn w:val="Normal"/>
    <w:next w:val="Normal"/>
    <w:semiHidden/>
    <w:rsid w:val="00D70646"/>
    <w:pPr>
      <w:tabs>
        <w:tab w:val="right" w:leader="dot" w:pos="9072"/>
      </w:tabs>
      <w:ind w:left="970" w:hanging="403"/>
    </w:pPr>
    <w:rPr>
      <w:rFonts w:ascii="Times New Roman" w:hAnsi="Times New Roman"/>
      <w:b/>
    </w:rPr>
  </w:style>
  <w:style w:type="paragraph" w:styleId="ListNumber">
    <w:name w:val="List Number"/>
    <w:basedOn w:val="List"/>
    <w:rsid w:val="00D70646"/>
    <w:pPr>
      <w:numPr>
        <w:numId w:val="11"/>
      </w:numPr>
    </w:pPr>
  </w:style>
  <w:style w:type="character" w:customStyle="1" w:styleId="WingdingSymbols">
    <w:name w:val="Wingding Symbols"/>
    <w:rsid w:val="00D70646"/>
    <w:rPr>
      <w:rFonts w:ascii="Wingdings" w:hAnsi="Wingdings"/>
    </w:rPr>
  </w:style>
  <w:style w:type="paragraph" w:customStyle="1" w:styleId="TableHeading">
    <w:name w:val="Table Heading"/>
    <w:basedOn w:val="HeadingBase"/>
    <w:rsid w:val="00D70646"/>
    <w:pPr>
      <w:keepLines/>
      <w:pBdr>
        <w:bottom w:val="single" w:sz="6" w:space="1" w:color="918585"/>
      </w:pBdr>
      <w:spacing w:before="240"/>
    </w:pPr>
  </w:style>
  <w:style w:type="character" w:customStyle="1" w:styleId="HotSpot">
    <w:name w:val="HotSpot"/>
    <w:rsid w:val="00D70646"/>
    <w:rPr>
      <w:color w:val="0033CC"/>
      <w:u w:val="none"/>
    </w:rPr>
  </w:style>
  <w:style w:type="paragraph" w:customStyle="1" w:styleId="BodyTextRight">
    <w:name w:val="Body Text Right"/>
    <w:basedOn w:val="BodyText"/>
    <w:rsid w:val="00D70646"/>
    <w:pPr>
      <w:spacing w:before="0" w:after="0"/>
      <w:jc w:val="right"/>
    </w:pPr>
  </w:style>
  <w:style w:type="paragraph" w:styleId="Index3">
    <w:name w:val="index 3"/>
    <w:basedOn w:val="ListNumber2"/>
    <w:next w:val="Normal"/>
    <w:semiHidden/>
    <w:rsid w:val="00D70646"/>
    <w:pPr>
      <w:numPr>
        <w:numId w:val="0"/>
      </w:numPr>
      <w:tabs>
        <w:tab w:val="right" w:leader="dot" w:pos="4176"/>
      </w:tabs>
    </w:pPr>
  </w:style>
  <w:style w:type="paragraph" w:styleId="ListNumber2">
    <w:name w:val="List Number 2"/>
    <w:basedOn w:val="List2"/>
    <w:rsid w:val="00D70646"/>
    <w:pPr>
      <w:numPr>
        <w:numId w:val="10"/>
      </w:numPr>
      <w:tabs>
        <w:tab w:val="clear" w:pos="1060"/>
      </w:tabs>
    </w:pPr>
  </w:style>
  <w:style w:type="paragraph" w:customStyle="1" w:styleId="MarginNote">
    <w:name w:val="Margin Note"/>
    <w:basedOn w:val="BodyText"/>
    <w:rsid w:val="00D706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06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06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0646"/>
    <w:rPr>
      <w:sz w:val="32"/>
    </w:rPr>
  </w:style>
  <w:style w:type="paragraph" w:customStyle="1" w:styleId="HeadingProcedure">
    <w:name w:val="Heading Procedure"/>
    <w:basedOn w:val="HeadingBase"/>
    <w:next w:val="Normal"/>
    <w:rsid w:val="00D70646"/>
    <w:pPr>
      <w:tabs>
        <w:tab w:val="left" w:pos="0"/>
      </w:tabs>
      <w:spacing w:before="120" w:after="60"/>
    </w:pPr>
    <w:rPr>
      <w:i/>
      <w:color w:val="918585"/>
      <w:sz w:val="22"/>
    </w:rPr>
  </w:style>
  <w:style w:type="paragraph" w:customStyle="1" w:styleId="TableBodyText">
    <w:name w:val="Table Body Text"/>
    <w:basedOn w:val="BodyText"/>
    <w:rsid w:val="00D70646"/>
    <w:pPr>
      <w:spacing w:before="60" w:after="60"/>
    </w:pPr>
  </w:style>
  <w:style w:type="paragraph" w:styleId="ListContinue">
    <w:name w:val="List Continue"/>
    <w:basedOn w:val="List"/>
    <w:rsid w:val="00D70646"/>
    <w:pPr>
      <w:ind w:firstLine="0"/>
    </w:pPr>
  </w:style>
  <w:style w:type="paragraph" w:customStyle="1" w:styleId="ListNote">
    <w:name w:val="List Note"/>
    <w:basedOn w:val="List"/>
    <w:rsid w:val="00D70646"/>
    <w:pPr>
      <w:pBdr>
        <w:top w:val="single" w:sz="6" w:space="2" w:color="918585"/>
        <w:bottom w:val="single" w:sz="6" w:space="2" w:color="918585"/>
      </w:pBdr>
      <w:tabs>
        <w:tab w:val="left" w:pos="1021"/>
      </w:tabs>
      <w:ind w:firstLine="0"/>
    </w:pPr>
  </w:style>
  <w:style w:type="paragraph" w:customStyle="1" w:styleId="Warning">
    <w:name w:val="Warning"/>
    <w:basedOn w:val="BodyText"/>
    <w:rsid w:val="00D70646"/>
    <w:pPr>
      <w:shd w:val="clear" w:color="auto" w:fill="D9D9D9"/>
      <w:tabs>
        <w:tab w:val="left" w:pos="992"/>
      </w:tabs>
      <w:ind w:left="119" w:right="119"/>
    </w:pPr>
    <w:rPr>
      <w:sz w:val="20"/>
    </w:rPr>
  </w:style>
  <w:style w:type="paragraph" w:customStyle="1" w:styleId="MarginIcons">
    <w:name w:val="Margin Icons"/>
    <w:basedOn w:val="BodyText"/>
    <w:rsid w:val="00D706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0646"/>
    <w:rPr>
      <w:rFonts w:ascii="Courier New" w:hAnsi="Courier New"/>
    </w:rPr>
  </w:style>
  <w:style w:type="paragraph" w:customStyle="1" w:styleId="NoteBullet">
    <w:name w:val="Note Bullet"/>
    <w:basedOn w:val="Note"/>
    <w:rsid w:val="00D70646"/>
    <w:pPr>
      <w:tabs>
        <w:tab w:val="clear" w:pos="680"/>
      </w:tabs>
      <w:spacing w:before="60" w:after="60"/>
    </w:pPr>
  </w:style>
  <w:style w:type="paragraph" w:customStyle="1" w:styleId="SubHeading2">
    <w:name w:val="SubHeading2"/>
    <w:basedOn w:val="HeadingBase"/>
    <w:rsid w:val="00D70646"/>
    <w:pPr>
      <w:spacing w:before="240" w:after="60"/>
    </w:pPr>
    <w:rPr>
      <w:sz w:val="20"/>
    </w:rPr>
  </w:style>
  <w:style w:type="paragraph" w:customStyle="1" w:styleId="SubHeading1">
    <w:name w:val="SubHeading1"/>
    <w:basedOn w:val="HeadingBase"/>
    <w:rsid w:val="00D70646"/>
    <w:pPr>
      <w:spacing w:before="240" w:after="60"/>
    </w:pPr>
    <w:rPr>
      <w:color w:val="918585"/>
      <w:sz w:val="22"/>
    </w:rPr>
  </w:style>
  <w:style w:type="paragraph" w:customStyle="1" w:styleId="SideHeading">
    <w:name w:val="Side Heading"/>
    <w:basedOn w:val="HeadingBase"/>
    <w:rsid w:val="00D706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0646"/>
    <w:pPr>
      <w:numPr>
        <w:numId w:val="12"/>
      </w:numPr>
    </w:pPr>
  </w:style>
  <w:style w:type="paragraph" w:styleId="PlainText">
    <w:name w:val="Plain Text"/>
    <w:basedOn w:val="Normal"/>
    <w:link w:val="PlainTextChar"/>
    <w:rsid w:val="00D70646"/>
    <w:rPr>
      <w:sz w:val="20"/>
    </w:rPr>
  </w:style>
  <w:style w:type="character" w:customStyle="1" w:styleId="PlainTextChar">
    <w:name w:val="Plain Text Char"/>
    <w:basedOn w:val="DefaultParagraphFont"/>
    <w:link w:val="PlainText"/>
    <w:rsid w:val="00D70646"/>
    <w:rPr>
      <w:rFonts w:ascii="Courier New" w:eastAsia="Times New Roman" w:hAnsi="Courier New" w:cs="Times New Roman"/>
      <w:sz w:val="20"/>
      <w:szCs w:val="20"/>
      <w:lang w:eastAsia="en-US"/>
    </w:rPr>
  </w:style>
  <w:style w:type="character" w:customStyle="1" w:styleId="MenuOption">
    <w:name w:val="Menu Option"/>
    <w:basedOn w:val="DefaultParagraphFont"/>
    <w:rsid w:val="00D70646"/>
    <w:rPr>
      <w:b/>
      <w:smallCaps/>
    </w:rPr>
  </w:style>
  <w:style w:type="paragraph" w:customStyle="1" w:styleId="TableListNumber">
    <w:name w:val="Table List Number"/>
    <w:basedOn w:val="ListNumber"/>
    <w:rsid w:val="00D70646"/>
    <w:pPr>
      <w:numPr>
        <w:numId w:val="0"/>
      </w:numPr>
    </w:pPr>
  </w:style>
  <w:style w:type="paragraph" w:styleId="TOC4">
    <w:name w:val="toc 4"/>
    <w:basedOn w:val="TOCBase"/>
    <w:next w:val="Normal"/>
    <w:semiHidden/>
    <w:rsid w:val="00D70646"/>
    <w:pPr>
      <w:tabs>
        <w:tab w:val="right" w:leader="dot" w:pos="9071"/>
      </w:tabs>
      <w:ind w:left="1701"/>
    </w:pPr>
  </w:style>
  <w:style w:type="paragraph" w:customStyle="1" w:styleId="ListAlpha">
    <w:name w:val="List Alpha"/>
    <w:basedOn w:val="List"/>
    <w:rsid w:val="00D70646"/>
    <w:pPr>
      <w:numPr>
        <w:numId w:val="9"/>
      </w:numPr>
    </w:pPr>
  </w:style>
  <w:style w:type="paragraph" w:customStyle="1" w:styleId="ListAlpha2">
    <w:name w:val="List Alpha 2"/>
    <w:basedOn w:val="List2"/>
    <w:rsid w:val="00D70646"/>
    <w:pPr>
      <w:numPr>
        <w:numId w:val="8"/>
      </w:numPr>
    </w:pPr>
  </w:style>
  <w:style w:type="paragraph" w:styleId="List2">
    <w:name w:val="List 2"/>
    <w:basedOn w:val="BodyText"/>
    <w:rsid w:val="00D70646"/>
    <w:pPr>
      <w:tabs>
        <w:tab w:val="left" w:pos="680"/>
      </w:tabs>
      <w:spacing w:before="60" w:after="60"/>
      <w:ind w:left="680" w:hanging="340"/>
    </w:pPr>
  </w:style>
  <w:style w:type="paragraph" w:styleId="List3">
    <w:name w:val="List 3"/>
    <w:basedOn w:val="BodyText"/>
    <w:rsid w:val="00D70646"/>
    <w:pPr>
      <w:tabs>
        <w:tab w:val="left" w:pos="1021"/>
      </w:tabs>
      <w:spacing w:before="60" w:after="60"/>
      <w:ind w:left="1020" w:hanging="340"/>
    </w:pPr>
  </w:style>
  <w:style w:type="paragraph" w:styleId="List4">
    <w:name w:val="List 4"/>
    <w:basedOn w:val="BodyText"/>
    <w:rsid w:val="00D70646"/>
    <w:pPr>
      <w:tabs>
        <w:tab w:val="left" w:pos="1361"/>
      </w:tabs>
      <w:spacing w:before="60" w:after="60"/>
      <w:ind w:left="1361" w:hanging="340"/>
    </w:pPr>
  </w:style>
  <w:style w:type="paragraph" w:styleId="List5">
    <w:name w:val="List 5"/>
    <w:basedOn w:val="BodyText"/>
    <w:rsid w:val="00D70646"/>
    <w:pPr>
      <w:tabs>
        <w:tab w:val="left" w:pos="1701"/>
      </w:tabs>
      <w:spacing w:before="60" w:after="60"/>
      <w:ind w:left="1701" w:hanging="340"/>
    </w:pPr>
  </w:style>
  <w:style w:type="paragraph" w:styleId="ListBullet3">
    <w:name w:val="List Bullet 3"/>
    <w:basedOn w:val="List3"/>
    <w:rsid w:val="00D70646"/>
    <w:pPr>
      <w:numPr>
        <w:numId w:val="15"/>
      </w:numPr>
      <w:tabs>
        <w:tab w:val="clear" w:pos="1021"/>
      </w:tabs>
      <w:ind w:left="1037" w:hanging="357"/>
    </w:pPr>
  </w:style>
  <w:style w:type="paragraph" w:styleId="ListBullet4">
    <w:name w:val="List Bullet 4"/>
    <w:basedOn w:val="List4"/>
    <w:rsid w:val="00D70646"/>
    <w:pPr>
      <w:numPr>
        <w:numId w:val="3"/>
      </w:numPr>
    </w:pPr>
  </w:style>
  <w:style w:type="paragraph" w:styleId="ListBullet5">
    <w:name w:val="List Bullet 5"/>
    <w:basedOn w:val="List5"/>
    <w:rsid w:val="00D70646"/>
    <w:pPr>
      <w:numPr>
        <w:numId w:val="4"/>
      </w:numPr>
    </w:pPr>
  </w:style>
  <w:style w:type="paragraph" w:styleId="ListContinue2">
    <w:name w:val="List Continue 2"/>
    <w:basedOn w:val="List2"/>
    <w:rsid w:val="00D70646"/>
    <w:pPr>
      <w:ind w:firstLine="0"/>
    </w:pPr>
  </w:style>
  <w:style w:type="paragraph" w:styleId="ListContinue3">
    <w:name w:val="List Continue 3"/>
    <w:basedOn w:val="List3"/>
    <w:rsid w:val="00D70646"/>
    <w:pPr>
      <w:ind w:left="1021" w:firstLine="0"/>
    </w:pPr>
  </w:style>
  <w:style w:type="paragraph" w:styleId="ListContinue4">
    <w:name w:val="List Continue 4"/>
    <w:basedOn w:val="List4"/>
    <w:rsid w:val="00D70646"/>
    <w:pPr>
      <w:ind w:firstLine="0"/>
    </w:pPr>
  </w:style>
  <w:style w:type="paragraph" w:styleId="ListContinue5">
    <w:name w:val="List Continue 5"/>
    <w:basedOn w:val="List5"/>
    <w:rsid w:val="00D70646"/>
    <w:pPr>
      <w:ind w:firstLine="0"/>
    </w:pPr>
  </w:style>
  <w:style w:type="paragraph" w:styleId="ListNumber3">
    <w:name w:val="List Number 3"/>
    <w:basedOn w:val="List3"/>
    <w:rsid w:val="00D70646"/>
    <w:pPr>
      <w:numPr>
        <w:numId w:val="5"/>
      </w:numPr>
    </w:pPr>
  </w:style>
  <w:style w:type="paragraph" w:styleId="ListNumber4">
    <w:name w:val="List Number 4"/>
    <w:basedOn w:val="List4"/>
    <w:rsid w:val="00D70646"/>
    <w:pPr>
      <w:numPr>
        <w:numId w:val="6"/>
      </w:numPr>
    </w:pPr>
  </w:style>
  <w:style w:type="paragraph" w:styleId="ListNumber5">
    <w:name w:val="List Number 5"/>
    <w:basedOn w:val="List5"/>
    <w:rsid w:val="00D70646"/>
    <w:pPr>
      <w:numPr>
        <w:numId w:val="7"/>
      </w:numPr>
    </w:pPr>
  </w:style>
  <w:style w:type="paragraph" w:styleId="BlockText">
    <w:name w:val="Block Text"/>
    <w:basedOn w:val="Normal"/>
    <w:rsid w:val="00D70646"/>
    <w:pPr>
      <w:spacing w:after="120"/>
      <w:ind w:left="1440" w:right="1440"/>
    </w:pPr>
  </w:style>
  <w:style w:type="character" w:customStyle="1" w:styleId="Subscript">
    <w:name w:val="Subscript"/>
    <w:basedOn w:val="DefaultParagraphFont"/>
    <w:rsid w:val="00D70646"/>
    <w:rPr>
      <w:sz w:val="16"/>
      <w:vertAlign w:val="subscript"/>
    </w:rPr>
  </w:style>
  <w:style w:type="character" w:customStyle="1" w:styleId="Superscript">
    <w:name w:val="Superscript"/>
    <w:basedOn w:val="DefaultParagraphFont"/>
    <w:rsid w:val="00D70646"/>
    <w:rPr>
      <w:sz w:val="16"/>
      <w:vertAlign w:val="superscript"/>
    </w:rPr>
  </w:style>
  <w:style w:type="character" w:customStyle="1" w:styleId="Symbols">
    <w:name w:val="Symbols"/>
    <w:basedOn w:val="DefaultParagraphFont"/>
    <w:rsid w:val="00D70646"/>
    <w:rPr>
      <w:rFonts w:ascii="Symbol" w:hAnsi="Symbol"/>
    </w:rPr>
  </w:style>
  <w:style w:type="character" w:customStyle="1" w:styleId="MenuOptions">
    <w:name w:val="Menu Options"/>
    <w:basedOn w:val="DefaultParagraphFont"/>
    <w:rsid w:val="00D70646"/>
    <w:rPr>
      <w:rFonts w:ascii="Arial Narrow" w:hAnsi="Arial Narrow"/>
      <w:smallCaps/>
    </w:rPr>
  </w:style>
  <w:style w:type="character" w:customStyle="1" w:styleId="Buttons">
    <w:name w:val="Buttons"/>
    <w:basedOn w:val="DefaultParagraphFont"/>
    <w:rsid w:val="00D70646"/>
    <w:rPr>
      <w:b/>
    </w:rPr>
  </w:style>
  <w:style w:type="character" w:customStyle="1" w:styleId="Underlined">
    <w:name w:val="Underlined"/>
    <w:basedOn w:val="DefaultParagraphFont"/>
    <w:rsid w:val="00D70646"/>
    <w:rPr>
      <w:u w:val="single"/>
    </w:rPr>
  </w:style>
  <w:style w:type="paragraph" w:customStyle="1" w:styleId="TableBodyTextRight">
    <w:name w:val="Table Body Text Right"/>
    <w:basedOn w:val="TableBodyText"/>
    <w:rsid w:val="00D70646"/>
    <w:pPr>
      <w:widowControl w:val="0"/>
      <w:autoSpaceDE w:val="0"/>
      <w:autoSpaceDN w:val="0"/>
      <w:adjustRightInd w:val="0"/>
      <w:jc w:val="right"/>
    </w:pPr>
    <w:rPr>
      <w:rFonts w:cs="Arial"/>
      <w:szCs w:val="18"/>
    </w:rPr>
  </w:style>
  <w:style w:type="paragraph" w:customStyle="1" w:styleId="CopyrightText">
    <w:name w:val="Copyright Text"/>
    <w:basedOn w:val="BodyText"/>
    <w:rsid w:val="00D70646"/>
    <w:rPr>
      <w:sz w:val="18"/>
    </w:rPr>
  </w:style>
  <w:style w:type="paragraph" w:customStyle="1" w:styleId="BodySmallRight">
    <w:name w:val="Body Small Right"/>
    <w:basedOn w:val="BodyTextRight"/>
    <w:rsid w:val="00D70646"/>
    <w:rPr>
      <w:sz w:val="18"/>
      <w:szCs w:val="18"/>
    </w:rPr>
  </w:style>
  <w:style w:type="paragraph" w:customStyle="1" w:styleId="MarginEdition">
    <w:name w:val="Margin Edition"/>
    <w:basedOn w:val="MarginNote"/>
    <w:rsid w:val="00D70646"/>
    <w:pPr>
      <w:spacing w:before="0" w:after="0"/>
    </w:pPr>
    <w:rPr>
      <w:rFonts w:ascii="Times New Roman" w:hAnsi="Times New Roman"/>
      <w:color w:val="999999"/>
    </w:rPr>
  </w:style>
  <w:style w:type="paragraph" w:customStyle="1" w:styleId="Spacer">
    <w:name w:val="Spacer"/>
    <w:basedOn w:val="Normal"/>
    <w:rsid w:val="00D70646"/>
    <w:rPr>
      <w:sz w:val="2"/>
      <w:szCs w:val="2"/>
    </w:rPr>
  </w:style>
  <w:style w:type="character" w:customStyle="1" w:styleId="Small">
    <w:name w:val="Small"/>
    <w:basedOn w:val="DefaultParagraphFont"/>
    <w:rsid w:val="00D70646"/>
    <w:rPr>
      <w:sz w:val="16"/>
    </w:rPr>
  </w:style>
  <w:style w:type="paragraph" w:customStyle="1" w:styleId="WideTable">
    <w:name w:val="Wide Table"/>
    <w:basedOn w:val="Normal"/>
    <w:rsid w:val="00D70646"/>
    <w:pPr>
      <w:ind w:left="-1418"/>
    </w:pPr>
    <w:rPr>
      <w:sz w:val="2"/>
      <w:szCs w:val="2"/>
    </w:rPr>
  </w:style>
  <w:style w:type="character" w:styleId="PageNumber">
    <w:name w:val="page number"/>
    <w:basedOn w:val="DefaultParagraphFont"/>
    <w:rsid w:val="00D70646"/>
  </w:style>
  <w:style w:type="paragraph" w:styleId="Quote">
    <w:name w:val="Quote"/>
    <w:basedOn w:val="Heading1"/>
    <w:link w:val="QuoteChar"/>
    <w:qFormat/>
    <w:rsid w:val="00D70646"/>
    <w:rPr>
      <w:b w:val="0"/>
      <w:sz w:val="72"/>
      <w:szCs w:val="72"/>
      <w:lang w:val="en-NZ"/>
    </w:rPr>
  </w:style>
  <w:style w:type="character" w:customStyle="1" w:styleId="QuoteChar">
    <w:name w:val="Quote Char"/>
    <w:basedOn w:val="DefaultParagraphFont"/>
    <w:link w:val="Quote"/>
    <w:rsid w:val="00D706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0646"/>
    <w:pPr>
      <w:pageBreakBefore/>
    </w:pPr>
  </w:style>
  <w:style w:type="paragraph" w:customStyle="1" w:styleId="Border">
    <w:name w:val="Border"/>
    <w:basedOn w:val="Normal"/>
    <w:qFormat/>
    <w:rsid w:val="00D706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0646"/>
    <w:rPr>
      <w:b/>
      <w:bCs/>
      <w:i/>
      <w:iCs/>
      <w:color w:val="auto"/>
    </w:rPr>
  </w:style>
  <w:style w:type="paragraph" w:styleId="IntenseQuote">
    <w:name w:val="Intense Quote"/>
    <w:basedOn w:val="Normal"/>
    <w:next w:val="Normal"/>
    <w:link w:val="IntenseQuoteChar"/>
    <w:uiPriority w:val="30"/>
    <w:qFormat/>
    <w:rsid w:val="00D706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06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0646"/>
    <w:rPr>
      <w:smallCaps/>
      <w:color w:val="auto"/>
      <w:u w:val="single"/>
    </w:rPr>
  </w:style>
  <w:style w:type="character" w:styleId="IntenseReference">
    <w:name w:val="Intense Reference"/>
    <w:basedOn w:val="DefaultParagraphFont"/>
    <w:uiPriority w:val="32"/>
    <w:qFormat/>
    <w:rsid w:val="00D70646"/>
    <w:rPr>
      <w:b/>
      <w:bCs/>
      <w:smallCaps/>
      <w:color w:val="auto"/>
      <w:spacing w:val="5"/>
      <w:u w:val="single"/>
    </w:rPr>
  </w:style>
  <w:style w:type="paragraph" w:customStyle="1" w:styleId="2ColumnHeading">
    <w:name w:val="2Column Heading"/>
    <w:basedOn w:val="BodyText"/>
    <w:qFormat/>
    <w:rsid w:val="00D70646"/>
    <w:pPr>
      <w:spacing w:after="60"/>
      <w:ind w:left="-2268"/>
    </w:pPr>
    <w:rPr>
      <w:b/>
    </w:rPr>
  </w:style>
  <w:style w:type="paragraph" w:customStyle="1" w:styleId="Heading1TOC">
    <w:name w:val="Heading1 TOC"/>
    <w:basedOn w:val="Normal"/>
    <w:qFormat/>
    <w:rsid w:val="00D70646"/>
    <w:pPr>
      <w:spacing w:before="240" w:after="120"/>
    </w:pPr>
    <w:rPr>
      <w:rFonts w:ascii="Times New Roman" w:hAnsi="Times New Roman"/>
      <w:b/>
      <w:sz w:val="32"/>
    </w:rPr>
  </w:style>
  <w:style w:type="paragraph" w:customStyle="1" w:styleId="Heading2TOC">
    <w:name w:val="Heading2 TOC"/>
    <w:basedOn w:val="Normal"/>
    <w:qFormat/>
    <w:rsid w:val="00D70646"/>
    <w:pPr>
      <w:spacing w:before="240" w:after="60"/>
    </w:pPr>
    <w:rPr>
      <w:rFonts w:ascii="Times New Roman" w:hAnsi="Times New Roman"/>
      <w:b/>
      <w:sz w:val="28"/>
    </w:rPr>
  </w:style>
  <w:style w:type="character" w:customStyle="1" w:styleId="Underline">
    <w:name w:val="Underline"/>
    <w:basedOn w:val="DefaultParagraphFont"/>
    <w:qFormat/>
    <w:rsid w:val="00D70646"/>
    <w:rPr>
      <w:u w:val="single"/>
    </w:rPr>
  </w:style>
  <w:style w:type="character" w:customStyle="1" w:styleId="BoldandItalics">
    <w:name w:val="Bold and Italics"/>
    <w:qFormat/>
    <w:rsid w:val="00D70646"/>
    <w:rPr>
      <w:b/>
      <w:i/>
      <w:u w:val="none"/>
    </w:rPr>
  </w:style>
  <w:style w:type="paragraph" w:styleId="BalloonText">
    <w:name w:val="Balloon Text"/>
    <w:basedOn w:val="Normal"/>
    <w:link w:val="BalloonTextChar"/>
    <w:rsid w:val="00D70646"/>
    <w:rPr>
      <w:rFonts w:ascii="Tahoma" w:hAnsi="Tahoma" w:cs="Tahoma"/>
      <w:sz w:val="16"/>
      <w:szCs w:val="16"/>
    </w:rPr>
  </w:style>
  <w:style w:type="character" w:customStyle="1" w:styleId="BalloonTextChar">
    <w:name w:val="Balloon Text Char"/>
    <w:basedOn w:val="DefaultParagraphFont"/>
    <w:link w:val="BalloonText"/>
    <w:rsid w:val="00D706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06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06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0646"/>
    <w:rPr>
      <w:b/>
      <w:color w:val="660033"/>
      <w:spacing w:val="0"/>
    </w:rPr>
  </w:style>
  <w:style w:type="paragraph" w:customStyle="1" w:styleId="Nameditemlist">
    <w:name w:val="Named item list"/>
    <w:basedOn w:val="BodyText"/>
    <w:qFormat/>
    <w:rsid w:val="00D706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2260</Words>
  <Characters>13931</Characters>
  <Application>Microsoft Office Word</Application>
  <DocSecurity>0</DocSecurity>
  <Lines>481</Lines>
  <Paragraphs>211</Paragraphs>
  <ScaleCrop>false</ScaleCrop>
  <Company>Author-it Software Corporation Ltd.</Company>
  <LinksUpToDate>false</LinksUpToDate>
  <CharactersWithSpaces>16036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UEPOPS360A Operate and Monitor a Hydro Turbine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2012-07-25T17:07:00Z</dcterms:created>
  <dcterms:modified xsi:type="dcterms:W3CDTF">2012-07-25T17:07:00Z</dcterms:modified>
</cp:coreProperties>
</file>