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3AEE" w:rsidP="00703AEE">
      <w:pPr>
        <w:pStyle w:val="Title"/>
      </w:pPr>
      <w:bookmarkStart w:id="0" w:name="_GoBack"/>
      <w:bookmarkEnd w:id="0"/>
      <w:r>
        <w:fldChar w:fldCharType="begin"/>
      </w:r>
      <w:r>
        <w:instrText xml:space="preserve"> TITLE   \* MERGEFORMAT </w:instrText>
      </w:r>
      <w:r>
        <w:fldChar w:fldCharType="separate"/>
      </w:r>
      <w:r>
        <w:t>UEPOPS352B Conduct operational checks on in-service mechanical plant</w:t>
      </w:r>
      <w:r>
        <w:fldChar w:fldCharType="end"/>
      </w:r>
    </w:p>
    <w:p w:rsidR="00703AEE" w:rsidP="00703AEE">
      <w:pPr>
        <w:pStyle w:val="Version"/>
        <w:sectPr w:rsidSect="006442F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42FA" w:rsidP="006442FA">
      <w:pPr>
        <w:pStyle w:val="SuperHeading"/>
      </w:pPr>
      <w:r w:rsidRPr="006442FA">
        <w:t>UEPOPS352B Conduct operational checks on in-service mechanical plant</w:t>
      </w:r>
    </w:p>
    <w:p w:rsidR="00000000" w:rsidRPr="006442FA" w:rsidP="006442FA">
      <w:pPr>
        <w:pStyle w:val="Heading1"/>
      </w:pPr>
      <w:bookmarkStart w:id="1" w:name="O_475429"/>
      <w:bookmarkEnd w:id="1"/>
      <w:r w:rsidRPr="006442FA">
        <w:t>Modification History</w:t>
      </w:r>
    </w:p>
    <w:p w:rsidR="00000000" w:rsidRPr="006442FA" w:rsidP="006442FA">
      <w:pPr>
        <w:pStyle w:val="BodyText"/>
      </w:pPr>
      <w:r w:rsidRPr="006442FA">
        <w:t>Not applicable.</w:t>
      </w:r>
    </w:p>
    <w:p w:rsidR="00000000" w:rsidRPr="006442FA" w:rsidP="006442FA">
      <w:pPr>
        <w:pStyle w:val="AllowPageBreak"/>
      </w:pPr>
    </w:p>
    <w:p w:rsidR="00000000" w:rsidRPr="006442FA" w:rsidP="006442FA">
      <w:pPr>
        <w:pStyle w:val="Heading1"/>
      </w:pPr>
      <w:bookmarkStart w:id="2" w:name="O_475427"/>
      <w:bookmarkEnd w:id="2"/>
      <w:r w:rsidRPr="006442FA">
        <w:t>Unit Descriptor</w:t>
      </w:r>
    </w:p>
    <w:tbl>
      <w:tblPr>
        <w:tblW w:w="0" w:type="auto"/>
        <w:tblLayout w:type="fixed"/>
        <w:tblCellMar>
          <w:left w:w="62" w:type="dxa"/>
          <w:right w:w="62" w:type="dxa"/>
        </w:tblCellMar>
        <w:tblLook w:val="0000"/>
      </w:tblPr>
      <w:tblGrid>
        <w:gridCol w:w="2700"/>
        <w:gridCol w:w="5760"/>
      </w:tblGrid>
      <w:tr w:rsidTr="00703AE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442FA" w:rsidP="006442FA">
            <w:pPr>
              <w:pStyle w:val="BodyText"/>
            </w:pPr>
            <w:r w:rsidRPr="006442FA">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6442FA">
            <w:pPr>
              <w:pStyle w:val="BodyText"/>
              <w:rPr>
                <w:lang w:val="en-NZ"/>
              </w:rPr>
            </w:pPr>
            <w:r w:rsidRPr="006442FA">
              <w:rPr>
                <w:rStyle w:val="SpecialBold"/>
              </w:rPr>
              <w:t>1)</w:t>
            </w:r>
            <w:r w:rsidRPr="006442FA">
              <w:t xml:space="preserve"> </w:t>
            </w:r>
            <w:r w:rsidRPr="006442FA">
              <w:rPr>
                <w:rStyle w:val="SpecialBold"/>
              </w:rPr>
              <w:t>Scope:</w:t>
            </w:r>
          </w:p>
        </w:tc>
      </w:tr>
      <w:tr w:rsidTr="00703AE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442FA">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6442FA">
            <w:pPr>
              <w:pStyle w:val="BodyText"/>
              <w:rPr>
                <w:lang w:val="en-NZ"/>
              </w:rPr>
            </w:pPr>
            <w:r w:rsidRPr="006442FA">
              <w:rPr>
                <w:rStyle w:val="SpecialBold"/>
              </w:rPr>
              <w:t>1.1) Descriptor</w:t>
            </w:r>
          </w:p>
        </w:tc>
      </w:tr>
      <w:tr w:rsidTr="00703AE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442FA" w:rsidP="006442FA">
            <w:pPr>
              <w:pStyle w:val="BodyText"/>
            </w:pPr>
            <w:r w:rsidRPr="006442FA">
              <w:t>This unit deals with the skills and knowledge required to conduct operational checks on in-service mechanical plant.</w:t>
            </w:r>
          </w:p>
        </w:tc>
      </w:tr>
    </w:tbl>
    <w:p w:rsidR="00000000" w:rsidRPr="006442FA" w:rsidP="006442FA">
      <w:pPr>
        <w:pStyle w:val="BodyText"/>
      </w:pPr>
    </w:p>
    <w:p w:rsidR="00000000" w:rsidRPr="006442FA" w:rsidP="006442FA">
      <w:pPr>
        <w:pStyle w:val="AllowPageBreak"/>
      </w:pPr>
    </w:p>
    <w:p w:rsidR="00000000" w:rsidRPr="006442FA" w:rsidP="006442FA">
      <w:pPr>
        <w:pStyle w:val="Heading1"/>
      </w:pPr>
      <w:bookmarkStart w:id="3" w:name="O_475416"/>
      <w:bookmarkEnd w:id="3"/>
      <w:r w:rsidRPr="006442FA">
        <w:t>Application of the Unit</w:t>
      </w:r>
    </w:p>
    <w:tbl>
      <w:tblPr>
        <w:tblW w:w="0" w:type="auto"/>
        <w:tblLayout w:type="fixed"/>
        <w:tblCellMar>
          <w:left w:w="62" w:type="dxa"/>
          <w:right w:w="62" w:type="dxa"/>
        </w:tblCellMar>
        <w:tblLook w:val="0000"/>
      </w:tblPr>
      <w:tblGrid>
        <w:gridCol w:w="2672"/>
        <w:gridCol w:w="5699"/>
      </w:tblGrid>
      <w:tr w:rsidTr="00703AEE">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6442FA" w:rsidP="006442FA">
            <w:pPr>
              <w:pStyle w:val="BodyText"/>
            </w:pPr>
            <w:r w:rsidRPr="006442FA">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6442FA">
            <w:pPr>
              <w:pStyle w:val="BodyText"/>
              <w:rPr>
                <w:lang w:val="en-NZ"/>
              </w:rPr>
            </w:pPr>
            <w:r w:rsidRPr="006442FA">
              <w:rPr>
                <w:rStyle w:val="SpecialBold"/>
              </w:rPr>
              <w:t>2)</w:t>
            </w:r>
          </w:p>
        </w:tc>
      </w:tr>
      <w:tr w:rsidTr="00703AEE">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6442FA" w:rsidP="006442FA">
            <w:pPr>
              <w:pStyle w:val="BodyText"/>
            </w:pPr>
            <w:r w:rsidRPr="006442FA">
              <w:t>This unit is intended to augment formally acquired competencies. It is suitable for employment-based programs under an approved contract of training.</w:t>
            </w:r>
          </w:p>
        </w:tc>
      </w:tr>
    </w:tbl>
    <w:p w:rsidR="00000000" w:rsidRPr="006442FA" w:rsidP="006442FA">
      <w:pPr>
        <w:pStyle w:val="BodyText"/>
      </w:pPr>
    </w:p>
    <w:p w:rsidR="00000000" w:rsidRPr="006442FA" w:rsidP="006442FA">
      <w:pPr>
        <w:pStyle w:val="AllowPageBreak"/>
      </w:pPr>
    </w:p>
    <w:p w:rsidR="00000000" w:rsidRPr="006442FA" w:rsidP="006442FA">
      <w:pPr>
        <w:pStyle w:val="Heading1"/>
      </w:pPr>
      <w:bookmarkStart w:id="4" w:name="O_475423"/>
      <w:bookmarkEnd w:id="4"/>
      <w:r w:rsidRPr="006442FA">
        <w:t>Licensing/Regulatory Information</w:t>
      </w:r>
    </w:p>
    <w:tbl>
      <w:tblPr>
        <w:tblW w:w="0" w:type="auto"/>
        <w:tblLayout w:type="fixed"/>
        <w:tblCellMar>
          <w:left w:w="62" w:type="dxa"/>
          <w:right w:w="62" w:type="dxa"/>
        </w:tblCellMar>
        <w:tblLook w:val="0000"/>
      </w:tblPr>
      <w:tblGrid>
        <w:gridCol w:w="2700"/>
        <w:gridCol w:w="5760"/>
      </w:tblGrid>
      <w:tr w:rsidTr="00703AE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442FA" w:rsidP="006442FA">
            <w:pPr>
              <w:pStyle w:val="BodyText"/>
            </w:pPr>
            <w:r w:rsidRPr="006442FA">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6442FA">
            <w:pPr>
              <w:pStyle w:val="BodyText"/>
              <w:rPr>
                <w:lang w:val="en-NZ"/>
              </w:rPr>
            </w:pPr>
            <w:r w:rsidRPr="006442FA">
              <w:rPr>
                <w:rStyle w:val="SpecialBold"/>
              </w:rPr>
              <w:t xml:space="preserve">3) </w:t>
            </w:r>
          </w:p>
        </w:tc>
      </w:tr>
      <w:tr w:rsidTr="00703AE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442FA" w:rsidP="006442FA">
            <w:pPr>
              <w:pStyle w:val="BodyText"/>
            </w:pPr>
            <w:r w:rsidRPr="006442FA">
              <w:t>The skills and knowledge des</w:t>
            </w:r>
            <w:r w:rsidRPr="006442FA">
              <w:t>cribed in this unit do not require a licence to practise in the workplace. However, practice in this unit is subject to regulations directly related to Occupational Health and Safety.</w:t>
            </w:r>
          </w:p>
        </w:tc>
      </w:tr>
    </w:tbl>
    <w:p w:rsidR="00000000" w:rsidRPr="006442FA" w:rsidP="006442FA">
      <w:pPr>
        <w:pStyle w:val="BodyText"/>
      </w:pPr>
    </w:p>
    <w:p w:rsidR="00000000" w:rsidRPr="006442FA" w:rsidP="006442FA">
      <w:pPr>
        <w:pStyle w:val="AllowPageBreak"/>
      </w:pPr>
    </w:p>
    <w:p w:rsidR="00000000" w:rsidRPr="006442FA" w:rsidP="006442FA">
      <w:pPr>
        <w:pStyle w:val="Heading1"/>
      </w:pPr>
      <w:bookmarkStart w:id="5" w:name="O_475424"/>
      <w:bookmarkEnd w:id="5"/>
      <w:r w:rsidRPr="006442FA">
        <w:t>Pre-Requisites</w:t>
      </w:r>
    </w:p>
    <w:tbl>
      <w:tblPr>
        <w:tblW w:w="0" w:type="auto"/>
        <w:tblLayout w:type="fixed"/>
        <w:tblCellMar>
          <w:left w:w="62" w:type="dxa"/>
          <w:right w:w="62" w:type="dxa"/>
        </w:tblCellMar>
        <w:tblLook w:val="0000"/>
      </w:tblPr>
      <w:tblGrid>
        <w:gridCol w:w="2700"/>
        <w:gridCol w:w="5764"/>
      </w:tblGrid>
      <w:tr w:rsidTr="00703AE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442FA" w:rsidP="006442FA">
            <w:pPr>
              <w:pStyle w:val="BodyText"/>
            </w:pPr>
            <w:r w:rsidRPr="006442FA">
              <w:rPr>
                <w:rStyle w:val="SpecialBold"/>
              </w:rPr>
              <w:t>Prerequisite Unit(s)</w:t>
            </w:r>
          </w:p>
        </w:tc>
        <w:tc>
          <w:tcPr>
            <w:tcW w:w="5764" w:type="dxa"/>
            <w:tcBorders>
              <w:top w:val="nil"/>
              <w:left w:val="nil"/>
              <w:bottom w:val="nil"/>
              <w:right w:val="nil"/>
            </w:tcBorders>
            <w:tcMar>
              <w:top w:w="0" w:type="dxa"/>
              <w:left w:w="62" w:type="dxa"/>
              <w:bottom w:w="0" w:type="dxa"/>
              <w:right w:w="62" w:type="dxa"/>
            </w:tcMar>
          </w:tcPr>
          <w:p w:rsidR="00000000" w:rsidP="006442FA">
            <w:pPr>
              <w:pStyle w:val="BodyText"/>
              <w:rPr>
                <w:lang w:val="en-NZ"/>
              </w:rPr>
            </w:pPr>
            <w:r w:rsidRPr="006442FA">
              <w:rPr>
                <w:rStyle w:val="SpecialBold"/>
              </w:rPr>
              <w:t xml:space="preserve">4) </w:t>
            </w:r>
          </w:p>
        </w:tc>
      </w:tr>
      <w:tr w:rsidTr="00703AE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442FA" w:rsidP="006442FA">
            <w:pPr>
              <w:pStyle w:val="BodyText"/>
            </w:pPr>
            <w:r w:rsidRPr="006442FA">
              <w:rPr>
                <w:rStyle w:val="SpecialBold"/>
              </w:rPr>
              <w:t>Competencies</w:t>
            </w:r>
          </w:p>
        </w:tc>
        <w:tc>
          <w:tcPr>
            <w:tcW w:w="5764" w:type="dxa"/>
            <w:tcBorders>
              <w:top w:val="nil"/>
              <w:left w:val="nil"/>
              <w:bottom w:val="nil"/>
              <w:right w:val="nil"/>
            </w:tcBorders>
            <w:tcMar>
              <w:top w:w="0" w:type="dxa"/>
              <w:left w:w="62" w:type="dxa"/>
              <w:bottom w:w="0" w:type="dxa"/>
              <w:right w:w="62" w:type="dxa"/>
            </w:tcMar>
          </w:tcPr>
          <w:p w:rsidR="00000000" w:rsidP="006442FA">
            <w:pPr>
              <w:pStyle w:val="BodyText"/>
              <w:rPr>
                <w:lang w:val="en-NZ"/>
              </w:rPr>
            </w:pPr>
            <w:r w:rsidRPr="006442FA">
              <w:rPr>
                <w:rStyle w:val="SpecialBold"/>
              </w:rPr>
              <w:t>4.1)</w:t>
            </w:r>
          </w:p>
        </w:tc>
      </w:tr>
      <w:tr w:rsidTr="00703AE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tcBorders>
              <w:top w:val="nil"/>
              <w:left w:val="nil"/>
              <w:bottom w:val="nil"/>
              <w:right w:val="nil"/>
            </w:tcBorders>
            <w:tcMar>
              <w:top w:w="0" w:type="dxa"/>
              <w:left w:w="62" w:type="dxa"/>
              <w:bottom w:w="0" w:type="dxa"/>
              <w:right w:w="62" w:type="dxa"/>
            </w:tcMar>
          </w:tcPr>
          <w:p w:rsidR="00000000" w:rsidRPr="006442FA" w:rsidP="006442FA">
            <w:pPr>
              <w:pStyle w:val="BodyText"/>
            </w:pPr>
            <w:r w:rsidRPr="006442FA">
              <w:t>Granting of competency in this unit shall be made only after competency in the following unit(s) has/have been confirmed.</w:t>
            </w:r>
          </w:p>
          <w:p w:rsidR="00000000" w:rsidRPr="006442FA" w:rsidP="006442FA">
            <w:pPr>
              <w:pStyle w:val="BodyText"/>
            </w:pPr>
            <w:r w:rsidRPr="006442FA">
              <w:t>Where pre-requisite pathways have been identified. All competencies in the Common Unit Group must be have been completed.</w:t>
            </w:r>
          </w:p>
          <w:p w:rsidR="00000000" w:rsidRPr="006442FA" w:rsidP="006442FA">
            <w:pPr>
              <w:pStyle w:val="BodyText"/>
            </w:pPr>
            <w:r w:rsidRPr="006442FA">
              <w:t>Ther</w:t>
            </w:r>
            <w:r w:rsidRPr="006442FA">
              <w:t>e are no pre-requisite units.</w:t>
            </w:r>
          </w:p>
        </w:tc>
      </w:tr>
    </w:tbl>
    <w:p w:rsidR="00000000" w:rsidRPr="006442FA" w:rsidP="006442FA">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703AEE">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6442FA" w:rsidP="006442FA">
            <w:pPr>
              <w:pStyle w:val="BodyText"/>
            </w:pPr>
            <w:r w:rsidRPr="006442FA">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6442FA">
            <w:pPr>
              <w:pStyle w:val="BodyText"/>
              <w:rPr>
                <w:lang w:val="en-NZ"/>
              </w:rPr>
            </w:pPr>
            <w:r w:rsidRPr="006442FA">
              <w:rPr>
                <w:rStyle w:val="SpecialBold"/>
              </w:rPr>
              <w:t xml:space="preserve">4.2) </w:t>
            </w:r>
          </w:p>
        </w:tc>
      </w:tr>
      <w:tr w:rsidTr="00703AE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6442FA">
            <w:pPr>
              <w:pStyle w:val="BodyText"/>
              <w:rPr>
                <w:lang w:val="en-NZ"/>
              </w:rPr>
            </w:pPr>
            <w:r w:rsidRPr="006442FA">
              <w:t>Participants are best equipped to achieve this unit if they have reading, writing and numeracy skills indicated by the following levels. A description of what each level enta</w:t>
            </w:r>
            <w:r w:rsidRPr="006442FA">
              <w:t>ils is provided in Section 2.3.1 Language, Literacy and Numeracy.</w:t>
            </w:r>
          </w:p>
        </w:tc>
      </w:tr>
      <w:tr w:rsidTr="00703AE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442FA">
            <w:pPr>
              <w:pStyle w:val="BodyText"/>
              <w:rPr>
                <w:lang w:val="en-NZ"/>
              </w:rPr>
            </w:pPr>
            <w:r w:rsidRPr="006442FA">
              <w:t>Reading</w:t>
            </w:r>
          </w:p>
        </w:tc>
        <w:tc>
          <w:tcPr>
            <w:tcW w:w="810" w:type="dxa"/>
            <w:tcBorders>
              <w:top w:val="nil"/>
              <w:left w:val="nil"/>
              <w:bottom w:val="nil"/>
              <w:right w:val="nil"/>
            </w:tcBorders>
            <w:tcMar>
              <w:top w:w="0" w:type="dxa"/>
              <w:left w:w="62" w:type="dxa"/>
              <w:bottom w:w="0" w:type="dxa"/>
              <w:right w:w="62" w:type="dxa"/>
            </w:tcMar>
          </w:tcPr>
          <w:p w:rsidR="00000000" w:rsidP="006442FA">
            <w:pPr>
              <w:pStyle w:val="BodyText"/>
              <w:rPr>
                <w:lang w:val="en-NZ"/>
              </w:rPr>
            </w:pPr>
            <w:r w:rsidRPr="006442FA">
              <w:t>3</w:t>
            </w:r>
          </w:p>
        </w:tc>
        <w:tc>
          <w:tcPr>
            <w:tcW w:w="990" w:type="dxa"/>
            <w:tcBorders>
              <w:top w:val="nil"/>
              <w:left w:val="nil"/>
              <w:bottom w:val="nil"/>
              <w:right w:val="nil"/>
            </w:tcBorders>
            <w:tcMar>
              <w:top w:w="0" w:type="dxa"/>
              <w:left w:w="62" w:type="dxa"/>
              <w:bottom w:w="0" w:type="dxa"/>
              <w:right w:w="62" w:type="dxa"/>
            </w:tcMar>
          </w:tcPr>
          <w:p w:rsidR="00000000" w:rsidP="006442FA">
            <w:pPr>
              <w:pStyle w:val="BodyText"/>
              <w:rPr>
                <w:lang w:val="en-NZ"/>
              </w:rPr>
            </w:pPr>
            <w:r w:rsidRPr="006442FA">
              <w:t>Writing</w:t>
            </w:r>
          </w:p>
        </w:tc>
        <w:tc>
          <w:tcPr>
            <w:tcW w:w="900" w:type="dxa"/>
            <w:tcBorders>
              <w:top w:val="nil"/>
              <w:left w:val="nil"/>
              <w:bottom w:val="nil"/>
              <w:right w:val="nil"/>
            </w:tcBorders>
            <w:tcMar>
              <w:top w:w="0" w:type="dxa"/>
              <w:left w:w="62" w:type="dxa"/>
              <w:bottom w:w="0" w:type="dxa"/>
              <w:right w:w="62" w:type="dxa"/>
            </w:tcMar>
          </w:tcPr>
          <w:p w:rsidR="00000000" w:rsidP="006442FA">
            <w:pPr>
              <w:pStyle w:val="BodyText"/>
              <w:rPr>
                <w:lang w:val="en-NZ"/>
              </w:rPr>
            </w:pPr>
            <w:r w:rsidRPr="006442FA">
              <w:t>3</w:t>
            </w:r>
          </w:p>
        </w:tc>
        <w:tc>
          <w:tcPr>
            <w:tcW w:w="1260" w:type="dxa"/>
            <w:tcBorders>
              <w:top w:val="nil"/>
              <w:left w:val="nil"/>
              <w:bottom w:val="nil"/>
              <w:right w:val="nil"/>
            </w:tcBorders>
            <w:tcMar>
              <w:top w:w="0" w:type="dxa"/>
              <w:left w:w="62" w:type="dxa"/>
              <w:bottom w:w="0" w:type="dxa"/>
              <w:right w:w="62" w:type="dxa"/>
            </w:tcMar>
          </w:tcPr>
          <w:p w:rsidR="00000000" w:rsidP="006442FA">
            <w:pPr>
              <w:pStyle w:val="BodyText"/>
              <w:rPr>
                <w:lang w:val="en-NZ"/>
              </w:rPr>
            </w:pPr>
            <w:r w:rsidRPr="006442FA">
              <w:t>Numeracy</w:t>
            </w:r>
          </w:p>
        </w:tc>
        <w:tc>
          <w:tcPr>
            <w:tcW w:w="720" w:type="dxa"/>
            <w:tcBorders>
              <w:top w:val="nil"/>
              <w:left w:val="nil"/>
              <w:bottom w:val="nil"/>
              <w:right w:val="nil"/>
            </w:tcBorders>
            <w:tcMar>
              <w:top w:w="0" w:type="dxa"/>
              <w:left w:w="62" w:type="dxa"/>
              <w:bottom w:w="0" w:type="dxa"/>
              <w:right w:w="62" w:type="dxa"/>
            </w:tcMar>
          </w:tcPr>
          <w:p w:rsidR="00000000" w:rsidRPr="006442FA" w:rsidP="006442FA">
            <w:pPr>
              <w:pStyle w:val="BodyText"/>
            </w:pPr>
            <w:r w:rsidRPr="006442FA">
              <w:t>3</w:t>
            </w:r>
          </w:p>
        </w:tc>
      </w:tr>
    </w:tbl>
    <w:p w:rsidR="00000000" w:rsidRPr="006442FA" w:rsidP="006442FA">
      <w:pPr>
        <w:pStyle w:val="BodyText"/>
      </w:pPr>
    </w:p>
    <w:p w:rsidR="00000000" w:rsidRPr="006442FA" w:rsidP="006442FA">
      <w:pPr>
        <w:pStyle w:val="AllowPageBreak"/>
      </w:pPr>
    </w:p>
    <w:p w:rsidR="00000000" w:rsidRPr="006442FA" w:rsidP="006442FA">
      <w:pPr>
        <w:pStyle w:val="Heading1"/>
      </w:pPr>
      <w:bookmarkStart w:id="6" w:name="O_475420"/>
      <w:bookmarkEnd w:id="6"/>
      <w:r w:rsidRPr="006442FA">
        <w:t>Employability Skills Information</w:t>
      </w:r>
    </w:p>
    <w:tbl>
      <w:tblPr>
        <w:tblW w:w="0" w:type="auto"/>
        <w:tblLayout w:type="fixed"/>
        <w:tblCellMar>
          <w:left w:w="62" w:type="dxa"/>
          <w:right w:w="62" w:type="dxa"/>
        </w:tblCellMar>
        <w:tblLook w:val="0000"/>
      </w:tblPr>
      <w:tblGrid>
        <w:gridCol w:w="2700"/>
        <w:gridCol w:w="5760"/>
      </w:tblGrid>
      <w:tr w:rsidTr="00703AE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442FA" w:rsidP="006442FA">
            <w:pPr>
              <w:pStyle w:val="BodyText"/>
            </w:pPr>
            <w:r w:rsidRPr="006442FA">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6442FA">
            <w:pPr>
              <w:pStyle w:val="BodyText"/>
              <w:rPr>
                <w:lang w:val="en-NZ"/>
              </w:rPr>
            </w:pPr>
            <w:r w:rsidRPr="006442FA">
              <w:rPr>
                <w:rStyle w:val="SpecialBold"/>
              </w:rPr>
              <w:t xml:space="preserve">5) </w:t>
            </w:r>
          </w:p>
        </w:tc>
      </w:tr>
      <w:tr w:rsidTr="00703AE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442FA" w:rsidP="006442FA">
            <w:pPr>
              <w:pStyle w:val="BodyText"/>
            </w:pPr>
            <w:r w:rsidRPr="006442FA">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6442FA">
              <w:t>requirements.</w:t>
            </w:r>
          </w:p>
        </w:tc>
      </w:tr>
    </w:tbl>
    <w:p w:rsidR="00000000" w:rsidRPr="006442FA" w:rsidP="006442FA">
      <w:pPr>
        <w:pStyle w:val="BodyText"/>
      </w:pPr>
    </w:p>
    <w:p w:rsidR="00000000" w:rsidRPr="006442FA" w:rsidP="006442FA">
      <w:pPr>
        <w:pStyle w:val="AllowPageBreak"/>
      </w:pPr>
    </w:p>
    <w:p w:rsidR="00000000" w:rsidRPr="006442FA" w:rsidP="006442FA">
      <w:pPr>
        <w:pStyle w:val="Heading1"/>
      </w:pPr>
      <w:bookmarkStart w:id="7" w:name="O_475419"/>
      <w:bookmarkEnd w:id="7"/>
      <w:r w:rsidRPr="006442FA">
        <w:t>Elements and Performance Criteria Pre-Content</w:t>
      </w:r>
    </w:p>
    <w:tbl>
      <w:tblPr>
        <w:tblW w:w="0" w:type="auto"/>
        <w:tblLayout w:type="fixed"/>
        <w:tblCellMar>
          <w:left w:w="62" w:type="dxa"/>
          <w:right w:w="62" w:type="dxa"/>
        </w:tblCellMar>
        <w:tblLook w:val="0000"/>
      </w:tblPr>
      <w:tblGrid>
        <w:gridCol w:w="2700"/>
        <w:gridCol w:w="5760"/>
      </w:tblGrid>
      <w:tr w:rsidTr="00703AE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442FA">
            <w:pPr>
              <w:pStyle w:val="BodyText"/>
              <w:rPr>
                <w:lang w:val="en-NZ"/>
              </w:rPr>
            </w:pPr>
            <w:r w:rsidRPr="006442FA">
              <w:rPr>
                <w:rStyle w:val="SpecialBold"/>
              </w:rPr>
              <w:t>6)</w:t>
            </w:r>
            <w:r w:rsidRPr="006442FA">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6442FA" w:rsidP="006442FA">
            <w:pPr>
              <w:pStyle w:val="BodyText"/>
            </w:pPr>
            <w:r w:rsidRPr="006442FA">
              <w:t>Performance Criteria describe the required performance needed to demonstrate achievement of the element</w:t>
            </w:r>
            <w:r w:rsidRPr="006442FA">
              <w:t>. Assessment of performance is to be consistent with the Evidence Guide.</w:t>
            </w:r>
          </w:p>
        </w:tc>
      </w:tr>
    </w:tbl>
    <w:p w:rsidR="00000000" w:rsidRPr="006442FA" w:rsidP="006442FA">
      <w:pPr>
        <w:pStyle w:val="BodyText"/>
      </w:pPr>
    </w:p>
    <w:p w:rsidR="00000000" w:rsidRPr="006442FA" w:rsidP="006442FA">
      <w:pPr>
        <w:pStyle w:val="AllowPageBreak"/>
      </w:pPr>
    </w:p>
    <w:p w:rsidR="00000000" w:rsidRPr="006442FA" w:rsidP="006442FA">
      <w:pPr>
        <w:pStyle w:val="Heading1"/>
      </w:pPr>
      <w:bookmarkStart w:id="8" w:name="O_475418"/>
      <w:bookmarkEnd w:id="8"/>
      <w:r w:rsidRPr="006442FA">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703AEE">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6442FA" w:rsidP="006442FA">
            <w:pPr>
              <w:pStyle w:val="BodyText"/>
            </w:pPr>
            <w:r w:rsidRPr="006442FA">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6442FA">
            <w:pPr>
              <w:pStyle w:val="BodyText"/>
              <w:rPr>
                <w:lang w:val="en-NZ"/>
              </w:rPr>
            </w:pPr>
            <w:r w:rsidRPr="006442FA">
              <w:rPr>
                <w:rStyle w:val="SpecialBold"/>
              </w:rPr>
              <w:t>PERFORMANCE CRITERIA</w:t>
            </w:r>
          </w:p>
        </w:tc>
      </w:tr>
      <w:tr w:rsidTr="00703AE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442FA">
            <w:pPr>
              <w:pStyle w:val="BodyText"/>
              <w:rPr>
                <w:lang w:val="en-NZ"/>
              </w:rPr>
            </w:pPr>
            <w:r w:rsidRPr="006442FA">
              <w:t>1</w:t>
            </w:r>
          </w:p>
        </w:tc>
        <w:tc>
          <w:tcPr>
            <w:tcW w:w="2296" w:type="dxa"/>
            <w:vMerge w:val="restart"/>
            <w:tcBorders>
              <w:top w:val="nil"/>
              <w:left w:val="nil"/>
              <w:bottom w:val="nil"/>
              <w:right w:val="nil"/>
            </w:tcBorders>
            <w:tcMar>
              <w:top w:w="0" w:type="dxa"/>
              <w:left w:w="62" w:type="dxa"/>
              <w:bottom w:w="0" w:type="dxa"/>
              <w:right w:w="62" w:type="dxa"/>
            </w:tcMar>
          </w:tcPr>
          <w:p w:rsidR="00000000" w:rsidP="006442FA">
            <w:pPr>
              <w:pStyle w:val="BodyText"/>
              <w:rPr>
                <w:lang w:val="en-NZ"/>
              </w:rPr>
            </w:pPr>
            <w:r w:rsidRPr="006442FA">
              <w:t>Plan for plant in-service checks</w:t>
            </w:r>
          </w:p>
        </w:tc>
        <w:tc>
          <w:tcPr>
            <w:tcW w:w="900" w:type="dxa"/>
            <w:tcBorders>
              <w:top w:val="nil"/>
              <w:left w:val="nil"/>
              <w:bottom w:val="nil"/>
              <w:right w:val="nil"/>
            </w:tcBorders>
            <w:tcMar>
              <w:top w:w="0" w:type="dxa"/>
              <w:left w:w="62" w:type="dxa"/>
              <w:bottom w:w="0" w:type="dxa"/>
              <w:right w:w="62" w:type="dxa"/>
            </w:tcMar>
          </w:tcPr>
          <w:p w:rsidR="00000000" w:rsidP="006442FA">
            <w:pPr>
              <w:pStyle w:val="BodyText"/>
              <w:rPr>
                <w:lang w:val="en-NZ"/>
              </w:rPr>
            </w:pPr>
            <w:r w:rsidRPr="006442FA">
              <w:t>1.1</w:t>
            </w:r>
          </w:p>
        </w:tc>
        <w:tc>
          <w:tcPr>
            <w:tcW w:w="4860" w:type="dxa"/>
            <w:tcBorders>
              <w:top w:val="nil"/>
              <w:left w:val="nil"/>
              <w:bottom w:val="nil"/>
              <w:right w:val="nil"/>
            </w:tcBorders>
            <w:tcMar>
              <w:top w:w="0" w:type="dxa"/>
              <w:left w:w="62" w:type="dxa"/>
              <w:bottom w:w="0" w:type="dxa"/>
              <w:right w:w="62" w:type="dxa"/>
            </w:tcMar>
          </w:tcPr>
          <w:p w:rsidR="00000000" w:rsidP="006442FA">
            <w:pPr>
              <w:pStyle w:val="BodyText"/>
              <w:rPr>
                <w:lang w:val="en-NZ"/>
              </w:rPr>
            </w:pPr>
            <w:r w:rsidRPr="006442FA">
              <w:t>Safety issues are identified to comply</w:t>
            </w:r>
            <w:r w:rsidRPr="006442FA">
              <w:t xml:space="preserve"> with enterprise/site requirements</w:t>
            </w:r>
          </w:p>
        </w:tc>
      </w:tr>
      <w:tr w:rsidTr="00703AE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42FA">
            <w:pPr>
              <w:pStyle w:val="BodyText"/>
              <w:rPr>
                <w:lang w:val="en-NZ"/>
              </w:rPr>
            </w:pPr>
            <w:r w:rsidRPr="006442FA">
              <w:t>1.2</w:t>
            </w:r>
          </w:p>
        </w:tc>
        <w:tc>
          <w:tcPr>
            <w:tcW w:w="4860" w:type="dxa"/>
            <w:tcBorders>
              <w:top w:val="nil"/>
              <w:left w:val="nil"/>
              <w:bottom w:val="nil"/>
              <w:right w:val="nil"/>
            </w:tcBorders>
            <w:tcMar>
              <w:top w:w="0" w:type="dxa"/>
              <w:left w:w="62" w:type="dxa"/>
              <w:bottom w:w="0" w:type="dxa"/>
              <w:right w:w="62" w:type="dxa"/>
            </w:tcMar>
          </w:tcPr>
          <w:p w:rsidR="00000000" w:rsidP="006442FA">
            <w:pPr>
              <w:pStyle w:val="BodyText"/>
              <w:rPr>
                <w:lang w:val="en-NZ"/>
              </w:rPr>
            </w:pPr>
            <w:r w:rsidRPr="006442FA">
              <w:t>Work, plant and resource requirements are identified from relevant information, requests, work orders or equivalent and documentation.</w:t>
            </w:r>
          </w:p>
        </w:tc>
      </w:tr>
      <w:tr w:rsidTr="00703AE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42FA">
            <w:pPr>
              <w:pStyle w:val="BodyText"/>
              <w:rPr>
                <w:lang w:val="en-NZ"/>
              </w:rPr>
            </w:pPr>
            <w:r w:rsidRPr="006442FA">
              <w:t>1.3</w:t>
            </w:r>
          </w:p>
        </w:tc>
        <w:tc>
          <w:tcPr>
            <w:tcW w:w="4860" w:type="dxa"/>
            <w:tcBorders>
              <w:top w:val="nil"/>
              <w:left w:val="nil"/>
              <w:bottom w:val="nil"/>
              <w:right w:val="nil"/>
            </w:tcBorders>
            <w:tcMar>
              <w:top w:w="0" w:type="dxa"/>
              <w:left w:w="62" w:type="dxa"/>
              <w:bottom w:w="0" w:type="dxa"/>
              <w:right w:w="62" w:type="dxa"/>
            </w:tcMar>
          </w:tcPr>
          <w:p w:rsidR="00000000" w:rsidP="006442FA">
            <w:pPr>
              <w:pStyle w:val="BodyText"/>
              <w:rPr>
                <w:lang w:val="en-NZ"/>
              </w:rPr>
            </w:pPr>
            <w:r w:rsidRPr="006442FA">
              <w:t>Plant status and work requirements are clarified/confirmed with appropriate parties or by site inspection</w:t>
            </w:r>
          </w:p>
        </w:tc>
      </w:tr>
      <w:tr w:rsidTr="00703AE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42FA">
            <w:pPr>
              <w:pStyle w:val="BodyText"/>
              <w:rPr>
                <w:lang w:val="en-NZ"/>
              </w:rPr>
            </w:pPr>
            <w:r w:rsidRPr="006442FA">
              <w:t>1.4</w:t>
            </w:r>
          </w:p>
        </w:tc>
        <w:tc>
          <w:tcPr>
            <w:tcW w:w="4860" w:type="dxa"/>
            <w:tcBorders>
              <w:top w:val="nil"/>
              <w:left w:val="nil"/>
              <w:bottom w:val="nil"/>
              <w:right w:val="nil"/>
            </w:tcBorders>
            <w:tcMar>
              <w:top w:w="0" w:type="dxa"/>
              <w:left w:w="62" w:type="dxa"/>
              <w:bottom w:w="0" w:type="dxa"/>
              <w:right w:w="62" w:type="dxa"/>
            </w:tcMar>
          </w:tcPr>
          <w:p w:rsidR="00000000" w:rsidP="006442FA">
            <w:pPr>
              <w:pStyle w:val="BodyText"/>
              <w:rPr>
                <w:lang w:val="en-NZ"/>
              </w:rPr>
            </w:pPr>
            <w:r w:rsidRPr="006442FA">
              <w:t>Equipment is check for correct calibration, operation. correct size, type and quantity of materials/components are determined, obtained and ins</w:t>
            </w:r>
            <w:r w:rsidRPr="006442FA">
              <w:t>pected for compliance with the job specifications</w:t>
            </w:r>
          </w:p>
        </w:tc>
      </w:tr>
      <w:tr w:rsidTr="00703AE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42FA">
            <w:pPr>
              <w:pStyle w:val="BodyText"/>
              <w:rPr>
                <w:lang w:val="en-NZ"/>
              </w:rPr>
            </w:pPr>
            <w:r w:rsidRPr="006442FA">
              <w:t>1.5</w:t>
            </w:r>
          </w:p>
        </w:tc>
        <w:tc>
          <w:tcPr>
            <w:tcW w:w="4860" w:type="dxa"/>
            <w:tcBorders>
              <w:top w:val="nil"/>
              <w:left w:val="nil"/>
              <w:bottom w:val="nil"/>
              <w:right w:val="nil"/>
            </w:tcBorders>
            <w:tcMar>
              <w:top w:w="0" w:type="dxa"/>
              <w:left w:w="62" w:type="dxa"/>
              <w:bottom w:w="0" w:type="dxa"/>
              <w:right w:w="62" w:type="dxa"/>
            </w:tcMar>
          </w:tcPr>
          <w:p w:rsidR="00000000" w:rsidP="006442FA">
            <w:pPr>
              <w:pStyle w:val="BodyText"/>
              <w:rPr>
                <w:lang w:val="en-NZ"/>
              </w:rPr>
            </w:pPr>
            <w:r w:rsidRPr="006442FA">
              <w:t>Potential hazards are identified and prevention and/or control measures are selected in accordance with the work plan and site procedures</w:t>
            </w:r>
          </w:p>
        </w:tc>
      </w:tr>
      <w:tr w:rsidTr="00703AE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42FA">
            <w:pPr>
              <w:pStyle w:val="BodyText"/>
              <w:rPr>
                <w:lang w:val="en-NZ"/>
              </w:rPr>
            </w:pPr>
            <w:r w:rsidRPr="006442FA">
              <w:t>1.6</w:t>
            </w:r>
          </w:p>
        </w:tc>
        <w:tc>
          <w:tcPr>
            <w:tcW w:w="4860" w:type="dxa"/>
            <w:tcBorders>
              <w:top w:val="nil"/>
              <w:left w:val="nil"/>
              <w:bottom w:val="nil"/>
              <w:right w:val="nil"/>
            </w:tcBorders>
            <w:tcMar>
              <w:top w:w="0" w:type="dxa"/>
              <w:left w:w="62" w:type="dxa"/>
              <w:bottom w:w="0" w:type="dxa"/>
              <w:right w:w="62" w:type="dxa"/>
            </w:tcMar>
          </w:tcPr>
          <w:p w:rsidR="00000000" w:rsidP="006442FA">
            <w:pPr>
              <w:pStyle w:val="BodyText"/>
              <w:rPr>
                <w:lang w:val="en-NZ"/>
              </w:rPr>
            </w:pPr>
            <w:r w:rsidRPr="006442FA">
              <w:t>Pre access checks are carried out in accordance with enterprise and site requirements</w:t>
            </w:r>
          </w:p>
        </w:tc>
      </w:tr>
      <w:tr w:rsidTr="00703AE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42FA">
            <w:pPr>
              <w:pStyle w:val="BodyText"/>
              <w:rPr>
                <w:lang w:val="en-NZ"/>
              </w:rPr>
            </w:pPr>
            <w:r w:rsidRPr="006442FA">
              <w:t>1.7</w:t>
            </w:r>
          </w:p>
        </w:tc>
        <w:tc>
          <w:tcPr>
            <w:tcW w:w="4860" w:type="dxa"/>
            <w:tcBorders>
              <w:top w:val="nil"/>
              <w:left w:val="nil"/>
              <w:bottom w:val="nil"/>
              <w:right w:val="nil"/>
            </w:tcBorders>
            <w:tcMar>
              <w:top w:w="0" w:type="dxa"/>
              <w:left w:w="62" w:type="dxa"/>
              <w:bottom w:w="0" w:type="dxa"/>
              <w:right w:w="62" w:type="dxa"/>
            </w:tcMar>
          </w:tcPr>
          <w:p w:rsidR="00000000" w:rsidP="006442FA">
            <w:pPr>
              <w:pStyle w:val="BodyText"/>
              <w:rPr>
                <w:lang w:val="en-NZ"/>
              </w:rPr>
            </w:pPr>
            <w:r w:rsidRPr="006442FA">
              <w:t>Where appropriate, the teams and individuals roles and responsibilities within the team are identified and, where required, assist in the provision of the on-the-j</w:t>
            </w:r>
            <w:r w:rsidRPr="006442FA">
              <w:t xml:space="preserve">ob training </w:t>
            </w:r>
          </w:p>
        </w:tc>
      </w:tr>
      <w:tr w:rsidTr="00703AE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442FA">
            <w:pPr>
              <w:pStyle w:val="BodyText"/>
              <w:rPr>
                <w:lang w:val="en-NZ"/>
              </w:rPr>
            </w:pPr>
            <w:r w:rsidRPr="006442FA">
              <w:t>2</w:t>
            </w:r>
          </w:p>
        </w:tc>
        <w:tc>
          <w:tcPr>
            <w:tcW w:w="2296" w:type="dxa"/>
            <w:vMerge w:val="restart"/>
            <w:tcBorders>
              <w:top w:val="nil"/>
              <w:left w:val="nil"/>
              <w:bottom w:val="nil"/>
              <w:right w:val="nil"/>
            </w:tcBorders>
            <w:tcMar>
              <w:top w:w="0" w:type="dxa"/>
              <w:left w:w="62" w:type="dxa"/>
              <w:bottom w:w="0" w:type="dxa"/>
              <w:right w:w="62" w:type="dxa"/>
            </w:tcMar>
          </w:tcPr>
          <w:p w:rsidR="00000000" w:rsidP="006442FA">
            <w:pPr>
              <w:pStyle w:val="BodyText"/>
              <w:rPr>
                <w:lang w:val="en-NZ"/>
              </w:rPr>
            </w:pPr>
            <w:r w:rsidRPr="006442FA">
              <w:t>Carry out in-service mechanical checks</w:t>
            </w:r>
          </w:p>
        </w:tc>
        <w:tc>
          <w:tcPr>
            <w:tcW w:w="900" w:type="dxa"/>
            <w:tcBorders>
              <w:top w:val="nil"/>
              <w:left w:val="nil"/>
              <w:bottom w:val="nil"/>
              <w:right w:val="nil"/>
            </w:tcBorders>
            <w:tcMar>
              <w:top w:w="0" w:type="dxa"/>
              <w:left w:w="62" w:type="dxa"/>
              <w:bottom w:w="0" w:type="dxa"/>
              <w:right w:w="62" w:type="dxa"/>
            </w:tcMar>
          </w:tcPr>
          <w:p w:rsidR="00000000" w:rsidP="006442FA">
            <w:pPr>
              <w:pStyle w:val="BodyText"/>
              <w:rPr>
                <w:lang w:val="en-NZ"/>
              </w:rPr>
            </w:pPr>
            <w:r w:rsidRPr="006442FA">
              <w:t>2.1</w:t>
            </w:r>
          </w:p>
        </w:tc>
        <w:tc>
          <w:tcPr>
            <w:tcW w:w="4860" w:type="dxa"/>
            <w:tcBorders>
              <w:top w:val="nil"/>
              <w:left w:val="nil"/>
              <w:bottom w:val="nil"/>
              <w:right w:val="nil"/>
            </w:tcBorders>
            <w:tcMar>
              <w:top w:w="0" w:type="dxa"/>
              <w:left w:w="62" w:type="dxa"/>
              <w:bottom w:w="0" w:type="dxa"/>
              <w:right w:w="62" w:type="dxa"/>
            </w:tcMar>
          </w:tcPr>
          <w:p w:rsidR="00000000" w:rsidP="006442FA">
            <w:pPr>
              <w:pStyle w:val="BodyText"/>
              <w:rPr>
                <w:lang w:val="en-NZ"/>
              </w:rPr>
            </w:pPr>
            <w:r w:rsidRPr="006442FA">
              <w:t>Systems / plant is operated in accordance with enterprise/site and manufacturer operating procedures</w:t>
            </w:r>
          </w:p>
        </w:tc>
      </w:tr>
      <w:tr w:rsidTr="00703AE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42FA">
            <w:pPr>
              <w:pStyle w:val="BodyText"/>
              <w:rPr>
                <w:lang w:val="en-NZ"/>
              </w:rPr>
            </w:pPr>
            <w:r w:rsidRPr="006442FA">
              <w:t>2.2</w:t>
            </w:r>
          </w:p>
        </w:tc>
        <w:tc>
          <w:tcPr>
            <w:tcW w:w="4860" w:type="dxa"/>
            <w:tcBorders>
              <w:top w:val="nil"/>
              <w:left w:val="nil"/>
              <w:bottom w:val="nil"/>
              <w:right w:val="nil"/>
            </w:tcBorders>
            <w:tcMar>
              <w:top w:w="0" w:type="dxa"/>
              <w:left w:w="62" w:type="dxa"/>
              <w:bottom w:w="0" w:type="dxa"/>
              <w:right w:w="62" w:type="dxa"/>
            </w:tcMar>
          </w:tcPr>
          <w:p w:rsidR="00000000" w:rsidP="006442FA">
            <w:pPr>
              <w:pStyle w:val="BodyText"/>
              <w:rPr>
                <w:lang w:val="en-NZ"/>
              </w:rPr>
            </w:pPr>
            <w:r w:rsidRPr="006442FA">
              <w:t>in-service mechanical checks are done in conjunction with others involved in, or affected by, the work in accordance with the work plan</w:t>
            </w:r>
          </w:p>
        </w:tc>
      </w:tr>
      <w:tr w:rsidTr="00703AE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42FA">
            <w:pPr>
              <w:pStyle w:val="BodyText"/>
              <w:rPr>
                <w:lang w:val="en-NZ"/>
              </w:rPr>
            </w:pPr>
            <w:r w:rsidRPr="006442FA">
              <w:t>2.3</w:t>
            </w:r>
          </w:p>
        </w:tc>
        <w:tc>
          <w:tcPr>
            <w:tcW w:w="4860" w:type="dxa"/>
            <w:tcBorders>
              <w:top w:val="nil"/>
              <w:left w:val="nil"/>
              <w:bottom w:val="nil"/>
              <w:right w:val="nil"/>
            </w:tcBorders>
            <w:tcMar>
              <w:top w:w="0" w:type="dxa"/>
              <w:left w:w="62" w:type="dxa"/>
              <w:bottom w:w="0" w:type="dxa"/>
              <w:right w:w="62" w:type="dxa"/>
            </w:tcMar>
          </w:tcPr>
          <w:p w:rsidR="00000000" w:rsidP="006442FA">
            <w:pPr>
              <w:pStyle w:val="BodyText"/>
              <w:rPr>
                <w:lang w:val="en-NZ"/>
              </w:rPr>
            </w:pPr>
            <w:r w:rsidRPr="006442FA">
              <w:t>Plant checks are monitored and observed to detect deviations from normal operation</w:t>
            </w:r>
          </w:p>
        </w:tc>
      </w:tr>
      <w:tr w:rsidTr="00703AE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42FA">
            <w:pPr>
              <w:pStyle w:val="BodyText"/>
              <w:rPr>
                <w:lang w:val="en-NZ"/>
              </w:rPr>
            </w:pPr>
            <w:r w:rsidRPr="006442FA">
              <w:t>2.4</w:t>
            </w:r>
          </w:p>
        </w:tc>
        <w:tc>
          <w:tcPr>
            <w:tcW w:w="4860" w:type="dxa"/>
            <w:tcBorders>
              <w:top w:val="nil"/>
              <w:left w:val="nil"/>
              <w:bottom w:val="nil"/>
              <w:right w:val="nil"/>
            </w:tcBorders>
            <w:tcMar>
              <w:top w:w="0" w:type="dxa"/>
              <w:left w:w="62" w:type="dxa"/>
              <w:bottom w:w="0" w:type="dxa"/>
              <w:right w:w="62" w:type="dxa"/>
            </w:tcMar>
          </w:tcPr>
          <w:p w:rsidR="00000000" w:rsidP="006442FA">
            <w:pPr>
              <w:pStyle w:val="BodyText"/>
              <w:rPr>
                <w:lang w:val="en-NZ"/>
              </w:rPr>
            </w:pPr>
            <w:r w:rsidRPr="006442FA">
              <w:t>Corrective actions are taken to rectify abnormalities in accordance with manufacturer and enterprise/site procedures</w:t>
            </w:r>
          </w:p>
        </w:tc>
      </w:tr>
      <w:tr w:rsidTr="00703AE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42FA">
            <w:pPr>
              <w:pStyle w:val="BodyText"/>
              <w:rPr>
                <w:lang w:val="en-NZ"/>
              </w:rPr>
            </w:pPr>
            <w:r w:rsidRPr="006442FA">
              <w:t>2.5</w:t>
            </w:r>
          </w:p>
        </w:tc>
        <w:tc>
          <w:tcPr>
            <w:tcW w:w="4860" w:type="dxa"/>
            <w:tcBorders>
              <w:top w:val="nil"/>
              <w:left w:val="nil"/>
              <w:bottom w:val="nil"/>
              <w:right w:val="nil"/>
            </w:tcBorders>
            <w:tcMar>
              <w:top w:w="0" w:type="dxa"/>
              <w:left w:w="62" w:type="dxa"/>
              <w:bottom w:w="0" w:type="dxa"/>
              <w:right w:w="62" w:type="dxa"/>
            </w:tcMar>
          </w:tcPr>
          <w:p w:rsidR="00000000" w:rsidP="006442FA">
            <w:pPr>
              <w:pStyle w:val="BodyText"/>
              <w:rPr>
                <w:lang w:val="en-NZ"/>
              </w:rPr>
            </w:pPr>
            <w:r w:rsidRPr="006442FA">
              <w:t>In-service checks are performed in accordance with defined enterprise procedures.</w:t>
            </w:r>
          </w:p>
        </w:tc>
      </w:tr>
      <w:tr w:rsidTr="00703AE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42FA">
            <w:pPr>
              <w:pStyle w:val="BodyText"/>
              <w:rPr>
                <w:lang w:val="en-NZ"/>
              </w:rPr>
            </w:pPr>
            <w:r w:rsidRPr="006442FA">
              <w:t>2.6</w:t>
            </w:r>
          </w:p>
        </w:tc>
        <w:tc>
          <w:tcPr>
            <w:tcW w:w="4860" w:type="dxa"/>
            <w:tcBorders>
              <w:top w:val="nil"/>
              <w:left w:val="nil"/>
              <w:bottom w:val="nil"/>
              <w:right w:val="nil"/>
            </w:tcBorders>
            <w:tcMar>
              <w:top w:w="0" w:type="dxa"/>
              <w:left w:w="62" w:type="dxa"/>
              <w:bottom w:w="0" w:type="dxa"/>
              <w:right w:w="62" w:type="dxa"/>
            </w:tcMar>
          </w:tcPr>
          <w:p w:rsidR="00000000" w:rsidP="006442FA">
            <w:pPr>
              <w:pStyle w:val="BodyText"/>
              <w:rPr>
                <w:lang w:val="en-NZ"/>
              </w:rPr>
            </w:pPr>
            <w:r w:rsidRPr="006442FA">
              <w:t>System/plant integrity and personnel safety</w:t>
            </w:r>
            <w:r w:rsidRPr="006442FA">
              <w:t xml:space="preserve"> are maintained through consultation with appropriate personnel, and reference to plant, technical and operational documentation</w:t>
            </w:r>
          </w:p>
        </w:tc>
      </w:tr>
      <w:tr w:rsidTr="00703AE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442FA">
            <w:pPr>
              <w:pStyle w:val="BodyText"/>
              <w:rPr>
                <w:lang w:val="en-NZ"/>
              </w:rPr>
            </w:pPr>
            <w:r w:rsidRPr="006442FA">
              <w:t>3</w:t>
            </w:r>
          </w:p>
        </w:tc>
        <w:tc>
          <w:tcPr>
            <w:tcW w:w="2296" w:type="dxa"/>
            <w:tcBorders>
              <w:top w:val="nil"/>
              <w:left w:val="nil"/>
              <w:bottom w:val="nil"/>
              <w:right w:val="nil"/>
            </w:tcBorders>
            <w:tcMar>
              <w:top w:w="0" w:type="dxa"/>
              <w:left w:w="62" w:type="dxa"/>
              <w:bottom w:w="0" w:type="dxa"/>
              <w:right w:w="62" w:type="dxa"/>
            </w:tcMar>
          </w:tcPr>
          <w:p w:rsidR="00000000" w:rsidP="006442FA">
            <w:pPr>
              <w:pStyle w:val="BodyText"/>
              <w:rPr>
                <w:lang w:val="en-NZ"/>
              </w:rPr>
            </w:pPr>
            <w:r w:rsidRPr="006442FA">
              <w:t>Complete the work</w:t>
            </w:r>
          </w:p>
        </w:tc>
        <w:tc>
          <w:tcPr>
            <w:tcW w:w="900" w:type="dxa"/>
            <w:tcBorders>
              <w:top w:val="nil"/>
              <w:left w:val="nil"/>
              <w:bottom w:val="nil"/>
              <w:right w:val="nil"/>
            </w:tcBorders>
            <w:tcMar>
              <w:top w:w="0" w:type="dxa"/>
              <w:left w:w="62" w:type="dxa"/>
              <w:bottom w:w="0" w:type="dxa"/>
              <w:right w:w="62" w:type="dxa"/>
            </w:tcMar>
          </w:tcPr>
          <w:p w:rsidR="00000000" w:rsidP="006442FA">
            <w:pPr>
              <w:pStyle w:val="BodyText"/>
              <w:rPr>
                <w:lang w:val="en-NZ"/>
              </w:rPr>
            </w:pPr>
            <w:r w:rsidRPr="006442FA">
              <w:t>3.1</w:t>
            </w:r>
          </w:p>
        </w:tc>
        <w:tc>
          <w:tcPr>
            <w:tcW w:w="4860" w:type="dxa"/>
            <w:tcBorders>
              <w:top w:val="nil"/>
              <w:left w:val="nil"/>
              <w:bottom w:val="nil"/>
              <w:right w:val="nil"/>
            </w:tcBorders>
            <w:tcMar>
              <w:top w:w="0" w:type="dxa"/>
              <w:left w:w="62" w:type="dxa"/>
              <w:bottom w:w="0" w:type="dxa"/>
              <w:right w:w="62" w:type="dxa"/>
            </w:tcMar>
          </w:tcPr>
          <w:p w:rsidR="00000000" w:rsidP="006442FA">
            <w:pPr>
              <w:pStyle w:val="BodyText"/>
              <w:rPr>
                <w:lang w:val="en-NZ"/>
              </w:rPr>
            </w:pPr>
            <w:r w:rsidRPr="006442FA">
              <w:t xml:space="preserve">When checks are completed, control measures are returned to required operational status where appropriate. </w:t>
            </w:r>
          </w:p>
        </w:tc>
      </w:tr>
      <w:tr w:rsidTr="00703AE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42FA">
            <w:pPr>
              <w:pStyle w:val="BodyText"/>
              <w:rPr>
                <w:lang w:val="en-NZ"/>
              </w:rPr>
            </w:pPr>
            <w:r w:rsidRPr="006442FA">
              <w:t>3.2</w:t>
            </w:r>
          </w:p>
        </w:tc>
        <w:tc>
          <w:tcPr>
            <w:tcW w:w="4860" w:type="dxa"/>
            <w:tcBorders>
              <w:top w:val="nil"/>
              <w:left w:val="nil"/>
              <w:bottom w:val="nil"/>
              <w:right w:val="nil"/>
            </w:tcBorders>
            <w:tcMar>
              <w:top w:w="0" w:type="dxa"/>
              <w:left w:w="62" w:type="dxa"/>
              <w:bottom w:w="0" w:type="dxa"/>
              <w:right w:w="62" w:type="dxa"/>
            </w:tcMar>
          </w:tcPr>
          <w:p w:rsidR="00000000" w:rsidP="006442FA">
            <w:pPr>
              <w:pStyle w:val="BodyText"/>
              <w:rPr>
                <w:lang w:val="en-NZ"/>
              </w:rPr>
            </w:pPr>
            <w:r w:rsidRPr="006442FA">
              <w:t>Appropriate personnel are notified of the completion of work in accordance with enterprise/site procedures</w:t>
            </w:r>
          </w:p>
        </w:tc>
      </w:tr>
      <w:tr w:rsidTr="00703AE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42FA">
            <w:pPr>
              <w:pStyle w:val="BodyText"/>
              <w:rPr>
                <w:lang w:val="en-NZ"/>
              </w:rPr>
            </w:pPr>
            <w:r w:rsidRPr="006442FA">
              <w:t>3.3</w:t>
            </w:r>
          </w:p>
        </w:tc>
        <w:tc>
          <w:tcPr>
            <w:tcW w:w="4860" w:type="dxa"/>
            <w:tcBorders>
              <w:top w:val="nil"/>
              <w:left w:val="nil"/>
              <w:bottom w:val="nil"/>
              <w:right w:val="nil"/>
            </w:tcBorders>
            <w:tcMar>
              <w:top w:w="0" w:type="dxa"/>
              <w:left w:w="62" w:type="dxa"/>
              <w:bottom w:w="0" w:type="dxa"/>
              <w:right w:w="62" w:type="dxa"/>
            </w:tcMar>
          </w:tcPr>
          <w:p w:rsidR="00000000" w:rsidP="006442FA">
            <w:pPr>
              <w:pStyle w:val="BodyText"/>
              <w:rPr>
                <w:lang w:val="en-NZ"/>
              </w:rPr>
            </w:pPr>
            <w:r w:rsidRPr="006442FA">
              <w:t>Plant problems or abnormali</w:t>
            </w:r>
            <w:r w:rsidRPr="006442FA">
              <w:t>ties are reported and logged in accordance with enterprise/site procedures</w:t>
            </w:r>
          </w:p>
        </w:tc>
      </w:tr>
      <w:tr w:rsidTr="00703AE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42FA">
            <w:pPr>
              <w:pStyle w:val="BodyText"/>
              <w:rPr>
                <w:lang w:val="en-NZ"/>
              </w:rPr>
            </w:pPr>
            <w:r w:rsidRPr="006442FA">
              <w:t>3.4</w:t>
            </w:r>
          </w:p>
        </w:tc>
        <w:tc>
          <w:tcPr>
            <w:tcW w:w="4860" w:type="dxa"/>
            <w:tcBorders>
              <w:top w:val="nil"/>
              <w:left w:val="nil"/>
              <w:bottom w:val="nil"/>
              <w:right w:val="nil"/>
            </w:tcBorders>
            <w:tcMar>
              <w:top w:w="0" w:type="dxa"/>
              <w:left w:w="62" w:type="dxa"/>
              <w:bottom w:w="0" w:type="dxa"/>
              <w:right w:w="62" w:type="dxa"/>
            </w:tcMar>
          </w:tcPr>
          <w:p w:rsidR="00000000" w:rsidRPr="006442FA" w:rsidP="006442FA">
            <w:pPr>
              <w:pStyle w:val="BodyText"/>
            </w:pPr>
            <w:r w:rsidRPr="006442FA">
              <w:t>check results are interpreted and documented in accordance with enterprise/site procedures</w:t>
            </w:r>
          </w:p>
        </w:tc>
      </w:tr>
    </w:tbl>
    <w:p w:rsidR="00000000" w:rsidRPr="006442FA" w:rsidP="006442FA">
      <w:pPr>
        <w:pStyle w:val="BodyText"/>
      </w:pPr>
    </w:p>
    <w:p w:rsidR="00000000" w:rsidRPr="006442FA" w:rsidP="006442FA">
      <w:pPr>
        <w:pStyle w:val="AllowPageBreak"/>
      </w:pPr>
    </w:p>
    <w:p w:rsidR="00000000" w:rsidRPr="006442FA" w:rsidP="006442FA">
      <w:pPr>
        <w:pStyle w:val="Heading1"/>
      </w:pPr>
      <w:bookmarkStart w:id="9" w:name="O_475426"/>
      <w:bookmarkEnd w:id="9"/>
      <w:r w:rsidRPr="006442FA">
        <w:t>Required Skills and Knowledge</w:t>
      </w:r>
    </w:p>
    <w:tbl>
      <w:tblPr>
        <w:tblW w:w="0" w:type="auto"/>
        <w:tblLayout w:type="fixed"/>
        <w:tblCellMar>
          <w:left w:w="62" w:type="dxa"/>
          <w:right w:w="62" w:type="dxa"/>
        </w:tblCellMar>
        <w:tblLook w:val="0000"/>
      </w:tblPr>
      <w:tblGrid>
        <w:gridCol w:w="8460"/>
      </w:tblGrid>
      <w:tr w:rsidTr="00703AE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442FA">
            <w:pPr>
              <w:pStyle w:val="BodyText"/>
              <w:rPr>
                <w:lang w:val="en-NZ"/>
              </w:rPr>
            </w:pPr>
            <w:r w:rsidRPr="006442FA">
              <w:rPr>
                <w:rStyle w:val="SpecialBold"/>
              </w:rPr>
              <w:t>REQUIRED SKILLS AND KNOWLEDGE</w:t>
            </w:r>
          </w:p>
        </w:tc>
      </w:tr>
      <w:tr w:rsidTr="00703AEE">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6442FA" w:rsidP="006442FA">
            <w:pPr>
              <w:pStyle w:val="BodyText"/>
            </w:pPr>
            <w:r w:rsidRPr="006442FA">
              <w:rPr>
                <w:rStyle w:val="SpecialBold"/>
              </w:rPr>
              <w:t>8)</w:t>
            </w:r>
            <w:r w:rsidRPr="006442FA">
              <w:t xml:space="preserve"> This describes the essential skills and knowledge and their level, required for this unit.</w:t>
            </w:r>
          </w:p>
          <w:p w:rsidR="00000000" w:rsidRPr="006442FA" w:rsidP="006442FA">
            <w:pPr>
              <w:pStyle w:val="BodyText"/>
            </w:pPr>
            <w:r w:rsidRPr="006442FA">
              <w:t>Evidence must show that knowledge has been acquired of safe working practices and mechanical plant in-service operations checks.</w:t>
            </w:r>
          </w:p>
          <w:p w:rsidR="00000000" w:rsidRPr="006442FA" w:rsidP="006442FA">
            <w:pPr>
              <w:pStyle w:val="BodyText"/>
            </w:pPr>
            <w:r w:rsidRPr="006442FA">
              <w:t>All knowledge and skills detailed i</w:t>
            </w:r>
            <w:r w:rsidRPr="006442FA">
              <w:t>n this unit should be contextualised to current industry practices and technologies.</w:t>
            </w:r>
          </w:p>
          <w:p w:rsidR="00000000" w:rsidRPr="006442FA" w:rsidP="006442FA">
            <w:pPr>
              <w:pStyle w:val="BodyText"/>
            </w:pPr>
            <w:r w:rsidRPr="006442FA">
              <w:t>KS01-PO352B     Mechanical plant in-service operational checks  Evidence shall show an understanding of how to conduct operational checks on in-service mechanical plant to</w:t>
            </w:r>
            <w:r w:rsidRPr="006442FA">
              <w:t xml:space="preserve"> an extent indicated by the following aspects:</w:t>
            </w:r>
          </w:p>
          <w:p w:rsidR="00000000" w:rsidRPr="006442FA" w:rsidP="006442FA">
            <w:pPr>
              <w:pStyle w:val="BodyText"/>
            </w:pPr>
            <w:r w:rsidRPr="006442FA">
              <w:t>T1 Instruction sheets, including:</w:t>
            </w:r>
          </w:p>
          <w:p w:rsidR="00000000" w:rsidRPr="006442FA" w:rsidP="006442FA">
            <w:pPr>
              <w:pStyle w:val="ListBullet"/>
            </w:pPr>
            <w:r w:rsidRPr="006442FA">
              <w:t>Enterprise, state or national standards</w:t>
            </w:r>
          </w:p>
          <w:p w:rsidR="00000000" w:rsidRPr="006442FA" w:rsidP="006442FA">
            <w:pPr>
              <w:pStyle w:val="ListBullet"/>
            </w:pPr>
            <w:r w:rsidRPr="006442FA">
              <w:t>Enterprise-specific work instructions or job sheets</w:t>
            </w:r>
          </w:p>
          <w:p w:rsidR="00000000" w:rsidRPr="006442FA" w:rsidP="006442FA">
            <w:pPr>
              <w:pStyle w:val="ListBullet"/>
            </w:pPr>
            <w:r w:rsidRPr="006442FA">
              <w:t>Manufacturers’ operating instructions and manuals</w:t>
            </w:r>
          </w:p>
          <w:p w:rsidR="00000000" w:rsidRPr="006442FA" w:rsidP="006442FA">
            <w:pPr>
              <w:pStyle w:val="ListBullet"/>
            </w:pPr>
            <w:r w:rsidRPr="006442FA">
              <w:t>Plant drawings</w:t>
            </w:r>
          </w:p>
          <w:p w:rsidR="00000000" w:rsidRPr="006442FA" w:rsidP="006442FA">
            <w:pPr>
              <w:pStyle w:val="ListBullet"/>
            </w:pPr>
            <w:r w:rsidRPr="006442FA">
              <w:t>Equipment checklists</w:t>
            </w:r>
          </w:p>
          <w:p w:rsidR="00000000" w:rsidRPr="006442FA" w:rsidP="006442FA">
            <w:pPr>
              <w:pStyle w:val="BodyText"/>
            </w:pPr>
            <w:r w:rsidRPr="006442FA">
              <w:t>T2 Perform inspection of plant equipment associated with electricity generating plants by use of sight, sound and smell.</w:t>
            </w:r>
          </w:p>
          <w:p w:rsidR="00000000" w:rsidRPr="006442FA" w:rsidP="006442FA">
            <w:pPr>
              <w:pStyle w:val="BodyText"/>
            </w:pPr>
            <w:r w:rsidRPr="006442FA">
              <w:t>Types of equipment includes:</w:t>
            </w:r>
          </w:p>
          <w:p w:rsidR="00000000" w:rsidRPr="006442FA" w:rsidP="006442FA">
            <w:pPr>
              <w:pStyle w:val="BodyText"/>
            </w:pPr>
            <w:r w:rsidRPr="006442FA">
              <w:t>i.</w:t>
            </w:r>
            <w:r w:rsidRPr="006442FA">
              <w:tab/>
              <w:t>pressure vessels</w:t>
            </w:r>
          </w:p>
          <w:p w:rsidR="00000000" w:rsidRPr="006442FA" w:rsidP="006442FA">
            <w:pPr>
              <w:pStyle w:val="BodyText"/>
            </w:pPr>
            <w:r w:rsidRPr="006442FA">
              <w:t>ii.</w:t>
            </w:r>
            <w:r w:rsidRPr="006442FA">
              <w:tab/>
              <w:t>fans</w:t>
            </w:r>
          </w:p>
          <w:p w:rsidR="00000000" w:rsidRPr="006442FA" w:rsidP="006442FA">
            <w:pPr>
              <w:pStyle w:val="BodyText"/>
            </w:pPr>
            <w:r w:rsidRPr="006442FA">
              <w:t>iii.</w:t>
            </w:r>
            <w:r w:rsidRPr="006442FA">
              <w:tab/>
              <w:t>pumps</w:t>
            </w:r>
          </w:p>
          <w:p w:rsidR="00000000" w:rsidRPr="006442FA" w:rsidP="006442FA">
            <w:pPr>
              <w:pStyle w:val="BodyText"/>
            </w:pPr>
            <w:r w:rsidRPr="006442FA">
              <w:t>iv.</w:t>
            </w:r>
            <w:r w:rsidRPr="006442FA">
              <w:tab/>
              <w:t>pipe work</w:t>
            </w:r>
          </w:p>
          <w:p w:rsidR="00000000" w:rsidRPr="006442FA" w:rsidP="006442FA">
            <w:pPr>
              <w:pStyle w:val="BodyText"/>
            </w:pPr>
            <w:r w:rsidRPr="006442FA">
              <w:t>v.</w:t>
            </w:r>
            <w:r w:rsidRPr="006442FA">
              <w:tab/>
              <w:t>valves and fittings</w:t>
            </w:r>
          </w:p>
          <w:p w:rsidR="00000000" w:rsidRPr="006442FA" w:rsidP="006442FA">
            <w:pPr>
              <w:pStyle w:val="BodyText"/>
            </w:pPr>
            <w:r w:rsidRPr="006442FA">
              <w:t>vi.</w:t>
            </w:r>
            <w:r w:rsidRPr="006442FA">
              <w:tab/>
              <w:t>wind</w:t>
            </w:r>
            <w:r w:rsidRPr="006442FA">
              <w:t xml:space="preserve"> turbine hydraulic systems</w:t>
            </w:r>
          </w:p>
          <w:p w:rsidR="00000000" w:rsidRPr="006442FA" w:rsidP="006442FA">
            <w:pPr>
              <w:pStyle w:val="BodyText"/>
            </w:pPr>
            <w:r w:rsidRPr="006442FA">
              <w:t>vii.</w:t>
            </w:r>
            <w:r w:rsidRPr="006442FA">
              <w:tab/>
              <w:t>chemical and water treatment processes</w:t>
            </w:r>
          </w:p>
          <w:p w:rsidR="00000000" w:rsidRPr="006442FA" w:rsidP="006442FA">
            <w:pPr>
              <w:pStyle w:val="BodyText"/>
            </w:pPr>
            <w:r w:rsidRPr="006442FA">
              <w:t>viii.</w:t>
            </w:r>
            <w:r w:rsidRPr="006442FA">
              <w:tab/>
              <w:t>pneumatic air systems</w:t>
            </w:r>
          </w:p>
          <w:p w:rsidR="00000000" w:rsidRPr="006442FA" w:rsidP="006442FA">
            <w:pPr>
              <w:pStyle w:val="BodyText"/>
            </w:pPr>
            <w:r w:rsidRPr="006442FA">
              <w:t>ix.</w:t>
            </w:r>
            <w:r w:rsidRPr="006442FA">
              <w:tab/>
              <w:t>water cooling mechanical equipment</w:t>
            </w:r>
          </w:p>
          <w:p w:rsidR="00000000" w:rsidRPr="006442FA" w:rsidP="006442FA">
            <w:pPr>
              <w:pStyle w:val="BodyText"/>
            </w:pPr>
            <w:r w:rsidRPr="006442FA">
              <w:t>x.</w:t>
            </w:r>
            <w:r w:rsidRPr="006442FA">
              <w:tab/>
              <w:t>heat exchangers</w:t>
            </w:r>
          </w:p>
          <w:p w:rsidR="00000000" w:rsidRPr="006442FA" w:rsidP="006442FA">
            <w:pPr>
              <w:pStyle w:val="BodyText"/>
            </w:pPr>
            <w:r w:rsidRPr="006442FA">
              <w:t>xi.</w:t>
            </w:r>
            <w:r w:rsidRPr="006442FA">
              <w:tab/>
              <w:t>induced draft fan mechanical equipment</w:t>
            </w:r>
          </w:p>
          <w:p w:rsidR="00000000" w:rsidRPr="006442FA" w:rsidP="006442FA">
            <w:pPr>
              <w:pStyle w:val="BodyText"/>
            </w:pPr>
            <w:r w:rsidRPr="006442FA">
              <w:t>xii.</w:t>
            </w:r>
            <w:r w:rsidRPr="006442FA">
              <w:tab/>
              <w:t>fuel delivery system</w:t>
            </w:r>
          </w:p>
          <w:p w:rsidR="00000000" w:rsidRPr="006442FA" w:rsidP="006442FA">
            <w:pPr>
              <w:pStyle w:val="BodyText"/>
            </w:pPr>
            <w:r w:rsidRPr="006442FA">
              <w:t>Checks include:</w:t>
            </w:r>
          </w:p>
          <w:p w:rsidR="00000000" w:rsidRPr="006442FA" w:rsidP="006442FA">
            <w:pPr>
              <w:pStyle w:val="BodyText"/>
            </w:pPr>
            <w:r w:rsidRPr="006442FA">
              <w:t>i.</w:t>
            </w:r>
            <w:r w:rsidRPr="006442FA">
              <w:tab/>
            </w:r>
            <w:r w:rsidRPr="006442FA">
              <w:t>fault finding</w:t>
            </w:r>
          </w:p>
          <w:p w:rsidR="00000000" w:rsidRPr="006442FA" w:rsidP="006442FA">
            <w:pPr>
              <w:pStyle w:val="BodyText"/>
            </w:pPr>
            <w:r w:rsidRPr="006442FA">
              <w:t>ii.</w:t>
            </w:r>
            <w:r w:rsidRPr="006442FA">
              <w:tab/>
              <w:t>minor performance checking and testing</w:t>
            </w:r>
          </w:p>
          <w:p w:rsidR="00000000" w:rsidRPr="006442FA" w:rsidP="006442FA">
            <w:pPr>
              <w:pStyle w:val="BodyText"/>
            </w:pPr>
            <w:r w:rsidRPr="006442FA">
              <w:t>iii.</w:t>
            </w:r>
            <w:r w:rsidRPr="006442FA">
              <w:tab/>
              <w:t>general condition</w:t>
            </w:r>
          </w:p>
          <w:p w:rsidR="00000000" w:rsidRPr="006442FA" w:rsidP="006442FA">
            <w:pPr>
              <w:pStyle w:val="BodyText"/>
            </w:pPr>
            <w:r w:rsidRPr="006442FA">
              <w:t>iv.</w:t>
            </w:r>
            <w:r w:rsidRPr="006442FA">
              <w:tab/>
              <w:t>corrosion</w:t>
            </w:r>
          </w:p>
          <w:p w:rsidR="00000000" w:rsidRPr="006442FA" w:rsidP="006442FA">
            <w:pPr>
              <w:pStyle w:val="BodyText"/>
            </w:pPr>
            <w:r w:rsidRPr="006442FA">
              <w:t>v.</w:t>
            </w:r>
            <w:r w:rsidRPr="006442FA">
              <w:tab/>
              <w:t>correct positioning and settings</w:t>
            </w:r>
          </w:p>
          <w:p w:rsidR="00000000" w:rsidRPr="006442FA" w:rsidP="006442FA">
            <w:pPr>
              <w:pStyle w:val="BodyText"/>
            </w:pPr>
            <w:r w:rsidRPr="006442FA">
              <w:t>vi.</w:t>
            </w:r>
            <w:r w:rsidRPr="006442FA">
              <w:tab/>
              <w:t>leaks</w:t>
            </w:r>
          </w:p>
          <w:p w:rsidR="00000000" w:rsidRPr="006442FA" w:rsidP="006442FA">
            <w:pPr>
              <w:pStyle w:val="ListBullet2"/>
            </w:pPr>
            <w:r w:rsidRPr="006442FA">
              <w:t>water</w:t>
            </w:r>
          </w:p>
          <w:p w:rsidR="00000000" w:rsidRPr="006442FA" w:rsidP="006442FA">
            <w:pPr>
              <w:pStyle w:val="ListBullet2"/>
            </w:pPr>
            <w:r w:rsidRPr="006442FA">
              <w:t>steam</w:t>
            </w:r>
          </w:p>
          <w:p w:rsidR="00000000" w:rsidRPr="006442FA" w:rsidP="006442FA">
            <w:pPr>
              <w:pStyle w:val="ListBullet2"/>
            </w:pPr>
            <w:r w:rsidRPr="006442FA">
              <w:t>oil</w:t>
            </w:r>
          </w:p>
          <w:p w:rsidR="00000000" w:rsidRPr="006442FA" w:rsidP="006442FA">
            <w:pPr>
              <w:pStyle w:val="ListBullet2"/>
            </w:pPr>
            <w:r w:rsidRPr="006442FA">
              <w:t>air</w:t>
            </w:r>
          </w:p>
          <w:p w:rsidR="00000000" w:rsidRPr="006442FA" w:rsidP="006442FA">
            <w:pPr>
              <w:pStyle w:val="BodyText"/>
            </w:pPr>
            <w:r w:rsidRPr="006442FA">
              <w:t>vii.</w:t>
            </w:r>
            <w:r w:rsidRPr="006442FA">
              <w:tab/>
              <w:t>oil and lubrication requirements</w:t>
            </w:r>
          </w:p>
          <w:p w:rsidR="00000000" w:rsidRPr="006442FA" w:rsidP="006442FA">
            <w:pPr>
              <w:pStyle w:val="BodyText"/>
            </w:pPr>
            <w:r w:rsidRPr="006442FA">
              <w:t>viii.</w:t>
            </w:r>
            <w:r w:rsidRPr="006442FA">
              <w:tab/>
              <w:t>noise and vibration</w:t>
            </w:r>
          </w:p>
          <w:p w:rsidR="00000000" w:rsidRPr="006442FA" w:rsidP="006442FA">
            <w:pPr>
              <w:pStyle w:val="BodyText"/>
            </w:pPr>
            <w:r w:rsidRPr="006442FA">
              <w:t>ix.</w:t>
            </w:r>
            <w:r w:rsidRPr="006442FA">
              <w:tab/>
              <w:t>odours</w:t>
            </w:r>
          </w:p>
          <w:p w:rsidR="00000000" w:rsidRPr="006442FA" w:rsidP="006442FA">
            <w:pPr>
              <w:pStyle w:val="BodyText"/>
            </w:pPr>
            <w:r w:rsidRPr="006442FA">
              <w:t>T3 Assess the operat</w:t>
            </w:r>
            <w:r w:rsidRPr="006442FA">
              <w:t>ion of electrical plant by use of a range of indicators, including:</w:t>
            </w:r>
          </w:p>
          <w:p w:rsidR="00000000" w:rsidRPr="006442FA" w:rsidP="006442FA">
            <w:pPr>
              <w:pStyle w:val="BodyText"/>
            </w:pPr>
            <w:r w:rsidRPr="006442FA">
              <w:t>i.</w:t>
            </w:r>
            <w:r w:rsidRPr="006442FA">
              <w:tab/>
              <w:t>Analogue displays</w:t>
            </w:r>
          </w:p>
          <w:p w:rsidR="00000000" w:rsidRPr="006442FA" w:rsidP="006442FA">
            <w:pPr>
              <w:pStyle w:val="BodyText"/>
            </w:pPr>
            <w:r w:rsidRPr="006442FA">
              <w:t>ii.</w:t>
            </w:r>
            <w:r w:rsidRPr="006442FA">
              <w:tab/>
              <w:t>Digital displays</w:t>
            </w:r>
          </w:p>
          <w:p w:rsidR="00000000" w:rsidRPr="006442FA" w:rsidP="006442FA">
            <w:pPr>
              <w:pStyle w:val="BodyText"/>
            </w:pPr>
            <w:r w:rsidRPr="006442FA">
              <w:t>iii.</w:t>
            </w:r>
            <w:r w:rsidRPr="006442FA">
              <w:tab/>
              <w:t>Fluid flows</w:t>
            </w:r>
          </w:p>
          <w:p w:rsidR="00000000" w:rsidRPr="006442FA" w:rsidP="006442FA">
            <w:pPr>
              <w:pStyle w:val="BodyText"/>
            </w:pPr>
            <w:r w:rsidRPr="006442FA">
              <w:t>iv.</w:t>
            </w:r>
            <w:r w:rsidRPr="006442FA">
              <w:tab/>
              <w:t>Protection settings</w:t>
            </w:r>
          </w:p>
          <w:p w:rsidR="00000000" w:rsidRPr="006442FA" w:rsidP="006442FA">
            <w:pPr>
              <w:pStyle w:val="BodyText"/>
            </w:pPr>
            <w:r w:rsidRPr="006442FA">
              <w:t>v.</w:t>
            </w:r>
            <w:r w:rsidRPr="006442FA">
              <w:tab/>
              <w:t>Load capabilities</w:t>
            </w:r>
          </w:p>
        </w:tc>
      </w:tr>
    </w:tbl>
    <w:p w:rsidR="00000000" w:rsidRPr="006442FA" w:rsidP="006442FA">
      <w:pPr>
        <w:pStyle w:val="BodyText"/>
      </w:pPr>
    </w:p>
    <w:p w:rsidR="00000000" w:rsidRPr="006442FA" w:rsidP="006442FA">
      <w:pPr>
        <w:pStyle w:val="AllowPageBreak"/>
      </w:pPr>
    </w:p>
    <w:p w:rsidR="00000000" w:rsidRPr="006442FA" w:rsidP="006442FA">
      <w:pPr>
        <w:pStyle w:val="Heading1"/>
      </w:pPr>
      <w:bookmarkStart w:id="10" w:name="O_475421"/>
      <w:bookmarkEnd w:id="10"/>
      <w:r w:rsidRPr="006442FA">
        <w:t>Evidence Guide</w:t>
      </w:r>
    </w:p>
    <w:tbl>
      <w:tblPr>
        <w:tblW w:w="0" w:type="auto"/>
        <w:tblLayout w:type="fixed"/>
        <w:tblCellMar>
          <w:left w:w="62" w:type="dxa"/>
          <w:right w:w="62" w:type="dxa"/>
        </w:tblCellMar>
        <w:tblLook w:val="0000"/>
      </w:tblPr>
      <w:tblGrid>
        <w:gridCol w:w="8460"/>
      </w:tblGrid>
      <w:tr w:rsidTr="00703AE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442FA">
            <w:pPr>
              <w:pStyle w:val="BodyText"/>
              <w:rPr>
                <w:lang w:val="en-NZ"/>
              </w:rPr>
            </w:pPr>
            <w:r w:rsidRPr="006442FA">
              <w:rPr>
                <w:rStyle w:val="SpecialBold"/>
              </w:rPr>
              <w:t>EVIDENCE GUIDE</w:t>
            </w:r>
          </w:p>
        </w:tc>
      </w:tr>
      <w:tr w:rsidTr="00703AE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442FA" w:rsidP="006442FA">
            <w:pPr>
              <w:pStyle w:val="BodyText"/>
            </w:pPr>
            <w:r w:rsidRPr="006442FA">
              <w:rPr>
                <w:rStyle w:val="SpecialBold"/>
              </w:rPr>
              <w:t>9)</w:t>
            </w:r>
            <w:r w:rsidRPr="006442FA">
              <w:t xml:space="preserve"> This provides essential advice for assessment of the unit of competency and must be read in conjunction with the Performance Criteria and the Range Statement of the unit and the Training Package Assessment Guidelines.</w:t>
            </w:r>
          </w:p>
          <w:p w:rsidR="00000000" w:rsidRPr="006442FA" w:rsidP="006442FA">
            <w:pPr>
              <w:pStyle w:val="BodyText"/>
            </w:pPr>
            <w:r w:rsidRPr="006442FA">
              <w:t xml:space="preserve">The Evidence Guide forms an integral </w:t>
            </w:r>
            <w:r w:rsidRPr="006442FA">
              <w:t>part of this Competency Standard Unit and shall be used in conjunction with all components parts of this unit and, performed in accordance with the Assessment Guidelines of this Training Package.</w:t>
            </w:r>
          </w:p>
        </w:tc>
      </w:tr>
    </w:tbl>
    <w:p w:rsidR="00000000" w:rsidRPr="006442FA" w:rsidP="006442FA">
      <w:pPr>
        <w:pStyle w:val="BodyText"/>
      </w:pPr>
    </w:p>
    <w:tbl>
      <w:tblPr>
        <w:tblW w:w="0" w:type="auto"/>
        <w:tblLayout w:type="fixed"/>
        <w:tblCellMar>
          <w:left w:w="62" w:type="dxa"/>
          <w:right w:w="62" w:type="dxa"/>
        </w:tblCellMar>
        <w:tblLook w:val="0000"/>
      </w:tblPr>
      <w:tblGrid>
        <w:gridCol w:w="1890"/>
        <w:gridCol w:w="6570"/>
      </w:tblGrid>
      <w:tr w:rsidTr="00703AE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442FA" w:rsidP="006442FA">
            <w:pPr>
              <w:pStyle w:val="BodyText"/>
            </w:pPr>
            <w:r w:rsidRPr="006442FA">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6442FA">
            <w:pPr>
              <w:pStyle w:val="BodyText"/>
              <w:rPr>
                <w:lang w:val="en-NZ"/>
              </w:rPr>
            </w:pPr>
            <w:r w:rsidRPr="006442FA">
              <w:rPr>
                <w:rStyle w:val="SpecialBold"/>
              </w:rPr>
              <w:t>9.1)</w:t>
            </w:r>
          </w:p>
        </w:tc>
      </w:tr>
      <w:tr w:rsidTr="00703AE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442FA" w:rsidP="006442FA">
            <w:pPr>
              <w:pStyle w:val="BodyText"/>
            </w:pPr>
            <w:r w:rsidRPr="006442FA">
              <w:t>Longitude competency development approaches to assessment, such as Profiling, require data to be reliably gathered in a form that can be consistently interpreted over time. This approach is best utilised in Apprenticeship programs and reduces assessment in</w:t>
            </w:r>
            <w:r w:rsidRPr="006442FA">
              <w:t>tervention. It is the Industry’s preferred model for apprenticeships. However, where summative (or final) assessment is used it is to include the application of the competency in the normal work environment or, at a minimum, the application of the competen</w:t>
            </w:r>
            <w:r w:rsidRPr="006442FA">
              <w:t>cy in a realistically simulated work environment. It is recognised that, in some circumstances, assessment in part or full can occur outside the workplace. However, it must be in accord with Industry and, Regulatory policy in this regard.</w:t>
            </w:r>
          </w:p>
          <w:p w:rsidR="00000000" w:rsidRPr="006442FA" w:rsidP="006442FA">
            <w:pPr>
              <w:pStyle w:val="BodyText"/>
            </w:pPr>
            <w:r w:rsidRPr="006442FA">
              <w:t>Methods chosen fo</w:t>
            </w:r>
            <w:r w:rsidRPr="006442FA">
              <w:t>r a particular assessment will be influenced by various factors. These include the extent of the assessment, the most effective locations for the assessment activities to take place, access to physical resources, additional safety measures that may be requ</w:t>
            </w:r>
            <w:r w:rsidRPr="006442FA">
              <w:t>ired and the critical nature of the competencies being assessed.</w:t>
            </w:r>
          </w:p>
          <w:p w:rsidR="00000000" w:rsidRPr="006442FA" w:rsidP="006442FA">
            <w:pPr>
              <w:pStyle w:val="BodyText"/>
            </w:pPr>
            <w:r w:rsidRPr="006442FA">
              <w:t>The critical safety nature of working with electricity, electrical equipment, gas or any other hazardous substance/material carries risk in deeming a person competent. Hence, sources of evide</w:t>
            </w:r>
            <w:r w:rsidRPr="006442FA">
              <w:t>nce need to be ‘rich’ in nature so as to minimise error in judgment.</w:t>
            </w:r>
          </w:p>
          <w:p w:rsidR="00000000" w:rsidRPr="006442FA" w:rsidP="006442FA">
            <w:pPr>
              <w:pStyle w:val="BodyText"/>
            </w:pPr>
            <w:r w:rsidRPr="006442FA">
              <w:t>Activities associated with normal every day work have a bearing on the decision as to how much and how detailed the data gathered will contribute to its ‘richness’. Some skills are more c</w:t>
            </w:r>
            <w:r w:rsidRPr="006442FA">
              <w:t>ritical to safety and operational requirements while the same skills may be more or less frequently practised. These points are raised for the assessors to consider when choosing an assessment method and developing assessment instruments. Sample assessment</w:t>
            </w:r>
            <w:r w:rsidRPr="006442FA">
              <w:t xml:space="preserve"> instruments are included for Assessors in the Assessment Guidelines of this Training Package.</w:t>
            </w:r>
          </w:p>
        </w:tc>
      </w:tr>
    </w:tbl>
    <w:p w:rsidR="00000000" w:rsidRPr="006442FA" w:rsidP="006442FA">
      <w:pPr>
        <w:pStyle w:val="BodyText"/>
      </w:pPr>
    </w:p>
    <w:tbl>
      <w:tblPr>
        <w:tblW w:w="0" w:type="auto"/>
        <w:tblLayout w:type="fixed"/>
        <w:tblCellMar>
          <w:left w:w="62" w:type="dxa"/>
          <w:right w:w="62" w:type="dxa"/>
        </w:tblCellMar>
        <w:tblLook w:val="0000"/>
      </w:tblPr>
      <w:tblGrid>
        <w:gridCol w:w="1890"/>
        <w:gridCol w:w="6570"/>
      </w:tblGrid>
      <w:tr w:rsidTr="00703AE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442FA" w:rsidP="006442FA">
            <w:pPr>
              <w:pStyle w:val="BodyText"/>
            </w:pPr>
            <w:r w:rsidRPr="006442FA">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6442FA">
            <w:pPr>
              <w:pStyle w:val="BodyText"/>
              <w:rPr>
                <w:lang w:val="en-NZ"/>
              </w:rPr>
            </w:pPr>
            <w:r w:rsidRPr="006442FA">
              <w:rPr>
                <w:rStyle w:val="SpecialBold"/>
              </w:rPr>
              <w:t>9.2)</w:t>
            </w:r>
          </w:p>
        </w:tc>
      </w:tr>
      <w:tr w:rsidTr="00703AE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442FA" w:rsidP="006442FA">
            <w:pPr>
              <w:pStyle w:val="BodyText"/>
            </w:pPr>
            <w:r w:rsidRPr="006442FA">
              <w:t>Before the critical aspects of evidence are considered all pre-requisites s</w:t>
            </w:r>
            <w:r w:rsidRPr="006442FA">
              <w:t>hall be met.</w:t>
            </w:r>
          </w:p>
          <w:p w:rsidR="00000000" w:rsidRPr="006442FA" w:rsidP="006442FA">
            <w:pPr>
              <w:pStyle w:val="BodyText"/>
            </w:pPr>
            <w:r w:rsidRPr="006442FA">
              <w:t>Evidence for competence in this unit shall be considered holistically.  Each element and associated Performance Criteria shall be demonstrated on at least two occasions in accordance with the “Assessment Guidelines – UEP12”.  Evidence shall al</w:t>
            </w:r>
            <w:r w:rsidRPr="006442FA">
              <w:t>so comprise:</w:t>
            </w:r>
          </w:p>
          <w:p w:rsidR="00000000" w:rsidRPr="006442FA" w:rsidP="006442FA">
            <w:pPr>
              <w:pStyle w:val="ListBullet"/>
            </w:pPr>
            <w:r w:rsidRPr="006442FA">
              <w:t>A representative body of work performance demonstrated within the timeframes typically expected of the discipline, work function and industrial environment. In particular this shall incorporate evidence that shows a candidate is able to:</w:t>
            </w:r>
          </w:p>
          <w:p w:rsidR="00000000" w:rsidRPr="006442FA" w:rsidP="006442FA">
            <w:pPr>
              <w:pStyle w:val="ListBullet2"/>
            </w:pPr>
            <w:r w:rsidRPr="006442FA">
              <w:t>Implement Occupational Health and Safety workplace procedures and practices including the use of risk control measures as specified in the Performance Criteria and Range Statement</w:t>
            </w:r>
          </w:p>
          <w:p w:rsidR="00000000" w:rsidRPr="006442FA" w:rsidP="006442FA">
            <w:pPr>
              <w:pStyle w:val="ListBullet2"/>
            </w:pPr>
            <w:r w:rsidRPr="006442FA">
              <w:t>Apply sustainable energy principles and practices as specified in the Perfor</w:t>
            </w:r>
            <w:r w:rsidRPr="006442FA">
              <w:t>mance Criteria and Range Statement</w:t>
            </w:r>
          </w:p>
          <w:p w:rsidR="00000000" w:rsidRPr="006442FA" w:rsidP="006442FA">
            <w:pPr>
              <w:pStyle w:val="ListBullet2"/>
            </w:pPr>
            <w:r w:rsidRPr="006442FA">
              <w:t>Demonstrate an understanding of the essential knowledge and associated skills as described in 6) Essential Knowledge and Associated Skills of this unit</w:t>
            </w:r>
          </w:p>
          <w:p w:rsidR="00000000" w:rsidRPr="006442FA" w:rsidP="006442FA">
            <w:pPr>
              <w:pStyle w:val="ListBullet2"/>
            </w:pPr>
            <w:r w:rsidRPr="006442FA">
              <w:t>Demonstrate an appropriate level of employability skills</w:t>
            </w:r>
          </w:p>
          <w:p w:rsidR="00000000" w:rsidRPr="006442FA" w:rsidP="006442FA">
            <w:pPr>
              <w:pStyle w:val="ListBullet2"/>
            </w:pPr>
            <w:r w:rsidRPr="006442FA">
              <w:t>Conduct work</w:t>
            </w:r>
            <w:r w:rsidRPr="006442FA">
              <w:t xml:space="preserve"> observing the relevant Anti Discrimination legislation, regulations, polices and workplace procedures</w:t>
            </w:r>
          </w:p>
          <w:p w:rsidR="00000000" w:rsidRPr="006442FA" w:rsidP="006442FA">
            <w:pPr>
              <w:pStyle w:val="ListBullet"/>
            </w:pPr>
            <w:r w:rsidRPr="006442FA">
              <w:t>Demonstrated performance across a representative range of contexts from the prescribed items below:</w:t>
            </w:r>
          </w:p>
          <w:p w:rsidR="00000000" w:rsidRPr="006442FA" w:rsidP="006442FA">
            <w:pPr>
              <w:pStyle w:val="ListBullet2"/>
            </w:pPr>
            <w:r w:rsidRPr="006442FA">
              <w:t xml:space="preserve">Knowledge and application of relevant sections of: </w:t>
            </w:r>
            <w:r w:rsidRPr="006442FA">
              <w:t>Occupational Health and Safety legislation; Statutory legislation; Enterprise/site safety procedures; Enterprise/site emergency procedures</w:t>
            </w:r>
          </w:p>
          <w:p w:rsidR="00000000" w:rsidRPr="006442FA" w:rsidP="006442FA">
            <w:pPr>
              <w:pStyle w:val="ListBullet2"/>
            </w:pPr>
            <w:r w:rsidRPr="006442FA">
              <w:t>Dealing with an unplanned event by drawing on essential knowledge and skills to provide appropriate solutions incorpo</w:t>
            </w:r>
            <w:r w:rsidRPr="006442FA">
              <w:t>rated in the holistic assessment with the above listed items</w:t>
            </w:r>
          </w:p>
        </w:tc>
      </w:tr>
    </w:tbl>
    <w:p w:rsidR="00000000" w:rsidRPr="006442FA" w:rsidP="006442FA">
      <w:pPr>
        <w:pStyle w:val="BodyText"/>
      </w:pPr>
    </w:p>
    <w:tbl>
      <w:tblPr>
        <w:tblW w:w="0" w:type="auto"/>
        <w:tblLayout w:type="fixed"/>
        <w:tblCellMar>
          <w:left w:w="62" w:type="dxa"/>
          <w:right w:w="62" w:type="dxa"/>
        </w:tblCellMar>
        <w:tblLook w:val="0000"/>
      </w:tblPr>
      <w:tblGrid>
        <w:gridCol w:w="1890"/>
        <w:gridCol w:w="6570"/>
      </w:tblGrid>
      <w:tr w:rsidTr="00703AEE">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6442FA" w:rsidP="006442FA">
            <w:pPr>
              <w:pStyle w:val="BodyText"/>
            </w:pPr>
            <w:r w:rsidRPr="006442FA">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6442FA">
            <w:pPr>
              <w:pStyle w:val="BodyText"/>
              <w:rPr>
                <w:lang w:val="en-NZ"/>
              </w:rPr>
            </w:pPr>
            <w:r w:rsidRPr="006442FA">
              <w:rPr>
                <w:rStyle w:val="SpecialBold"/>
              </w:rPr>
              <w:t>9.3)</w:t>
            </w:r>
          </w:p>
        </w:tc>
      </w:tr>
      <w:tr w:rsidTr="00703AEE">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442FA" w:rsidP="006442FA">
            <w:pPr>
              <w:pStyle w:val="BodyText"/>
            </w:pPr>
            <w:r w:rsidRPr="006442FA">
              <w:t>This unit should be assessed as it relates to normal work practice using procedures, information and resources typical of a workplace. This should include:</w:t>
            </w:r>
          </w:p>
          <w:p w:rsidR="00000000" w:rsidRPr="006442FA" w:rsidP="006442FA">
            <w:pPr>
              <w:pStyle w:val="ListBullet"/>
            </w:pPr>
            <w:r w:rsidRPr="006442FA">
              <w:t>OHS policy and work procedures and instructions.</w:t>
            </w:r>
          </w:p>
          <w:p w:rsidR="00000000" w:rsidRPr="006442FA" w:rsidP="006442FA">
            <w:pPr>
              <w:pStyle w:val="ListBullet"/>
            </w:pPr>
            <w:r w:rsidRPr="006442FA">
              <w:t>Suitable work environment, facilities, equipment a</w:t>
            </w:r>
            <w:r w:rsidRPr="006442FA">
              <w:t>nd materials to undertake actual work as prescribed by this unit.</w:t>
            </w:r>
          </w:p>
          <w:p w:rsidR="00000000" w:rsidRPr="006442FA" w:rsidP="006442FA">
            <w:pPr>
              <w:pStyle w:val="BodyText"/>
            </w:pPr>
            <w:r w:rsidRPr="006442FA">
              <w:t>Competency Standards should be assessed in the workplace or simulated workplace and under the normal range of workplace conditions.</w:t>
            </w:r>
          </w:p>
          <w:p w:rsidR="00000000" w:rsidRPr="006442FA" w:rsidP="006442FA">
            <w:pPr>
              <w:pStyle w:val="BodyText"/>
            </w:pPr>
            <w:r w:rsidRPr="006442FA">
              <w:t>Assessment of this unit will be supported with documentary evidence, by means of endorsement stating type and application of work.</w:t>
            </w:r>
          </w:p>
          <w:p w:rsidR="00000000" w:rsidRPr="006442FA" w:rsidP="006442FA">
            <w:pPr>
              <w:pStyle w:val="BodyText"/>
            </w:pPr>
            <w:r w:rsidRPr="006442FA">
              <w:t>In addition to the resources listed above in Context of assessment’, evidence should show competency working, in limited spac</w:t>
            </w:r>
            <w:r w:rsidRPr="006442FA">
              <w:t>es, with different types of plant and equipment as well as different structural/construction types and methods and in a variety of environments.</w:t>
            </w:r>
          </w:p>
        </w:tc>
      </w:tr>
    </w:tbl>
    <w:p w:rsidR="00000000" w:rsidRPr="006442FA" w:rsidP="006442FA">
      <w:pPr>
        <w:pStyle w:val="BodyText"/>
      </w:pPr>
    </w:p>
    <w:tbl>
      <w:tblPr>
        <w:tblW w:w="0" w:type="auto"/>
        <w:tblLayout w:type="fixed"/>
        <w:tblCellMar>
          <w:left w:w="62" w:type="dxa"/>
          <w:right w:w="62" w:type="dxa"/>
        </w:tblCellMar>
        <w:tblLook w:val="0000"/>
      </w:tblPr>
      <w:tblGrid>
        <w:gridCol w:w="1890"/>
        <w:gridCol w:w="6570"/>
      </w:tblGrid>
      <w:tr w:rsidTr="00703AE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442FA" w:rsidP="006442FA">
            <w:pPr>
              <w:pStyle w:val="BodyText"/>
            </w:pPr>
            <w:r w:rsidRPr="006442FA">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6442FA">
            <w:pPr>
              <w:pStyle w:val="BodyText"/>
              <w:rPr>
                <w:lang w:val="en-NZ"/>
              </w:rPr>
            </w:pPr>
            <w:r w:rsidRPr="006442FA">
              <w:rPr>
                <w:rStyle w:val="SpecialBold"/>
              </w:rPr>
              <w:t>9.4)</w:t>
            </w:r>
          </w:p>
        </w:tc>
      </w:tr>
      <w:tr w:rsidTr="00703AE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442FA" w:rsidP="006442FA">
            <w:pPr>
              <w:pStyle w:val="BodyText"/>
            </w:pPr>
            <w:r w:rsidRPr="006442FA">
              <w:t>This unit shall be assessed by methods g</w:t>
            </w:r>
            <w:r w:rsidRPr="006442FA">
              <w:t>iven in Section 1.3.00 Assessment Guidelines.Note: Competent performance with inherent safe working practices is expected in the Industry to which this unit applies. This requires that the specified essential knowledge and associated skills are assessed in</w:t>
            </w:r>
            <w:r w:rsidRPr="006442FA">
              <w:t xml:space="preserve"> a structured environment which is primarily intended for learning/assessment and incorporates all necessary equipment and facilities for learners to develop and demonstrate the essential knowledge and skills described in this unit.</w:t>
            </w:r>
          </w:p>
        </w:tc>
      </w:tr>
    </w:tbl>
    <w:p w:rsidR="00000000" w:rsidRPr="006442FA" w:rsidP="006442FA">
      <w:pPr>
        <w:pStyle w:val="BodyText"/>
      </w:pPr>
    </w:p>
    <w:tbl>
      <w:tblPr>
        <w:tblW w:w="0" w:type="auto"/>
        <w:tblLayout w:type="fixed"/>
        <w:tblCellMar>
          <w:left w:w="62" w:type="dxa"/>
          <w:right w:w="62" w:type="dxa"/>
        </w:tblCellMar>
        <w:tblLook w:val="0000"/>
      </w:tblPr>
      <w:tblGrid>
        <w:gridCol w:w="1890"/>
        <w:gridCol w:w="6570"/>
      </w:tblGrid>
      <w:tr w:rsidTr="00703AE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442FA" w:rsidP="006442FA">
            <w:pPr>
              <w:pStyle w:val="BodyText"/>
            </w:pPr>
            <w:r w:rsidRPr="006442FA">
              <w:rPr>
                <w:rStyle w:val="SpecialBold"/>
              </w:rPr>
              <w:t>Concurrent assessment</w:t>
            </w:r>
            <w:r w:rsidRPr="006442FA">
              <w:rPr>
                <w:rStyle w:val="SpecialBold"/>
              </w:rPr>
              <w:t xml:space="preserve">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6442FA">
            <w:pPr>
              <w:pStyle w:val="BodyText"/>
              <w:rPr>
                <w:lang w:val="en-NZ"/>
              </w:rPr>
            </w:pPr>
            <w:r w:rsidRPr="006442FA">
              <w:rPr>
                <w:rStyle w:val="SpecialBold"/>
              </w:rPr>
              <w:t>9.5)</w:t>
            </w:r>
          </w:p>
        </w:tc>
      </w:tr>
      <w:tr w:rsidTr="00703AE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442FA" w:rsidP="006442FA">
            <w:pPr>
              <w:pStyle w:val="BodyText"/>
            </w:pPr>
            <w:r w:rsidRPr="006442FA">
              <w:t>There are no recommended concurrent assessments with this unit, however in some cases efficiencies may be gained in terms of learning and assessment effort being concurrently managed with allied competency standard</w:t>
            </w:r>
            <w:r w:rsidRPr="006442FA">
              <w:t xml:space="preserve"> units where listed.</w:t>
            </w:r>
          </w:p>
          <w:p w:rsidR="00000000" w:rsidRPr="006442FA" w:rsidP="006442FA">
            <w:pPr>
              <w:pStyle w:val="BodyText"/>
            </w:pPr>
            <w:r w:rsidRPr="006442FA">
              <w:t>Nil</w:t>
            </w:r>
            <w:r w:rsidRPr="006442FA">
              <w:tab/>
            </w:r>
          </w:p>
        </w:tc>
      </w:tr>
    </w:tbl>
    <w:p w:rsidR="00000000" w:rsidRPr="006442FA" w:rsidP="006442FA">
      <w:pPr>
        <w:pStyle w:val="BodyText"/>
      </w:pPr>
    </w:p>
    <w:p w:rsidR="00000000" w:rsidRPr="006442FA" w:rsidP="006442FA">
      <w:pPr>
        <w:pStyle w:val="AllowPageBreak"/>
      </w:pPr>
    </w:p>
    <w:p w:rsidR="00000000" w:rsidRPr="006442FA" w:rsidP="006442FA">
      <w:pPr>
        <w:pStyle w:val="Heading1"/>
      </w:pPr>
      <w:bookmarkStart w:id="11" w:name="O_475425"/>
      <w:bookmarkEnd w:id="11"/>
      <w:r w:rsidRPr="006442FA">
        <w:t>Range Statement</w:t>
      </w:r>
    </w:p>
    <w:tbl>
      <w:tblPr>
        <w:tblW w:w="0" w:type="auto"/>
        <w:tblLayout w:type="fixed"/>
        <w:tblCellMar>
          <w:left w:w="62" w:type="dxa"/>
          <w:right w:w="62" w:type="dxa"/>
        </w:tblCellMar>
        <w:tblLook w:val="0000"/>
      </w:tblPr>
      <w:tblGrid>
        <w:gridCol w:w="8460"/>
      </w:tblGrid>
      <w:tr w:rsidTr="00703AE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442FA">
            <w:pPr>
              <w:pStyle w:val="BodyText"/>
              <w:rPr>
                <w:lang w:val="en-NZ"/>
              </w:rPr>
            </w:pPr>
            <w:r w:rsidRPr="006442FA">
              <w:rPr>
                <w:rStyle w:val="SpecialBold"/>
              </w:rPr>
              <w:t>RANGE STATEMENT</w:t>
            </w:r>
          </w:p>
        </w:tc>
      </w:tr>
      <w:tr w:rsidTr="00703AE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442FA" w:rsidP="006442FA">
            <w:pPr>
              <w:pStyle w:val="BodyText"/>
            </w:pPr>
            <w:r w:rsidRPr="006442FA">
              <w:rPr>
                <w:rStyle w:val="SpecialBold"/>
              </w:rPr>
              <w:t>10)</w:t>
            </w:r>
            <w:r w:rsidRPr="006442FA">
              <w:t xml:space="preserve"> This relates to the unit of competency as a whole providing the range of contexts and conditions </w:t>
            </w:r>
            <w:r w:rsidRPr="006442FA">
              <w:t>to which the Performance Criteria apply. It allows for different work environments and situations that will affect performance.</w:t>
            </w:r>
          </w:p>
          <w:p w:rsidR="00000000" w:rsidRPr="006442FA" w:rsidP="006442FA">
            <w:pPr>
              <w:pStyle w:val="BodyText"/>
            </w:pPr>
            <w:r w:rsidRPr="006442FA">
              <w:t>Operational Checks may include fault finding, performance checking. Indication and protection checks and work on control and tri</w:t>
            </w:r>
            <w:r w:rsidRPr="006442FA">
              <w:t>p circuits and minor testing.</w:t>
            </w:r>
          </w:p>
          <w:p w:rsidR="00000000" w:rsidRPr="006442FA" w:rsidP="006442FA">
            <w:pPr>
              <w:pStyle w:val="BodyText"/>
            </w:pPr>
            <w:r w:rsidRPr="006442FA">
              <w:t>Key indicators may include plant temperatures, fluid flows, plant load capabilities, protection settings, visual and audible indicators, analogue and digital displays.</w:t>
            </w:r>
          </w:p>
          <w:p w:rsidR="00000000" w:rsidRPr="006442FA" w:rsidP="006442FA">
            <w:pPr>
              <w:pStyle w:val="BodyText"/>
            </w:pPr>
            <w:r w:rsidRPr="006442FA">
              <w:t>Plant and/or equipment may include turbines and generators</w:t>
            </w:r>
            <w:r w:rsidRPr="006442FA">
              <w:t>; fans; pumps; heat exchangers; fired and unfired pressure vessels; couplings; pneumatic, hydraulic control systems; cooling systems; and chemical treatment and water quality systems, fuel delivery system; fire protection system; Safety standards may inclu</w:t>
            </w:r>
            <w:r w:rsidRPr="006442FA">
              <w:t>de relevant sections of Occupational Health and Safety legislation, enterprise safety rules, national standards for plant, relevant state and federal legislation and Australian standards.</w:t>
            </w:r>
          </w:p>
          <w:p w:rsidR="00000000" w:rsidRPr="006442FA" w:rsidP="006442FA">
            <w:pPr>
              <w:pStyle w:val="BodyText"/>
            </w:pPr>
            <w:r w:rsidRPr="006442FA">
              <w:t xml:space="preserve">Information and documentation sources may include verbal or written </w:t>
            </w:r>
            <w:r w:rsidRPr="006442FA">
              <w:t>communications; enterprise safety rules documentation; enterprise operating instructions; equipment and alarm manuals; dedicated computer equipment; enterprise standing instructions and plant notes; enterprise log books; manufacturer operation and maintena</w:t>
            </w:r>
            <w:r w:rsidRPr="006442FA">
              <w:t>nce manuals.</w:t>
            </w:r>
          </w:p>
          <w:p w:rsidR="00000000" w:rsidRPr="006442FA" w:rsidP="006442FA">
            <w:pPr>
              <w:pStyle w:val="BodyText"/>
            </w:pPr>
            <w:r w:rsidRPr="006442FA">
              <w:t>Technical and operational indicators may include stimuli (audio, smell, touch, visual), remote or local indicators and recorders, computers and alarms (visible and or audible).</w:t>
            </w:r>
          </w:p>
          <w:p w:rsidR="00000000" w:rsidRPr="006442FA" w:rsidP="006442FA">
            <w:pPr>
              <w:pStyle w:val="BodyText"/>
            </w:pPr>
            <w:r w:rsidRPr="006442FA">
              <w:t>Appropriate personnel for consultation, to give or receive directi</w:t>
            </w:r>
            <w:r w:rsidRPr="006442FA">
              <w:t>on may include supervisor/team leader or equivalent; other coordinators of energy production; other operating staff; technical and engineering officers or equivalent; maintenance personnel; and contractor staff.</w:t>
            </w:r>
          </w:p>
          <w:p w:rsidR="00000000" w:rsidRPr="006442FA" w:rsidP="006442FA">
            <w:pPr>
              <w:pStyle w:val="BodyText"/>
            </w:pPr>
            <w:r w:rsidRPr="006442FA">
              <w:t>Generic terms are used throughout this Train</w:t>
            </w:r>
            <w:r w:rsidRPr="006442FA">
              <w:t>ing Package for vocational standard shall be regarded as part of the Range Statement in which competency is demonstrated. The definition of these and other terms are given in Section 2.1 Preliminary Information and Glossaries.</w:t>
            </w:r>
          </w:p>
        </w:tc>
      </w:tr>
    </w:tbl>
    <w:p w:rsidR="00000000" w:rsidRPr="006442FA" w:rsidP="006442FA">
      <w:pPr>
        <w:pStyle w:val="BodyText"/>
      </w:pPr>
    </w:p>
    <w:p w:rsidR="00000000" w:rsidRPr="006442FA" w:rsidP="006442FA">
      <w:pPr>
        <w:pStyle w:val="AllowPageBreak"/>
      </w:pPr>
    </w:p>
    <w:p w:rsidR="00000000" w:rsidRPr="006442FA" w:rsidP="006442FA">
      <w:pPr>
        <w:pStyle w:val="Heading1"/>
      </w:pPr>
      <w:bookmarkStart w:id="12" w:name="O_475428"/>
      <w:bookmarkEnd w:id="12"/>
      <w:r w:rsidRPr="006442FA">
        <w:t>Unit Secto</w:t>
      </w:r>
      <w:r w:rsidRPr="006442FA">
        <w:t>r(s)</w:t>
      </w:r>
    </w:p>
    <w:p w:rsidR="00000000" w:rsidRPr="006442FA" w:rsidP="006442FA">
      <w:pPr>
        <w:pStyle w:val="BodyText"/>
      </w:pPr>
      <w:r w:rsidRPr="006442FA">
        <w:t>Not applicable.</w:t>
      </w:r>
    </w:p>
    <w:p w:rsidR="00000000" w:rsidRPr="006442FA" w:rsidP="006442FA">
      <w:pPr>
        <w:pStyle w:val="AllowPageBreak"/>
      </w:pPr>
    </w:p>
    <w:p w:rsidR="00000000" w:rsidRPr="006442FA" w:rsidP="006442FA">
      <w:pPr>
        <w:pStyle w:val="Heading1"/>
      </w:pPr>
      <w:bookmarkStart w:id="13" w:name="O_475417"/>
      <w:bookmarkEnd w:id="13"/>
      <w:r w:rsidRPr="006442FA">
        <w:t>Competency Field</w:t>
      </w:r>
    </w:p>
    <w:tbl>
      <w:tblPr>
        <w:tblW w:w="0" w:type="auto"/>
        <w:tblLayout w:type="fixed"/>
        <w:tblCellMar>
          <w:left w:w="62" w:type="dxa"/>
          <w:right w:w="62" w:type="dxa"/>
        </w:tblCellMar>
        <w:tblLook w:val="0000"/>
      </w:tblPr>
      <w:tblGrid>
        <w:gridCol w:w="2700"/>
        <w:gridCol w:w="5760"/>
      </w:tblGrid>
      <w:tr w:rsidTr="00703AE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442FA" w:rsidP="006442FA">
            <w:pPr>
              <w:pStyle w:val="BodyText"/>
            </w:pPr>
            <w:r w:rsidRPr="006442F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6442FA">
            <w:pPr>
              <w:pStyle w:val="BodyText"/>
              <w:rPr>
                <w:lang w:val="en-NZ"/>
              </w:rPr>
            </w:pPr>
            <w:r w:rsidRPr="006442FA">
              <w:rPr>
                <w:rStyle w:val="SpecialBold"/>
              </w:rPr>
              <w:t xml:space="preserve">11) </w:t>
            </w:r>
          </w:p>
        </w:tc>
      </w:tr>
      <w:tr w:rsidTr="00703AE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442FA" w:rsidP="006442FA">
            <w:pPr>
              <w:pStyle w:val="BodyText"/>
            </w:pPr>
            <w:r w:rsidRPr="006442FA">
              <w:t>Operations.</w:t>
            </w:r>
          </w:p>
        </w:tc>
      </w:tr>
    </w:tbl>
    <w:p w:rsidR="00000000" w:rsidRPr="006442FA" w:rsidP="006442FA">
      <w:pPr>
        <w:pStyle w:val="BodyText"/>
      </w:pPr>
    </w:p>
    <w:p w:rsidR="00000000" w:rsidRPr="006442FA" w:rsidP="006442FA"/>
    <w:sectPr w:rsidSect="006442F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2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3AEE" w:rsidP="00703AE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2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AEE" w:rsidP="006442F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03AEE" w:rsidP="006442F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703AEE" w:rsidP="006442F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2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2FA" w:rsidRPr="00703AEE" w:rsidP="00703AE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2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AEE" w:rsidRPr="002D2AF8" w:rsidP="006442FA">
    <w:pPr>
      <w:pStyle w:val="Header"/>
      <w:framePr w:wrap="around"/>
    </w:pPr>
    <w:r>
      <w:fldChar w:fldCharType="begin"/>
    </w:r>
    <w:r>
      <w:instrText xml:space="preserve"> TITLE   \* MERGEFORMAT </w:instrText>
    </w:r>
    <w:r>
      <w:fldChar w:fldCharType="separate"/>
    </w:r>
    <w:r>
      <w:t>UEPOPS352B Conduct operational checks on in-service mechanical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703AEE" w:rsidP="006442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E8CC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88B0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99E32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42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42FA"/>
    <w:pPr>
      <w:spacing w:before="360" w:after="60"/>
      <w:outlineLvl w:val="0"/>
    </w:pPr>
    <w:rPr>
      <w:sz w:val="32"/>
    </w:rPr>
  </w:style>
  <w:style w:type="paragraph" w:styleId="Heading2">
    <w:name w:val="heading 2"/>
    <w:basedOn w:val="HeadingBase"/>
    <w:next w:val="BodyText"/>
    <w:link w:val="Heading2Char"/>
    <w:qFormat/>
    <w:rsid w:val="006442FA"/>
    <w:pPr>
      <w:keepLines/>
      <w:spacing w:before="240" w:after="120"/>
      <w:outlineLvl w:val="1"/>
    </w:pPr>
    <w:rPr>
      <w:sz w:val="28"/>
      <w:szCs w:val="40"/>
    </w:rPr>
  </w:style>
  <w:style w:type="paragraph" w:styleId="Heading3">
    <w:name w:val="heading 3"/>
    <w:basedOn w:val="HeadingBase"/>
    <w:next w:val="BodyText"/>
    <w:link w:val="Heading3Char"/>
    <w:qFormat/>
    <w:rsid w:val="006442FA"/>
    <w:pPr>
      <w:spacing w:before="180" w:after="120"/>
      <w:outlineLvl w:val="2"/>
    </w:pPr>
    <w:rPr>
      <w:spacing w:val="-10"/>
      <w:kern w:val="32"/>
    </w:rPr>
  </w:style>
  <w:style w:type="paragraph" w:styleId="Heading4">
    <w:name w:val="heading 4"/>
    <w:basedOn w:val="HeadingBase"/>
    <w:next w:val="BodyText"/>
    <w:link w:val="Heading4Char"/>
    <w:qFormat/>
    <w:rsid w:val="006442FA"/>
    <w:pPr>
      <w:spacing w:before="160" w:after="120"/>
      <w:outlineLvl w:val="3"/>
    </w:pPr>
    <w:rPr>
      <w:sz w:val="22"/>
    </w:rPr>
  </w:style>
  <w:style w:type="paragraph" w:styleId="Heading5">
    <w:name w:val="heading 5"/>
    <w:basedOn w:val="HeadingBase"/>
    <w:next w:val="Normal"/>
    <w:link w:val="Heading5Char"/>
    <w:qFormat/>
    <w:rsid w:val="006442FA"/>
    <w:pPr>
      <w:spacing w:before="80"/>
      <w:outlineLvl w:val="4"/>
    </w:pPr>
    <w:rPr>
      <w:color w:val="918585"/>
      <w:sz w:val="20"/>
    </w:rPr>
  </w:style>
  <w:style w:type="paragraph" w:styleId="Heading6">
    <w:name w:val="heading 6"/>
    <w:basedOn w:val="HeadingBase"/>
    <w:next w:val="Normal"/>
    <w:link w:val="Heading6Char"/>
    <w:qFormat/>
    <w:rsid w:val="006442FA"/>
    <w:pPr>
      <w:spacing w:before="60"/>
      <w:outlineLvl w:val="5"/>
    </w:pPr>
    <w:rPr>
      <w:color w:val="918585"/>
      <w:sz w:val="20"/>
    </w:rPr>
  </w:style>
  <w:style w:type="paragraph" w:styleId="Heading7">
    <w:name w:val="heading 7"/>
    <w:basedOn w:val="Normal"/>
    <w:next w:val="Normal"/>
    <w:link w:val="Heading7Char"/>
    <w:qFormat/>
    <w:rsid w:val="006442FA"/>
    <w:pPr>
      <w:ind w:left="720"/>
      <w:outlineLvl w:val="6"/>
    </w:pPr>
    <w:rPr>
      <w:i/>
    </w:rPr>
  </w:style>
  <w:style w:type="paragraph" w:styleId="Heading8">
    <w:name w:val="heading 8"/>
    <w:basedOn w:val="Normal"/>
    <w:next w:val="Normal"/>
    <w:link w:val="Heading8Char"/>
    <w:qFormat/>
    <w:rsid w:val="006442FA"/>
    <w:pPr>
      <w:ind w:left="720"/>
      <w:outlineLvl w:val="7"/>
    </w:pPr>
    <w:rPr>
      <w:i/>
    </w:rPr>
  </w:style>
  <w:style w:type="paragraph" w:styleId="Heading9">
    <w:name w:val="heading 9"/>
    <w:basedOn w:val="Normal"/>
    <w:next w:val="Normal"/>
    <w:link w:val="Heading9Char"/>
    <w:qFormat/>
    <w:rsid w:val="006442FA"/>
    <w:pPr>
      <w:ind w:left="720"/>
      <w:outlineLvl w:val="8"/>
    </w:pPr>
    <w:rPr>
      <w:i/>
    </w:rPr>
  </w:style>
  <w:style w:type="character" w:default="1" w:styleId="DefaultParagraphFont">
    <w:name w:val="Default Paragraph Font"/>
    <w:uiPriority w:val="1"/>
    <w:unhideWhenUsed/>
    <w:rsid w:val="006442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42FA"/>
  </w:style>
  <w:style w:type="character" w:customStyle="1" w:styleId="Heading1Char">
    <w:name w:val="Heading 1 Char"/>
    <w:basedOn w:val="DefaultParagraphFont"/>
    <w:link w:val="Heading1"/>
    <w:rsid w:val="006442FA"/>
    <w:rPr>
      <w:rFonts w:ascii="Times New Roman" w:eastAsia="Times New Roman" w:hAnsi="Times New Roman" w:cs="Times New Roman"/>
      <w:b/>
      <w:sz w:val="32"/>
      <w:szCs w:val="20"/>
      <w:lang w:eastAsia="en-US"/>
    </w:rPr>
  </w:style>
  <w:style w:type="paragraph" w:styleId="BodyText">
    <w:name w:val="Body Text"/>
    <w:basedOn w:val="Normal"/>
    <w:link w:val="BodyTextChar"/>
    <w:rsid w:val="006442F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442FA"/>
    <w:rPr>
      <w:rFonts w:ascii="Times New Roman" w:eastAsia="Times New Roman" w:hAnsi="Times New Roman" w:cs="Times New Roman"/>
      <w:sz w:val="24"/>
      <w:lang w:eastAsia="en-US"/>
    </w:rPr>
  </w:style>
  <w:style w:type="paragraph" w:styleId="Footer">
    <w:name w:val="footer"/>
    <w:basedOn w:val="Normal"/>
    <w:link w:val="FooterChar"/>
    <w:rsid w:val="006442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42FA"/>
    <w:rPr>
      <w:rFonts w:ascii="Times New Roman" w:eastAsia="Times New Roman" w:hAnsi="Times New Roman" w:cs="Times New Roman"/>
      <w:sz w:val="16"/>
      <w:lang w:eastAsia="en-US"/>
    </w:rPr>
  </w:style>
  <w:style w:type="paragraph" w:styleId="ListBullet">
    <w:name w:val="List Bullet"/>
    <w:basedOn w:val="List"/>
    <w:rsid w:val="006442FA"/>
    <w:pPr>
      <w:numPr>
        <w:numId w:val="13"/>
      </w:numPr>
      <w:tabs>
        <w:tab w:val="clear" w:pos="340"/>
      </w:tabs>
      <w:spacing w:before="40" w:after="40"/>
    </w:pPr>
  </w:style>
  <w:style w:type="character" w:customStyle="1" w:styleId="SpecialBold">
    <w:name w:val="Special Bold"/>
    <w:basedOn w:val="DefaultParagraphFont"/>
    <w:rsid w:val="006442FA"/>
    <w:rPr>
      <w:b/>
      <w:spacing w:val="0"/>
    </w:rPr>
  </w:style>
  <w:style w:type="paragraph" w:styleId="ListBullet2">
    <w:name w:val="List Bullet 2"/>
    <w:basedOn w:val="List2"/>
    <w:rsid w:val="006442FA"/>
    <w:pPr>
      <w:numPr>
        <w:numId w:val="14"/>
      </w:numPr>
      <w:tabs>
        <w:tab w:val="clear" w:pos="680"/>
      </w:tabs>
    </w:pPr>
  </w:style>
  <w:style w:type="paragraph" w:customStyle="1" w:styleId="SuperHeading">
    <w:name w:val="SuperHeading"/>
    <w:basedOn w:val="Normal"/>
    <w:rsid w:val="006442FA"/>
    <w:pPr>
      <w:spacing w:before="240" w:after="120"/>
      <w:outlineLvl w:val="0"/>
    </w:pPr>
    <w:rPr>
      <w:rFonts w:ascii="Times New Roman" w:hAnsi="Times New Roman"/>
      <w:b/>
      <w:sz w:val="28"/>
    </w:rPr>
  </w:style>
  <w:style w:type="paragraph" w:customStyle="1" w:styleId="AllowPageBreak">
    <w:name w:val="AllowPageBreak"/>
    <w:rsid w:val="006442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442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42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42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42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42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42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42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42FA"/>
    <w:rPr>
      <w:rFonts w:ascii="Courier New" w:eastAsia="Times New Roman" w:hAnsi="Courier New" w:cs="Times New Roman"/>
      <w:i/>
      <w:szCs w:val="20"/>
      <w:lang w:eastAsia="en-US"/>
    </w:rPr>
  </w:style>
  <w:style w:type="paragraph" w:customStyle="1" w:styleId="HeadingBase">
    <w:name w:val="Heading Base"/>
    <w:rsid w:val="006442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42FA"/>
    <w:pPr>
      <w:tabs>
        <w:tab w:val="right" w:leader="dot" w:pos="9072"/>
      </w:tabs>
      <w:ind w:left="567"/>
    </w:pPr>
    <w:rPr>
      <w:szCs w:val="22"/>
    </w:rPr>
  </w:style>
  <w:style w:type="paragraph" w:customStyle="1" w:styleId="TOCBase">
    <w:name w:val="TOC Base"/>
    <w:rsid w:val="006442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42FA"/>
    <w:pPr>
      <w:tabs>
        <w:tab w:val="right" w:leader="dot" w:pos="9072"/>
      </w:tabs>
      <w:spacing w:before="40" w:after="40"/>
      <w:ind w:left="284"/>
    </w:pPr>
    <w:rPr>
      <w:rFonts w:ascii="Times New Roman" w:hAnsi="Times New Roman"/>
    </w:rPr>
  </w:style>
  <w:style w:type="paragraph" w:styleId="TOC1">
    <w:name w:val="toc 1"/>
    <w:basedOn w:val="TOCBase"/>
    <w:next w:val="Normal"/>
    <w:rsid w:val="006442F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442FA"/>
    <w:pPr>
      <w:spacing w:before="5040"/>
      <w:jc w:val="center"/>
    </w:pPr>
    <w:rPr>
      <w:sz w:val="48"/>
      <w:szCs w:val="72"/>
      <w:lang w:val="en-US"/>
    </w:rPr>
  </w:style>
  <w:style w:type="character" w:customStyle="1" w:styleId="TitleChar">
    <w:name w:val="Title Char"/>
    <w:basedOn w:val="DefaultParagraphFont"/>
    <w:link w:val="Title"/>
    <w:rsid w:val="006442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42FA"/>
    <w:pPr>
      <w:tabs>
        <w:tab w:val="left" w:pos="3600"/>
        <w:tab w:val="left" w:pos="3958"/>
      </w:tabs>
    </w:pPr>
  </w:style>
  <w:style w:type="paragraph" w:styleId="List">
    <w:name w:val="List"/>
    <w:basedOn w:val="BodyText"/>
    <w:next w:val="BodyText"/>
    <w:rsid w:val="006442FA"/>
    <w:pPr>
      <w:tabs>
        <w:tab w:val="left" w:pos="340"/>
      </w:tabs>
      <w:spacing w:before="60" w:after="60"/>
      <w:ind w:left="340" w:hanging="340"/>
    </w:pPr>
  </w:style>
  <w:style w:type="paragraph" w:customStyle="1" w:styleId="Note">
    <w:name w:val="Note"/>
    <w:basedOn w:val="BodyText"/>
    <w:rsid w:val="006442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42FA"/>
    <w:pPr>
      <w:framePr w:wrap="auto" w:hAnchor="text" w:y="6049"/>
    </w:pPr>
    <w:rPr>
      <w:color w:val="000000"/>
      <w:sz w:val="40"/>
    </w:rPr>
  </w:style>
  <w:style w:type="paragraph" w:customStyle="1" w:styleId="TOCTitle">
    <w:name w:val="TOCTitle"/>
    <w:basedOn w:val="Heading1"/>
    <w:rsid w:val="006442FA"/>
    <w:pPr>
      <w:spacing w:after="240"/>
      <w:jc w:val="center"/>
      <w:outlineLvl w:val="9"/>
    </w:pPr>
    <w:rPr>
      <w:caps/>
    </w:rPr>
  </w:style>
  <w:style w:type="paragraph" w:customStyle="1" w:styleId="Version">
    <w:name w:val="Version"/>
    <w:rsid w:val="006442F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42FA"/>
    <w:pPr>
      <w:keepNext w:val="0"/>
      <w:tabs>
        <w:tab w:val="right" w:pos="4176"/>
      </w:tabs>
      <w:ind w:left="198" w:hanging="198"/>
    </w:pPr>
    <w:rPr>
      <w:rFonts w:ascii="Garamond" w:hAnsi="Garamond"/>
    </w:rPr>
  </w:style>
  <w:style w:type="paragraph" w:styleId="IndexHeading">
    <w:name w:val="index heading"/>
    <w:basedOn w:val="Normal"/>
    <w:next w:val="Index1"/>
    <w:semiHidden/>
    <w:rsid w:val="006442FA"/>
    <w:pPr>
      <w:spacing w:before="120" w:after="120"/>
    </w:pPr>
    <w:rPr>
      <w:rFonts w:ascii="Arial" w:hAnsi="Arial"/>
      <w:b/>
      <w:color w:val="918585"/>
      <w:sz w:val="24"/>
    </w:rPr>
  </w:style>
  <w:style w:type="paragraph" w:styleId="Header">
    <w:name w:val="header"/>
    <w:basedOn w:val="Normal"/>
    <w:link w:val="HeaderChar"/>
    <w:rsid w:val="006442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42FA"/>
    <w:rPr>
      <w:rFonts w:ascii="Times New Roman" w:eastAsia="Times New Roman" w:hAnsi="Times New Roman" w:cs="Times New Roman"/>
      <w:sz w:val="16"/>
      <w:szCs w:val="20"/>
      <w:lang w:val="en-GB" w:eastAsia="en-US"/>
    </w:rPr>
  </w:style>
  <w:style w:type="paragraph" w:customStyle="1" w:styleId="Chapter">
    <w:name w:val="Chapter"/>
    <w:basedOn w:val="Normal"/>
    <w:rsid w:val="006442FA"/>
    <w:pPr>
      <w:spacing w:before="240"/>
    </w:pPr>
    <w:rPr>
      <w:rFonts w:ascii="Times New Roman" w:hAnsi="Times New Roman"/>
      <w:smallCaps/>
      <w:spacing w:val="80"/>
      <w:sz w:val="28"/>
    </w:rPr>
  </w:style>
  <w:style w:type="paragraph" w:customStyle="1" w:styleId="InChapter">
    <w:name w:val="InChapter"/>
    <w:basedOn w:val="Heading3"/>
    <w:rsid w:val="006442FA"/>
    <w:pPr>
      <w:spacing w:after="240"/>
      <w:outlineLvl w:val="9"/>
    </w:pPr>
    <w:rPr>
      <w:noProof/>
    </w:rPr>
  </w:style>
  <w:style w:type="paragraph" w:styleId="Index2">
    <w:name w:val="index 2"/>
    <w:basedOn w:val="Normal"/>
    <w:next w:val="Normal"/>
    <w:semiHidden/>
    <w:rsid w:val="006442FA"/>
    <w:pPr>
      <w:tabs>
        <w:tab w:val="right" w:pos="4176"/>
      </w:tabs>
      <w:ind w:left="568" w:hanging="284"/>
    </w:pPr>
    <w:rPr>
      <w:rFonts w:ascii="Garamond" w:hAnsi="Garamond"/>
    </w:rPr>
  </w:style>
  <w:style w:type="paragraph" w:customStyle="1" w:styleId="Byline">
    <w:name w:val="Byline"/>
    <w:rsid w:val="006442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42FA"/>
    <w:pPr>
      <w:tabs>
        <w:tab w:val="clear" w:pos="3600"/>
        <w:tab w:val="clear" w:pos="3958"/>
      </w:tabs>
      <w:jc w:val="right"/>
    </w:pPr>
  </w:style>
  <w:style w:type="character" w:styleId="Emphasis">
    <w:name w:val="Emphasis"/>
    <w:basedOn w:val="DefaultParagraphFont"/>
    <w:qFormat/>
    <w:rsid w:val="006442FA"/>
    <w:rPr>
      <w:i/>
    </w:rPr>
  </w:style>
  <w:style w:type="paragraph" w:styleId="Caption">
    <w:name w:val="caption"/>
    <w:basedOn w:val="BodyText"/>
    <w:next w:val="Normal"/>
    <w:qFormat/>
    <w:rsid w:val="006442FA"/>
    <w:pPr>
      <w:framePr w:w="2268" w:hSpace="181" w:vSpace="181" w:wrap="around" w:vAnchor="text" w:hAnchor="page" w:x="1135" w:y="285" w:anchorLock="1"/>
    </w:pPr>
    <w:rPr>
      <w:i/>
    </w:rPr>
  </w:style>
  <w:style w:type="paragraph" w:customStyle="1" w:styleId="MiniTOCTitle">
    <w:name w:val="MiniTOCTitle"/>
    <w:basedOn w:val="Heading4"/>
    <w:rsid w:val="006442FA"/>
    <w:pPr>
      <w:spacing w:before="240"/>
      <w:outlineLvl w:val="9"/>
    </w:pPr>
    <w:rPr>
      <w:noProof/>
      <w:sz w:val="24"/>
    </w:rPr>
  </w:style>
  <w:style w:type="paragraph" w:customStyle="1" w:styleId="MiniTOCItem">
    <w:name w:val="MiniTOCItem"/>
    <w:basedOn w:val="ListBullet"/>
    <w:rsid w:val="006442FA"/>
    <w:pPr>
      <w:numPr>
        <w:numId w:val="0"/>
      </w:numPr>
      <w:tabs>
        <w:tab w:val="right" w:leader="dot" w:pos="6521"/>
      </w:tabs>
      <w:spacing w:before="0" w:after="0"/>
    </w:pPr>
  </w:style>
  <w:style w:type="paragraph" w:customStyle="1" w:styleId="TOFTitle">
    <w:name w:val="TOFTitle"/>
    <w:basedOn w:val="TOCTitle"/>
    <w:rsid w:val="006442FA"/>
  </w:style>
  <w:style w:type="paragraph" w:styleId="TableofFigures">
    <w:name w:val="table of figures"/>
    <w:basedOn w:val="Normal"/>
    <w:next w:val="Normal"/>
    <w:semiHidden/>
    <w:rsid w:val="006442FA"/>
    <w:pPr>
      <w:tabs>
        <w:tab w:val="right" w:leader="dot" w:pos="9072"/>
      </w:tabs>
      <w:ind w:left="970" w:hanging="403"/>
    </w:pPr>
    <w:rPr>
      <w:rFonts w:ascii="Times New Roman" w:hAnsi="Times New Roman"/>
      <w:b/>
    </w:rPr>
  </w:style>
  <w:style w:type="paragraph" w:styleId="ListNumber">
    <w:name w:val="List Number"/>
    <w:basedOn w:val="List"/>
    <w:rsid w:val="006442FA"/>
    <w:pPr>
      <w:numPr>
        <w:numId w:val="11"/>
      </w:numPr>
    </w:pPr>
  </w:style>
  <w:style w:type="character" w:customStyle="1" w:styleId="WingdingSymbols">
    <w:name w:val="Wingding Symbols"/>
    <w:rsid w:val="006442FA"/>
    <w:rPr>
      <w:rFonts w:ascii="Wingdings" w:hAnsi="Wingdings"/>
    </w:rPr>
  </w:style>
  <w:style w:type="paragraph" w:customStyle="1" w:styleId="TableHeading">
    <w:name w:val="Table Heading"/>
    <w:basedOn w:val="HeadingBase"/>
    <w:rsid w:val="006442FA"/>
    <w:pPr>
      <w:keepLines/>
      <w:pBdr>
        <w:bottom w:val="single" w:sz="6" w:space="1" w:color="918585"/>
      </w:pBdr>
      <w:spacing w:before="240"/>
    </w:pPr>
  </w:style>
  <w:style w:type="character" w:customStyle="1" w:styleId="HotSpot">
    <w:name w:val="HotSpot"/>
    <w:rsid w:val="006442FA"/>
    <w:rPr>
      <w:color w:val="0033CC"/>
      <w:u w:val="none"/>
    </w:rPr>
  </w:style>
  <w:style w:type="paragraph" w:customStyle="1" w:styleId="BodyTextRight">
    <w:name w:val="Body Text Right"/>
    <w:basedOn w:val="BodyText"/>
    <w:rsid w:val="006442FA"/>
    <w:pPr>
      <w:spacing w:before="0" w:after="0"/>
      <w:jc w:val="right"/>
    </w:pPr>
  </w:style>
  <w:style w:type="paragraph" w:styleId="Index3">
    <w:name w:val="index 3"/>
    <w:basedOn w:val="ListNumber2"/>
    <w:next w:val="Normal"/>
    <w:semiHidden/>
    <w:rsid w:val="006442FA"/>
    <w:pPr>
      <w:numPr>
        <w:numId w:val="0"/>
      </w:numPr>
      <w:tabs>
        <w:tab w:val="right" w:leader="dot" w:pos="4176"/>
      </w:tabs>
    </w:pPr>
  </w:style>
  <w:style w:type="paragraph" w:styleId="ListNumber2">
    <w:name w:val="List Number 2"/>
    <w:basedOn w:val="List2"/>
    <w:rsid w:val="006442FA"/>
    <w:pPr>
      <w:numPr>
        <w:numId w:val="10"/>
      </w:numPr>
      <w:tabs>
        <w:tab w:val="clear" w:pos="1060"/>
      </w:tabs>
    </w:pPr>
  </w:style>
  <w:style w:type="paragraph" w:customStyle="1" w:styleId="MarginNote">
    <w:name w:val="Margin Note"/>
    <w:basedOn w:val="BodyText"/>
    <w:rsid w:val="006442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42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42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42FA"/>
    <w:rPr>
      <w:sz w:val="32"/>
    </w:rPr>
  </w:style>
  <w:style w:type="paragraph" w:customStyle="1" w:styleId="HeadingProcedure">
    <w:name w:val="Heading Procedure"/>
    <w:basedOn w:val="HeadingBase"/>
    <w:next w:val="Normal"/>
    <w:rsid w:val="006442FA"/>
    <w:pPr>
      <w:tabs>
        <w:tab w:val="left" w:pos="0"/>
      </w:tabs>
      <w:spacing w:before="120" w:after="60"/>
    </w:pPr>
    <w:rPr>
      <w:i/>
      <w:color w:val="918585"/>
      <w:sz w:val="22"/>
    </w:rPr>
  </w:style>
  <w:style w:type="paragraph" w:customStyle="1" w:styleId="TableBodyText">
    <w:name w:val="Table Body Text"/>
    <w:basedOn w:val="BodyText"/>
    <w:rsid w:val="006442FA"/>
    <w:pPr>
      <w:spacing w:before="60" w:after="60"/>
    </w:pPr>
  </w:style>
  <w:style w:type="paragraph" w:styleId="ListContinue">
    <w:name w:val="List Continue"/>
    <w:basedOn w:val="List"/>
    <w:rsid w:val="006442FA"/>
    <w:pPr>
      <w:ind w:firstLine="0"/>
    </w:pPr>
  </w:style>
  <w:style w:type="paragraph" w:customStyle="1" w:styleId="ListNote">
    <w:name w:val="List Note"/>
    <w:basedOn w:val="List"/>
    <w:rsid w:val="006442FA"/>
    <w:pPr>
      <w:pBdr>
        <w:top w:val="single" w:sz="6" w:space="2" w:color="918585"/>
        <w:bottom w:val="single" w:sz="6" w:space="2" w:color="918585"/>
      </w:pBdr>
      <w:tabs>
        <w:tab w:val="left" w:pos="1021"/>
      </w:tabs>
      <w:ind w:firstLine="0"/>
    </w:pPr>
  </w:style>
  <w:style w:type="paragraph" w:customStyle="1" w:styleId="Warning">
    <w:name w:val="Warning"/>
    <w:basedOn w:val="BodyText"/>
    <w:rsid w:val="006442FA"/>
    <w:pPr>
      <w:shd w:val="clear" w:color="auto" w:fill="D9D9D9"/>
      <w:tabs>
        <w:tab w:val="left" w:pos="992"/>
      </w:tabs>
      <w:ind w:left="119" w:right="119"/>
    </w:pPr>
    <w:rPr>
      <w:sz w:val="20"/>
    </w:rPr>
  </w:style>
  <w:style w:type="paragraph" w:customStyle="1" w:styleId="MarginIcons">
    <w:name w:val="Margin Icons"/>
    <w:basedOn w:val="BodyText"/>
    <w:rsid w:val="006442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42FA"/>
    <w:rPr>
      <w:rFonts w:ascii="Courier New" w:hAnsi="Courier New"/>
    </w:rPr>
  </w:style>
  <w:style w:type="paragraph" w:customStyle="1" w:styleId="NoteBullet">
    <w:name w:val="Note Bullet"/>
    <w:basedOn w:val="Note"/>
    <w:rsid w:val="006442FA"/>
    <w:pPr>
      <w:tabs>
        <w:tab w:val="clear" w:pos="680"/>
      </w:tabs>
      <w:spacing w:before="60" w:after="60"/>
    </w:pPr>
  </w:style>
  <w:style w:type="paragraph" w:customStyle="1" w:styleId="SubHeading2">
    <w:name w:val="SubHeading2"/>
    <w:basedOn w:val="HeadingBase"/>
    <w:rsid w:val="006442FA"/>
    <w:pPr>
      <w:spacing w:before="240" w:after="60"/>
    </w:pPr>
    <w:rPr>
      <w:sz w:val="20"/>
    </w:rPr>
  </w:style>
  <w:style w:type="paragraph" w:customStyle="1" w:styleId="SubHeading1">
    <w:name w:val="SubHeading1"/>
    <w:basedOn w:val="HeadingBase"/>
    <w:rsid w:val="006442FA"/>
    <w:pPr>
      <w:spacing w:before="240" w:after="60"/>
    </w:pPr>
    <w:rPr>
      <w:color w:val="918585"/>
      <w:sz w:val="22"/>
    </w:rPr>
  </w:style>
  <w:style w:type="paragraph" w:customStyle="1" w:styleId="SideHeading">
    <w:name w:val="Side Heading"/>
    <w:basedOn w:val="HeadingBase"/>
    <w:rsid w:val="006442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42FA"/>
    <w:pPr>
      <w:numPr>
        <w:numId w:val="12"/>
      </w:numPr>
    </w:pPr>
  </w:style>
  <w:style w:type="paragraph" w:styleId="PlainText">
    <w:name w:val="Plain Text"/>
    <w:basedOn w:val="Normal"/>
    <w:link w:val="PlainTextChar"/>
    <w:rsid w:val="006442FA"/>
    <w:rPr>
      <w:sz w:val="20"/>
    </w:rPr>
  </w:style>
  <w:style w:type="character" w:customStyle="1" w:styleId="PlainTextChar">
    <w:name w:val="Plain Text Char"/>
    <w:basedOn w:val="DefaultParagraphFont"/>
    <w:link w:val="PlainText"/>
    <w:rsid w:val="006442FA"/>
    <w:rPr>
      <w:rFonts w:ascii="Courier New" w:eastAsia="Times New Roman" w:hAnsi="Courier New" w:cs="Times New Roman"/>
      <w:sz w:val="20"/>
      <w:szCs w:val="20"/>
      <w:lang w:eastAsia="en-US"/>
    </w:rPr>
  </w:style>
  <w:style w:type="character" w:customStyle="1" w:styleId="MenuOption">
    <w:name w:val="Menu Option"/>
    <w:basedOn w:val="DefaultParagraphFont"/>
    <w:rsid w:val="006442FA"/>
    <w:rPr>
      <w:b/>
      <w:smallCaps/>
    </w:rPr>
  </w:style>
  <w:style w:type="paragraph" w:customStyle="1" w:styleId="TableListNumber">
    <w:name w:val="Table List Number"/>
    <w:basedOn w:val="ListNumber"/>
    <w:rsid w:val="006442FA"/>
    <w:pPr>
      <w:numPr>
        <w:numId w:val="0"/>
      </w:numPr>
    </w:pPr>
  </w:style>
  <w:style w:type="paragraph" w:styleId="TOC4">
    <w:name w:val="toc 4"/>
    <w:basedOn w:val="TOCBase"/>
    <w:next w:val="Normal"/>
    <w:semiHidden/>
    <w:rsid w:val="006442FA"/>
    <w:pPr>
      <w:tabs>
        <w:tab w:val="right" w:leader="dot" w:pos="9071"/>
      </w:tabs>
      <w:ind w:left="1701"/>
    </w:pPr>
  </w:style>
  <w:style w:type="paragraph" w:customStyle="1" w:styleId="ListAlpha">
    <w:name w:val="List Alpha"/>
    <w:basedOn w:val="List"/>
    <w:rsid w:val="006442FA"/>
    <w:pPr>
      <w:numPr>
        <w:numId w:val="9"/>
      </w:numPr>
    </w:pPr>
  </w:style>
  <w:style w:type="paragraph" w:customStyle="1" w:styleId="ListAlpha2">
    <w:name w:val="List Alpha 2"/>
    <w:basedOn w:val="List2"/>
    <w:rsid w:val="006442FA"/>
    <w:pPr>
      <w:numPr>
        <w:numId w:val="8"/>
      </w:numPr>
    </w:pPr>
  </w:style>
  <w:style w:type="paragraph" w:styleId="List2">
    <w:name w:val="List 2"/>
    <w:basedOn w:val="BodyText"/>
    <w:rsid w:val="006442FA"/>
    <w:pPr>
      <w:tabs>
        <w:tab w:val="left" w:pos="680"/>
      </w:tabs>
      <w:spacing w:before="60" w:after="60"/>
      <w:ind w:left="680" w:hanging="340"/>
    </w:pPr>
  </w:style>
  <w:style w:type="paragraph" w:styleId="List3">
    <w:name w:val="List 3"/>
    <w:basedOn w:val="BodyText"/>
    <w:rsid w:val="006442FA"/>
    <w:pPr>
      <w:tabs>
        <w:tab w:val="left" w:pos="1021"/>
      </w:tabs>
      <w:spacing w:before="60" w:after="60"/>
      <w:ind w:left="1020" w:hanging="340"/>
    </w:pPr>
  </w:style>
  <w:style w:type="paragraph" w:styleId="List4">
    <w:name w:val="List 4"/>
    <w:basedOn w:val="BodyText"/>
    <w:rsid w:val="006442FA"/>
    <w:pPr>
      <w:tabs>
        <w:tab w:val="left" w:pos="1361"/>
      </w:tabs>
      <w:spacing w:before="60" w:after="60"/>
      <w:ind w:left="1361" w:hanging="340"/>
    </w:pPr>
  </w:style>
  <w:style w:type="paragraph" w:styleId="List5">
    <w:name w:val="List 5"/>
    <w:basedOn w:val="BodyText"/>
    <w:rsid w:val="006442FA"/>
    <w:pPr>
      <w:tabs>
        <w:tab w:val="left" w:pos="1701"/>
      </w:tabs>
      <w:spacing w:before="60" w:after="60"/>
      <w:ind w:left="1701" w:hanging="340"/>
    </w:pPr>
  </w:style>
  <w:style w:type="paragraph" w:styleId="ListBullet3">
    <w:name w:val="List Bullet 3"/>
    <w:basedOn w:val="List3"/>
    <w:rsid w:val="006442FA"/>
    <w:pPr>
      <w:numPr>
        <w:numId w:val="15"/>
      </w:numPr>
      <w:tabs>
        <w:tab w:val="clear" w:pos="1021"/>
      </w:tabs>
      <w:ind w:left="1037" w:hanging="357"/>
    </w:pPr>
  </w:style>
  <w:style w:type="paragraph" w:styleId="ListBullet4">
    <w:name w:val="List Bullet 4"/>
    <w:basedOn w:val="List4"/>
    <w:rsid w:val="006442FA"/>
    <w:pPr>
      <w:numPr>
        <w:numId w:val="3"/>
      </w:numPr>
    </w:pPr>
  </w:style>
  <w:style w:type="paragraph" w:styleId="ListBullet5">
    <w:name w:val="List Bullet 5"/>
    <w:basedOn w:val="List5"/>
    <w:rsid w:val="006442FA"/>
    <w:pPr>
      <w:numPr>
        <w:numId w:val="4"/>
      </w:numPr>
    </w:pPr>
  </w:style>
  <w:style w:type="paragraph" w:styleId="ListContinue2">
    <w:name w:val="List Continue 2"/>
    <w:basedOn w:val="List2"/>
    <w:rsid w:val="006442FA"/>
    <w:pPr>
      <w:ind w:firstLine="0"/>
    </w:pPr>
  </w:style>
  <w:style w:type="paragraph" w:styleId="ListContinue3">
    <w:name w:val="List Continue 3"/>
    <w:basedOn w:val="List3"/>
    <w:rsid w:val="006442FA"/>
    <w:pPr>
      <w:ind w:left="1021" w:firstLine="0"/>
    </w:pPr>
  </w:style>
  <w:style w:type="paragraph" w:styleId="ListContinue4">
    <w:name w:val="List Continue 4"/>
    <w:basedOn w:val="List4"/>
    <w:rsid w:val="006442FA"/>
    <w:pPr>
      <w:ind w:firstLine="0"/>
    </w:pPr>
  </w:style>
  <w:style w:type="paragraph" w:styleId="ListContinue5">
    <w:name w:val="List Continue 5"/>
    <w:basedOn w:val="List5"/>
    <w:rsid w:val="006442FA"/>
    <w:pPr>
      <w:ind w:firstLine="0"/>
    </w:pPr>
  </w:style>
  <w:style w:type="paragraph" w:styleId="ListNumber3">
    <w:name w:val="List Number 3"/>
    <w:basedOn w:val="List3"/>
    <w:rsid w:val="006442FA"/>
    <w:pPr>
      <w:numPr>
        <w:numId w:val="5"/>
      </w:numPr>
    </w:pPr>
  </w:style>
  <w:style w:type="paragraph" w:styleId="ListNumber4">
    <w:name w:val="List Number 4"/>
    <w:basedOn w:val="List4"/>
    <w:rsid w:val="006442FA"/>
    <w:pPr>
      <w:numPr>
        <w:numId w:val="6"/>
      </w:numPr>
    </w:pPr>
  </w:style>
  <w:style w:type="paragraph" w:styleId="ListNumber5">
    <w:name w:val="List Number 5"/>
    <w:basedOn w:val="List5"/>
    <w:rsid w:val="006442FA"/>
    <w:pPr>
      <w:numPr>
        <w:numId w:val="7"/>
      </w:numPr>
    </w:pPr>
  </w:style>
  <w:style w:type="paragraph" w:styleId="BlockText">
    <w:name w:val="Block Text"/>
    <w:basedOn w:val="Normal"/>
    <w:rsid w:val="006442FA"/>
    <w:pPr>
      <w:spacing w:after="120"/>
      <w:ind w:left="1440" w:right="1440"/>
    </w:pPr>
  </w:style>
  <w:style w:type="character" w:customStyle="1" w:styleId="Subscript">
    <w:name w:val="Subscript"/>
    <w:basedOn w:val="DefaultParagraphFont"/>
    <w:rsid w:val="006442FA"/>
    <w:rPr>
      <w:sz w:val="16"/>
      <w:vertAlign w:val="subscript"/>
    </w:rPr>
  </w:style>
  <w:style w:type="character" w:customStyle="1" w:styleId="Superscript">
    <w:name w:val="Superscript"/>
    <w:basedOn w:val="DefaultParagraphFont"/>
    <w:rsid w:val="006442FA"/>
    <w:rPr>
      <w:sz w:val="16"/>
      <w:vertAlign w:val="superscript"/>
    </w:rPr>
  </w:style>
  <w:style w:type="character" w:customStyle="1" w:styleId="Symbols">
    <w:name w:val="Symbols"/>
    <w:basedOn w:val="DefaultParagraphFont"/>
    <w:rsid w:val="006442FA"/>
    <w:rPr>
      <w:rFonts w:ascii="Symbol" w:hAnsi="Symbol"/>
    </w:rPr>
  </w:style>
  <w:style w:type="character" w:customStyle="1" w:styleId="MenuOptions">
    <w:name w:val="Menu Options"/>
    <w:basedOn w:val="DefaultParagraphFont"/>
    <w:rsid w:val="006442FA"/>
    <w:rPr>
      <w:rFonts w:ascii="Arial Narrow" w:hAnsi="Arial Narrow"/>
      <w:smallCaps/>
    </w:rPr>
  </w:style>
  <w:style w:type="character" w:customStyle="1" w:styleId="Buttons">
    <w:name w:val="Buttons"/>
    <w:basedOn w:val="DefaultParagraphFont"/>
    <w:rsid w:val="006442FA"/>
    <w:rPr>
      <w:b/>
    </w:rPr>
  </w:style>
  <w:style w:type="character" w:customStyle="1" w:styleId="Underlined">
    <w:name w:val="Underlined"/>
    <w:basedOn w:val="DefaultParagraphFont"/>
    <w:rsid w:val="006442FA"/>
    <w:rPr>
      <w:u w:val="single"/>
    </w:rPr>
  </w:style>
  <w:style w:type="paragraph" w:customStyle="1" w:styleId="TableBodyTextRight">
    <w:name w:val="Table Body Text Right"/>
    <w:basedOn w:val="TableBodyText"/>
    <w:rsid w:val="006442FA"/>
    <w:pPr>
      <w:widowControl w:val="0"/>
      <w:autoSpaceDE w:val="0"/>
      <w:autoSpaceDN w:val="0"/>
      <w:adjustRightInd w:val="0"/>
      <w:jc w:val="right"/>
    </w:pPr>
    <w:rPr>
      <w:rFonts w:cs="Arial"/>
      <w:szCs w:val="18"/>
    </w:rPr>
  </w:style>
  <w:style w:type="paragraph" w:customStyle="1" w:styleId="CopyrightText">
    <w:name w:val="Copyright Text"/>
    <w:basedOn w:val="BodyText"/>
    <w:rsid w:val="006442FA"/>
    <w:rPr>
      <w:sz w:val="18"/>
    </w:rPr>
  </w:style>
  <w:style w:type="paragraph" w:customStyle="1" w:styleId="BodySmallRight">
    <w:name w:val="Body Small Right"/>
    <w:basedOn w:val="BodyTextRight"/>
    <w:rsid w:val="006442FA"/>
    <w:rPr>
      <w:sz w:val="18"/>
      <w:szCs w:val="18"/>
    </w:rPr>
  </w:style>
  <w:style w:type="paragraph" w:customStyle="1" w:styleId="MarginEdition">
    <w:name w:val="Margin Edition"/>
    <w:basedOn w:val="MarginNote"/>
    <w:rsid w:val="006442FA"/>
    <w:pPr>
      <w:spacing w:before="0" w:after="0"/>
    </w:pPr>
    <w:rPr>
      <w:rFonts w:ascii="Times New Roman" w:hAnsi="Times New Roman"/>
      <w:color w:val="999999"/>
    </w:rPr>
  </w:style>
  <w:style w:type="paragraph" w:customStyle="1" w:styleId="Spacer">
    <w:name w:val="Spacer"/>
    <w:basedOn w:val="Normal"/>
    <w:rsid w:val="006442FA"/>
    <w:rPr>
      <w:sz w:val="2"/>
      <w:szCs w:val="2"/>
    </w:rPr>
  </w:style>
  <w:style w:type="character" w:customStyle="1" w:styleId="Small">
    <w:name w:val="Small"/>
    <w:basedOn w:val="DefaultParagraphFont"/>
    <w:rsid w:val="006442FA"/>
    <w:rPr>
      <w:sz w:val="16"/>
    </w:rPr>
  </w:style>
  <w:style w:type="paragraph" w:customStyle="1" w:styleId="WideTable">
    <w:name w:val="Wide Table"/>
    <w:basedOn w:val="Normal"/>
    <w:rsid w:val="006442FA"/>
    <w:pPr>
      <w:ind w:left="-1418"/>
    </w:pPr>
    <w:rPr>
      <w:sz w:val="2"/>
      <w:szCs w:val="2"/>
    </w:rPr>
  </w:style>
  <w:style w:type="character" w:styleId="PageNumber">
    <w:name w:val="page number"/>
    <w:basedOn w:val="DefaultParagraphFont"/>
    <w:rsid w:val="006442FA"/>
  </w:style>
  <w:style w:type="paragraph" w:styleId="Quote">
    <w:name w:val="Quote"/>
    <w:basedOn w:val="Heading1"/>
    <w:link w:val="QuoteChar"/>
    <w:qFormat/>
    <w:rsid w:val="006442FA"/>
    <w:rPr>
      <w:b w:val="0"/>
      <w:sz w:val="72"/>
      <w:szCs w:val="72"/>
      <w:lang w:val="en-NZ"/>
    </w:rPr>
  </w:style>
  <w:style w:type="character" w:customStyle="1" w:styleId="QuoteChar">
    <w:name w:val="Quote Char"/>
    <w:basedOn w:val="DefaultParagraphFont"/>
    <w:link w:val="Quote"/>
    <w:rsid w:val="006442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42FA"/>
    <w:pPr>
      <w:pageBreakBefore/>
    </w:pPr>
  </w:style>
  <w:style w:type="paragraph" w:customStyle="1" w:styleId="Border">
    <w:name w:val="Border"/>
    <w:basedOn w:val="Normal"/>
    <w:qFormat/>
    <w:rsid w:val="006442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42FA"/>
    <w:rPr>
      <w:b/>
      <w:bCs/>
      <w:i/>
      <w:iCs/>
      <w:color w:val="auto"/>
    </w:rPr>
  </w:style>
  <w:style w:type="paragraph" w:styleId="IntenseQuote">
    <w:name w:val="Intense Quote"/>
    <w:basedOn w:val="Normal"/>
    <w:next w:val="Normal"/>
    <w:link w:val="IntenseQuoteChar"/>
    <w:uiPriority w:val="30"/>
    <w:qFormat/>
    <w:rsid w:val="006442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42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42FA"/>
    <w:rPr>
      <w:smallCaps/>
      <w:color w:val="auto"/>
      <w:u w:val="single"/>
    </w:rPr>
  </w:style>
  <w:style w:type="character" w:styleId="IntenseReference">
    <w:name w:val="Intense Reference"/>
    <w:basedOn w:val="DefaultParagraphFont"/>
    <w:uiPriority w:val="32"/>
    <w:qFormat/>
    <w:rsid w:val="006442FA"/>
    <w:rPr>
      <w:b/>
      <w:bCs/>
      <w:smallCaps/>
      <w:color w:val="auto"/>
      <w:spacing w:val="5"/>
      <w:u w:val="single"/>
    </w:rPr>
  </w:style>
  <w:style w:type="paragraph" w:customStyle="1" w:styleId="2ColumnHeading">
    <w:name w:val="2Column Heading"/>
    <w:basedOn w:val="BodyText"/>
    <w:qFormat/>
    <w:rsid w:val="006442FA"/>
    <w:pPr>
      <w:spacing w:after="60"/>
      <w:ind w:left="-2268"/>
    </w:pPr>
    <w:rPr>
      <w:b/>
    </w:rPr>
  </w:style>
  <w:style w:type="paragraph" w:customStyle="1" w:styleId="Heading1TOC">
    <w:name w:val="Heading1 TOC"/>
    <w:basedOn w:val="Normal"/>
    <w:qFormat/>
    <w:rsid w:val="006442FA"/>
    <w:pPr>
      <w:spacing w:before="240" w:after="120"/>
    </w:pPr>
    <w:rPr>
      <w:rFonts w:ascii="Times New Roman" w:hAnsi="Times New Roman"/>
      <w:b/>
      <w:sz w:val="32"/>
    </w:rPr>
  </w:style>
  <w:style w:type="paragraph" w:customStyle="1" w:styleId="Heading2TOC">
    <w:name w:val="Heading2 TOC"/>
    <w:basedOn w:val="Normal"/>
    <w:qFormat/>
    <w:rsid w:val="006442FA"/>
    <w:pPr>
      <w:spacing w:before="240" w:after="60"/>
    </w:pPr>
    <w:rPr>
      <w:rFonts w:ascii="Times New Roman" w:hAnsi="Times New Roman"/>
      <w:b/>
      <w:sz w:val="28"/>
    </w:rPr>
  </w:style>
  <w:style w:type="character" w:customStyle="1" w:styleId="Underline">
    <w:name w:val="Underline"/>
    <w:basedOn w:val="DefaultParagraphFont"/>
    <w:qFormat/>
    <w:rsid w:val="006442FA"/>
    <w:rPr>
      <w:u w:val="single"/>
    </w:rPr>
  </w:style>
  <w:style w:type="character" w:customStyle="1" w:styleId="BoldandItalics">
    <w:name w:val="Bold and Italics"/>
    <w:qFormat/>
    <w:rsid w:val="006442FA"/>
    <w:rPr>
      <w:b/>
      <w:i/>
      <w:u w:val="none"/>
    </w:rPr>
  </w:style>
  <w:style w:type="paragraph" w:styleId="BalloonText">
    <w:name w:val="Balloon Text"/>
    <w:basedOn w:val="Normal"/>
    <w:link w:val="BalloonTextChar"/>
    <w:rsid w:val="006442FA"/>
    <w:rPr>
      <w:rFonts w:ascii="Tahoma" w:hAnsi="Tahoma" w:cs="Tahoma"/>
      <w:sz w:val="16"/>
      <w:szCs w:val="16"/>
    </w:rPr>
  </w:style>
  <w:style w:type="character" w:customStyle="1" w:styleId="BalloonTextChar">
    <w:name w:val="Balloon Text Char"/>
    <w:basedOn w:val="DefaultParagraphFont"/>
    <w:link w:val="BalloonText"/>
    <w:rsid w:val="006442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42F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442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42FA"/>
    <w:rPr>
      <w:b/>
      <w:color w:val="660033"/>
      <w:spacing w:val="0"/>
    </w:rPr>
  </w:style>
  <w:style w:type="paragraph" w:customStyle="1" w:styleId="Nameditemlist">
    <w:name w:val="Named item list"/>
    <w:basedOn w:val="BodyText"/>
    <w:qFormat/>
    <w:rsid w:val="006442F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1998</Words>
  <Characters>12220</Characters>
  <Application>Microsoft Office Word</Application>
  <DocSecurity>0</DocSecurity>
  <Lines>434</Lines>
  <Paragraphs>185</Paragraphs>
  <ScaleCrop>false</ScaleCrop>
  <Company>Author-it Software Corporation Ltd.</Company>
  <LinksUpToDate>false</LinksUpToDate>
  <CharactersWithSpaces>14068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UEPOPS352B Conduct operational checks on in-service mechanical plant</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2012-07-25T17:14:00Z</dcterms:created>
  <dcterms:modified xsi:type="dcterms:W3CDTF">2012-07-25T17:14:00Z</dcterms:modified>
</cp:coreProperties>
</file>