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2A00" w:rsidP="00A22A00">
      <w:pPr>
        <w:pStyle w:val="Title"/>
      </w:pPr>
      <w:bookmarkStart w:id="0" w:name="_GoBack"/>
      <w:bookmarkEnd w:id="0"/>
      <w:r>
        <w:fldChar w:fldCharType="begin"/>
      </w:r>
      <w:r>
        <w:instrText xml:space="preserve"> TITLE   \* MERGEFORMAT </w:instrText>
      </w:r>
      <w:r>
        <w:fldChar w:fldCharType="separate"/>
      </w:r>
      <w:r>
        <w:t>UEPOPS323B Operate and monitor reverse osmosis plant</w:t>
      </w:r>
      <w:r>
        <w:fldChar w:fldCharType="end"/>
      </w:r>
    </w:p>
    <w:p w:rsidR="00A22A00" w:rsidP="00A22A00">
      <w:pPr>
        <w:pStyle w:val="Version"/>
        <w:sectPr w:rsidSect="0088095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095A" w:rsidP="0088095A">
      <w:pPr>
        <w:pStyle w:val="SuperHeading"/>
      </w:pPr>
      <w:r w:rsidRPr="0088095A">
        <w:t>UEPOPS323B Operate and monitor reverse osmosis plant</w:t>
      </w:r>
    </w:p>
    <w:p w:rsidR="00000000" w:rsidRPr="0088095A" w:rsidP="0088095A">
      <w:pPr>
        <w:pStyle w:val="Heading1"/>
      </w:pPr>
      <w:bookmarkStart w:id="1" w:name="O_475039"/>
      <w:bookmarkEnd w:id="1"/>
      <w:r w:rsidRPr="0088095A">
        <w:t>Modification History</w:t>
      </w:r>
    </w:p>
    <w:p w:rsidR="00000000" w:rsidRPr="0088095A" w:rsidP="0088095A">
      <w:pPr>
        <w:pStyle w:val="BodyText"/>
      </w:pPr>
      <w:r w:rsidRPr="0088095A">
        <w:t>Not applicable.</w:t>
      </w:r>
    </w:p>
    <w:p w:rsidR="00000000" w:rsidRPr="0088095A" w:rsidP="0088095A">
      <w:pPr>
        <w:pStyle w:val="AllowPageBreak"/>
      </w:pPr>
    </w:p>
    <w:p w:rsidR="00000000" w:rsidRPr="0088095A" w:rsidP="0088095A">
      <w:pPr>
        <w:pStyle w:val="Heading1"/>
      </w:pPr>
      <w:bookmarkStart w:id="2" w:name="O_475037"/>
      <w:bookmarkEnd w:id="2"/>
      <w:r w:rsidRPr="0088095A">
        <w:t>Unit Descriptor</w:t>
      </w:r>
    </w:p>
    <w:tbl>
      <w:tblPr>
        <w:tblW w:w="0" w:type="auto"/>
        <w:tblLayout w:type="fixed"/>
        <w:tblCellMar>
          <w:left w:w="62" w:type="dxa"/>
          <w:right w:w="62" w:type="dxa"/>
        </w:tblCellMar>
        <w:tblLook w:val="0000"/>
      </w:tblPr>
      <w:tblGrid>
        <w:gridCol w:w="2700"/>
        <w:gridCol w:w="5760"/>
      </w:tblGrid>
      <w:tr w:rsidTr="00A22A0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8095A" w:rsidP="0088095A">
            <w:pPr>
              <w:pStyle w:val="BodyText"/>
            </w:pPr>
            <w:r w:rsidRPr="0088095A">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88095A">
            <w:pPr>
              <w:pStyle w:val="BodyText"/>
              <w:rPr>
                <w:lang w:val="en-NZ"/>
              </w:rPr>
            </w:pPr>
            <w:r w:rsidRPr="0088095A">
              <w:rPr>
                <w:rStyle w:val="SpecialBold"/>
              </w:rPr>
              <w:t>1)</w:t>
            </w:r>
            <w:r w:rsidRPr="0088095A">
              <w:t xml:space="preserve"> </w:t>
            </w:r>
            <w:r w:rsidRPr="0088095A">
              <w:rPr>
                <w:rStyle w:val="SpecialBold"/>
              </w:rPr>
              <w:t>Scope:</w:t>
            </w:r>
          </w:p>
        </w:tc>
      </w:tr>
      <w:tr w:rsidTr="00A22A0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8095A">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88095A">
            <w:pPr>
              <w:pStyle w:val="BodyText"/>
              <w:rPr>
                <w:lang w:val="en-NZ"/>
              </w:rPr>
            </w:pPr>
            <w:r w:rsidRPr="0088095A">
              <w:rPr>
                <w:rStyle w:val="SpecialBold"/>
              </w:rPr>
              <w:t>1.1) Descriptor</w:t>
            </w:r>
          </w:p>
        </w:tc>
      </w:tr>
      <w:tr w:rsidTr="00A22A0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8095A" w:rsidP="0088095A">
            <w:pPr>
              <w:pStyle w:val="BodyText"/>
            </w:pPr>
            <w:r w:rsidRPr="0088095A">
              <w:t>This unit deals with the skills and knowledge required to operate, inspect and monitor reverse osmosis plant.</w:t>
            </w:r>
          </w:p>
        </w:tc>
      </w:tr>
    </w:tbl>
    <w:p w:rsidR="00000000" w:rsidRPr="0088095A" w:rsidP="0088095A">
      <w:pPr>
        <w:pStyle w:val="BodyText"/>
      </w:pPr>
    </w:p>
    <w:p w:rsidR="00000000" w:rsidRPr="0088095A" w:rsidP="0088095A">
      <w:pPr>
        <w:pStyle w:val="AllowPageBreak"/>
      </w:pPr>
    </w:p>
    <w:p w:rsidR="00000000" w:rsidRPr="0088095A" w:rsidP="0088095A">
      <w:pPr>
        <w:pStyle w:val="Heading1"/>
      </w:pPr>
      <w:bookmarkStart w:id="3" w:name="O_475026"/>
      <w:bookmarkEnd w:id="3"/>
      <w:r w:rsidRPr="0088095A">
        <w:t>Application of the Unit</w:t>
      </w:r>
    </w:p>
    <w:tbl>
      <w:tblPr>
        <w:tblW w:w="0" w:type="auto"/>
        <w:tblLayout w:type="fixed"/>
        <w:tblCellMar>
          <w:left w:w="62" w:type="dxa"/>
          <w:right w:w="62" w:type="dxa"/>
        </w:tblCellMar>
        <w:tblLook w:val="0000"/>
      </w:tblPr>
      <w:tblGrid>
        <w:gridCol w:w="2672"/>
        <w:gridCol w:w="5699"/>
      </w:tblGrid>
      <w:tr w:rsidTr="00A22A00">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88095A" w:rsidP="0088095A">
            <w:pPr>
              <w:pStyle w:val="BodyText"/>
            </w:pPr>
            <w:r w:rsidRPr="0088095A">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88095A">
            <w:pPr>
              <w:pStyle w:val="BodyText"/>
              <w:rPr>
                <w:lang w:val="en-NZ"/>
              </w:rPr>
            </w:pPr>
            <w:r w:rsidRPr="0088095A">
              <w:rPr>
                <w:rStyle w:val="SpecialBold"/>
              </w:rPr>
              <w:t>2)</w:t>
            </w:r>
          </w:p>
        </w:tc>
      </w:tr>
      <w:tr w:rsidTr="00A22A00">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88095A" w:rsidP="0088095A">
            <w:pPr>
              <w:pStyle w:val="BodyText"/>
            </w:pPr>
            <w:r w:rsidRPr="0088095A">
              <w:t>This unit is intended to augment formally acquired competencies. It is suitable for employment-based programs under an approved contract of training.</w:t>
            </w:r>
          </w:p>
        </w:tc>
      </w:tr>
    </w:tbl>
    <w:p w:rsidR="00000000" w:rsidRPr="0088095A" w:rsidP="0088095A">
      <w:pPr>
        <w:pStyle w:val="BodyText"/>
      </w:pPr>
    </w:p>
    <w:p w:rsidR="00000000" w:rsidRPr="0088095A" w:rsidP="0088095A">
      <w:pPr>
        <w:pStyle w:val="AllowPageBreak"/>
      </w:pPr>
    </w:p>
    <w:p w:rsidR="00000000" w:rsidRPr="0088095A" w:rsidP="0088095A">
      <w:pPr>
        <w:pStyle w:val="Heading1"/>
      </w:pPr>
      <w:bookmarkStart w:id="4" w:name="O_475033"/>
      <w:bookmarkEnd w:id="4"/>
      <w:r w:rsidRPr="0088095A">
        <w:t>Licensing/Regulatory Information</w:t>
      </w:r>
    </w:p>
    <w:tbl>
      <w:tblPr>
        <w:tblW w:w="0" w:type="auto"/>
        <w:tblLayout w:type="fixed"/>
        <w:tblCellMar>
          <w:left w:w="62" w:type="dxa"/>
          <w:right w:w="62" w:type="dxa"/>
        </w:tblCellMar>
        <w:tblLook w:val="0000"/>
      </w:tblPr>
      <w:tblGrid>
        <w:gridCol w:w="2700"/>
        <w:gridCol w:w="5760"/>
      </w:tblGrid>
      <w:tr w:rsidTr="00A22A0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8095A" w:rsidP="0088095A">
            <w:pPr>
              <w:pStyle w:val="BodyText"/>
            </w:pPr>
            <w:r w:rsidRPr="0088095A">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88095A">
            <w:pPr>
              <w:pStyle w:val="BodyText"/>
              <w:rPr>
                <w:lang w:val="en-NZ"/>
              </w:rPr>
            </w:pPr>
            <w:r w:rsidRPr="0088095A">
              <w:rPr>
                <w:rStyle w:val="SpecialBold"/>
              </w:rPr>
              <w:t xml:space="preserve">3) </w:t>
            </w:r>
          </w:p>
        </w:tc>
      </w:tr>
      <w:tr w:rsidTr="00A22A0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8095A" w:rsidP="0088095A">
            <w:pPr>
              <w:pStyle w:val="BodyText"/>
            </w:pPr>
            <w:r w:rsidRPr="0088095A">
              <w:t>The skills and knowledge des</w:t>
            </w:r>
            <w:r w:rsidRPr="0088095A">
              <w:t>cribed in this unit do not require a licence to practise in the workplace. However, practice in this unit is subject to regulations directly related to Occupational Health and Safety and where applicable contracts of training such as apprenticeships.</w:t>
            </w:r>
          </w:p>
        </w:tc>
      </w:tr>
    </w:tbl>
    <w:p w:rsidR="00000000" w:rsidRPr="0088095A" w:rsidP="0088095A">
      <w:pPr>
        <w:pStyle w:val="BodyText"/>
      </w:pPr>
    </w:p>
    <w:p w:rsidR="00000000" w:rsidRPr="0088095A" w:rsidP="0088095A">
      <w:pPr>
        <w:pStyle w:val="AllowPageBreak"/>
      </w:pPr>
    </w:p>
    <w:p w:rsidR="00000000" w:rsidRPr="0088095A" w:rsidP="0088095A">
      <w:pPr>
        <w:pStyle w:val="Heading1"/>
      </w:pPr>
      <w:bookmarkStart w:id="5" w:name="O_475034"/>
      <w:bookmarkEnd w:id="5"/>
      <w:r w:rsidRPr="0088095A">
        <w:t>Pre-Requisites</w:t>
      </w:r>
    </w:p>
    <w:tbl>
      <w:tblPr>
        <w:tblW w:w="0" w:type="auto"/>
        <w:tblLayout w:type="fixed"/>
        <w:tblCellMar>
          <w:left w:w="62" w:type="dxa"/>
          <w:right w:w="62" w:type="dxa"/>
        </w:tblCellMar>
        <w:tblLook w:val="0000"/>
      </w:tblPr>
      <w:tblGrid>
        <w:gridCol w:w="2700"/>
        <w:gridCol w:w="5764"/>
      </w:tblGrid>
      <w:tr w:rsidTr="00A22A0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8095A" w:rsidP="0088095A">
            <w:pPr>
              <w:pStyle w:val="BodyText"/>
            </w:pPr>
            <w:r w:rsidRPr="0088095A">
              <w:rPr>
                <w:rStyle w:val="SpecialBold"/>
              </w:rPr>
              <w:t>Prerequisite Unit(s)</w:t>
            </w:r>
          </w:p>
        </w:tc>
        <w:tc>
          <w:tcPr>
            <w:tcW w:w="5764" w:type="dxa"/>
            <w:tcBorders>
              <w:top w:val="nil"/>
              <w:left w:val="nil"/>
              <w:bottom w:val="nil"/>
              <w:right w:val="nil"/>
            </w:tcBorders>
            <w:tcMar>
              <w:top w:w="0" w:type="dxa"/>
              <w:left w:w="62" w:type="dxa"/>
              <w:bottom w:w="0" w:type="dxa"/>
              <w:right w:w="62" w:type="dxa"/>
            </w:tcMar>
          </w:tcPr>
          <w:p w:rsidR="00000000" w:rsidP="0088095A">
            <w:pPr>
              <w:pStyle w:val="BodyText"/>
              <w:rPr>
                <w:lang w:val="en-NZ"/>
              </w:rPr>
            </w:pPr>
            <w:r w:rsidRPr="0088095A">
              <w:rPr>
                <w:rStyle w:val="SpecialBold"/>
              </w:rPr>
              <w:t xml:space="preserve">4) </w:t>
            </w:r>
          </w:p>
        </w:tc>
      </w:tr>
      <w:tr w:rsidTr="00A22A0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8095A" w:rsidP="0088095A">
            <w:pPr>
              <w:pStyle w:val="BodyText"/>
            </w:pPr>
            <w:r w:rsidRPr="0088095A">
              <w:rPr>
                <w:rStyle w:val="SpecialBold"/>
              </w:rPr>
              <w:t>Competencies</w:t>
            </w:r>
          </w:p>
        </w:tc>
        <w:tc>
          <w:tcPr>
            <w:tcW w:w="5764" w:type="dxa"/>
            <w:tcBorders>
              <w:top w:val="nil"/>
              <w:left w:val="nil"/>
              <w:bottom w:val="nil"/>
              <w:right w:val="nil"/>
            </w:tcBorders>
            <w:tcMar>
              <w:top w:w="0" w:type="dxa"/>
              <w:left w:w="62" w:type="dxa"/>
              <w:bottom w:w="0" w:type="dxa"/>
              <w:right w:w="62" w:type="dxa"/>
            </w:tcMar>
          </w:tcPr>
          <w:p w:rsidR="00000000" w:rsidP="0088095A">
            <w:pPr>
              <w:pStyle w:val="BodyText"/>
              <w:rPr>
                <w:lang w:val="en-NZ"/>
              </w:rPr>
            </w:pPr>
            <w:r w:rsidRPr="0088095A">
              <w:rPr>
                <w:rStyle w:val="SpecialBold"/>
              </w:rPr>
              <w:t>4.1)</w:t>
            </w:r>
          </w:p>
        </w:tc>
      </w:tr>
      <w:tr w:rsidTr="00A22A0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tcBorders>
              <w:top w:val="nil"/>
              <w:left w:val="nil"/>
              <w:bottom w:val="nil"/>
              <w:right w:val="nil"/>
            </w:tcBorders>
            <w:tcMar>
              <w:top w:w="0" w:type="dxa"/>
              <w:left w:w="62" w:type="dxa"/>
              <w:bottom w:w="0" w:type="dxa"/>
              <w:right w:w="62" w:type="dxa"/>
            </w:tcMar>
          </w:tcPr>
          <w:p w:rsidR="00000000" w:rsidRPr="0088095A" w:rsidP="0088095A">
            <w:pPr>
              <w:pStyle w:val="BodyText"/>
            </w:pPr>
            <w:r w:rsidRPr="0088095A">
              <w:t>Granting of competency in this unit shall be made only after competency in the following unit(s) has/have been confirmed.</w:t>
            </w:r>
          </w:p>
          <w:p w:rsidR="00000000" w:rsidRPr="0088095A" w:rsidP="0088095A">
            <w:pPr>
              <w:pStyle w:val="BodyText"/>
            </w:pPr>
            <w:r w:rsidRPr="0088095A">
              <w:t>Where pre-requisite pathways have been identified. All competencies in the Common Unit Group must be have been completed.</w:t>
            </w:r>
          </w:p>
          <w:p w:rsidR="00000000" w:rsidRPr="0088095A" w:rsidP="0088095A">
            <w:pPr>
              <w:pStyle w:val="BodyText"/>
            </w:pPr>
            <w:r w:rsidRPr="0088095A">
              <w:t>There are no pre-requisite units</w:t>
            </w:r>
          </w:p>
        </w:tc>
      </w:tr>
    </w:tbl>
    <w:p w:rsidR="00000000" w:rsidRPr="0088095A" w:rsidP="0088095A">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A22A00">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88095A" w:rsidP="0088095A">
            <w:pPr>
              <w:pStyle w:val="BodyText"/>
            </w:pPr>
            <w:r w:rsidRPr="0088095A">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88095A">
            <w:pPr>
              <w:pStyle w:val="BodyText"/>
              <w:rPr>
                <w:lang w:val="en-NZ"/>
              </w:rPr>
            </w:pPr>
            <w:r w:rsidRPr="0088095A">
              <w:rPr>
                <w:rStyle w:val="SpecialBold"/>
              </w:rPr>
              <w:t xml:space="preserve">4.2) </w:t>
            </w:r>
          </w:p>
        </w:tc>
      </w:tr>
      <w:tr w:rsidTr="00A22A0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88095A">
            <w:pPr>
              <w:pStyle w:val="BodyText"/>
              <w:rPr>
                <w:lang w:val="en-NZ"/>
              </w:rPr>
            </w:pPr>
            <w:r w:rsidRPr="0088095A">
              <w:t>Participants are best equipped to achieve this unit if they have reading, writing and numeracy skills indicated by the following levels. A description of what each level entails is provided in Section 2.3.1 Language, Literacy and Numeracy.</w:t>
            </w:r>
          </w:p>
        </w:tc>
      </w:tr>
      <w:tr w:rsidTr="00A22A0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8095A">
            <w:pPr>
              <w:pStyle w:val="BodyText"/>
              <w:rPr>
                <w:lang w:val="en-NZ"/>
              </w:rPr>
            </w:pPr>
            <w:r w:rsidRPr="0088095A">
              <w:t>Reading</w:t>
            </w:r>
          </w:p>
        </w:tc>
        <w:tc>
          <w:tcPr>
            <w:tcW w:w="810" w:type="dxa"/>
            <w:tcBorders>
              <w:top w:val="nil"/>
              <w:left w:val="nil"/>
              <w:bottom w:val="nil"/>
              <w:right w:val="nil"/>
            </w:tcBorders>
            <w:tcMar>
              <w:top w:w="0" w:type="dxa"/>
              <w:left w:w="62" w:type="dxa"/>
              <w:bottom w:w="0" w:type="dxa"/>
              <w:right w:w="62" w:type="dxa"/>
            </w:tcMar>
          </w:tcPr>
          <w:p w:rsidR="00000000" w:rsidP="0088095A">
            <w:pPr>
              <w:pStyle w:val="BodyText"/>
              <w:rPr>
                <w:lang w:val="en-NZ"/>
              </w:rPr>
            </w:pPr>
            <w:r w:rsidRPr="0088095A">
              <w:t>3</w:t>
            </w:r>
          </w:p>
        </w:tc>
        <w:tc>
          <w:tcPr>
            <w:tcW w:w="990" w:type="dxa"/>
            <w:tcBorders>
              <w:top w:val="nil"/>
              <w:left w:val="nil"/>
              <w:bottom w:val="nil"/>
              <w:right w:val="nil"/>
            </w:tcBorders>
            <w:tcMar>
              <w:top w:w="0" w:type="dxa"/>
              <w:left w:w="62" w:type="dxa"/>
              <w:bottom w:w="0" w:type="dxa"/>
              <w:right w:w="62" w:type="dxa"/>
            </w:tcMar>
          </w:tcPr>
          <w:p w:rsidR="00000000" w:rsidP="0088095A">
            <w:pPr>
              <w:pStyle w:val="BodyText"/>
              <w:rPr>
                <w:lang w:val="en-NZ"/>
              </w:rPr>
            </w:pPr>
            <w:r w:rsidRPr="0088095A">
              <w:t>Writing</w:t>
            </w:r>
          </w:p>
        </w:tc>
        <w:tc>
          <w:tcPr>
            <w:tcW w:w="900" w:type="dxa"/>
            <w:tcBorders>
              <w:top w:val="nil"/>
              <w:left w:val="nil"/>
              <w:bottom w:val="nil"/>
              <w:right w:val="nil"/>
            </w:tcBorders>
            <w:tcMar>
              <w:top w:w="0" w:type="dxa"/>
              <w:left w:w="62" w:type="dxa"/>
              <w:bottom w:w="0" w:type="dxa"/>
              <w:right w:w="62" w:type="dxa"/>
            </w:tcMar>
          </w:tcPr>
          <w:p w:rsidR="00000000" w:rsidP="0088095A">
            <w:pPr>
              <w:pStyle w:val="BodyText"/>
              <w:rPr>
                <w:lang w:val="en-NZ"/>
              </w:rPr>
            </w:pPr>
            <w:r w:rsidRPr="0088095A">
              <w:t>3</w:t>
            </w:r>
          </w:p>
        </w:tc>
        <w:tc>
          <w:tcPr>
            <w:tcW w:w="1260" w:type="dxa"/>
            <w:tcBorders>
              <w:top w:val="nil"/>
              <w:left w:val="nil"/>
              <w:bottom w:val="nil"/>
              <w:right w:val="nil"/>
            </w:tcBorders>
            <w:tcMar>
              <w:top w:w="0" w:type="dxa"/>
              <w:left w:w="62" w:type="dxa"/>
              <w:bottom w:w="0" w:type="dxa"/>
              <w:right w:w="62" w:type="dxa"/>
            </w:tcMar>
          </w:tcPr>
          <w:p w:rsidR="00000000" w:rsidP="0088095A">
            <w:pPr>
              <w:pStyle w:val="BodyText"/>
              <w:rPr>
                <w:lang w:val="en-NZ"/>
              </w:rPr>
            </w:pPr>
            <w:r w:rsidRPr="0088095A">
              <w:t>Numeracy</w:t>
            </w:r>
          </w:p>
        </w:tc>
        <w:tc>
          <w:tcPr>
            <w:tcW w:w="720" w:type="dxa"/>
            <w:tcBorders>
              <w:top w:val="nil"/>
              <w:left w:val="nil"/>
              <w:bottom w:val="nil"/>
              <w:right w:val="nil"/>
            </w:tcBorders>
            <w:tcMar>
              <w:top w:w="0" w:type="dxa"/>
              <w:left w:w="62" w:type="dxa"/>
              <w:bottom w:w="0" w:type="dxa"/>
              <w:right w:w="62" w:type="dxa"/>
            </w:tcMar>
          </w:tcPr>
          <w:p w:rsidR="00000000" w:rsidRPr="0088095A" w:rsidP="0088095A">
            <w:pPr>
              <w:pStyle w:val="BodyText"/>
            </w:pPr>
            <w:r w:rsidRPr="0088095A">
              <w:t>3</w:t>
            </w:r>
          </w:p>
        </w:tc>
      </w:tr>
    </w:tbl>
    <w:p w:rsidR="00000000" w:rsidRPr="0088095A" w:rsidP="0088095A">
      <w:pPr>
        <w:pStyle w:val="BodyText"/>
      </w:pPr>
    </w:p>
    <w:p w:rsidR="00000000" w:rsidRPr="0088095A" w:rsidP="0088095A">
      <w:pPr>
        <w:pStyle w:val="AllowPageBreak"/>
      </w:pPr>
    </w:p>
    <w:p w:rsidR="00000000" w:rsidRPr="0088095A" w:rsidP="0088095A">
      <w:pPr>
        <w:pStyle w:val="Heading1"/>
      </w:pPr>
      <w:bookmarkStart w:id="6" w:name="O_475030"/>
      <w:bookmarkEnd w:id="6"/>
      <w:r w:rsidRPr="0088095A">
        <w:t>Employability Skills Information</w:t>
      </w:r>
    </w:p>
    <w:tbl>
      <w:tblPr>
        <w:tblW w:w="0" w:type="auto"/>
        <w:tblLayout w:type="fixed"/>
        <w:tblCellMar>
          <w:left w:w="62" w:type="dxa"/>
          <w:right w:w="62" w:type="dxa"/>
        </w:tblCellMar>
        <w:tblLook w:val="0000"/>
      </w:tblPr>
      <w:tblGrid>
        <w:gridCol w:w="2700"/>
        <w:gridCol w:w="5760"/>
      </w:tblGrid>
      <w:tr w:rsidTr="00A22A0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8095A" w:rsidP="0088095A">
            <w:pPr>
              <w:pStyle w:val="BodyText"/>
            </w:pPr>
            <w:r w:rsidRPr="0088095A">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88095A">
            <w:pPr>
              <w:pStyle w:val="BodyText"/>
              <w:rPr>
                <w:lang w:val="en-NZ"/>
              </w:rPr>
            </w:pPr>
            <w:r w:rsidRPr="0088095A">
              <w:rPr>
                <w:rStyle w:val="SpecialBold"/>
              </w:rPr>
              <w:t xml:space="preserve">5) </w:t>
            </w:r>
          </w:p>
        </w:tc>
      </w:tr>
      <w:tr w:rsidTr="00A22A0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8095A" w:rsidP="0088095A">
            <w:pPr>
              <w:pStyle w:val="BodyText"/>
            </w:pPr>
            <w:r w:rsidRPr="0088095A">
              <w:t xml:space="preserve">The required outcomes described in this unit of competency contain applicable facets of Employability Skills. The Employability Skills Summary </w:t>
            </w:r>
            <w:r w:rsidRPr="0088095A">
              <w:t>of the qualification in which this unit of competency is packaged will assist in identifying Employability Skill requirements.</w:t>
            </w:r>
          </w:p>
        </w:tc>
      </w:tr>
    </w:tbl>
    <w:p w:rsidR="00000000" w:rsidRPr="0088095A" w:rsidP="0088095A">
      <w:pPr>
        <w:pStyle w:val="BodyText"/>
      </w:pPr>
    </w:p>
    <w:p w:rsidR="00000000" w:rsidRPr="0088095A" w:rsidP="0088095A">
      <w:pPr>
        <w:pStyle w:val="AllowPageBreak"/>
      </w:pPr>
    </w:p>
    <w:p w:rsidR="00000000" w:rsidRPr="0088095A" w:rsidP="0088095A">
      <w:pPr>
        <w:pStyle w:val="Heading1"/>
      </w:pPr>
      <w:bookmarkStart w:id="7" w:name="O_475029"/>
      <w:bookmarkEnd w:id="7"/>
      <w:r w:rsidRPr="0088095A">
        <w:t>Elements and Performance Criteria Pre-Content</w:t>
      </w:r>
    </w:p>
    <w:tbl>
      <w:tblPr>
        <w:tblW w:w="0" w:type="auto"/>
        <w:tblLayout w:type="fixed"/>
        <w:tblCellMar>
          <w:left w:w="62" w:type="dxa"/>
          <w:right w:w="62" w:type="dxa"/>
        </w:tblCellMar>
        <w:tblLook w:val="0000"/>
      </w:tblPr>
      <w:tblGrid>
        <w:gridCol w:w="2700"/>
        <w:gridCol w:w="5760"/>
      </w:tblGrid>
      <w:tr w:rsidTr="00A22A0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8095A">
            <w:pPr>
              <w:pStyle w:val="BodyText"/>
              <w:rPr>
                <w:lang w:val="en-NZ"/>
              </w:rPr>
            </w:pPr>
            <w:r w:rsidRPr="0088095A">
              <w:rPr>
                <w:rStyle w:val="SpecialBold"/>
              </w:rPr>
              <w:t>6)</w:t>
            </w:r>
            <w:r w:rsidRPr="0088095A">
              <w:t xml:space="preserve"> Elements describe the essential outcomes of a competency stan</w:t>
            </w:r>
            <w:r w:rsidRPr="0088095A">
              <w:t>dard unit</w:t>
            </w:r>
          </w:p>
        </w:tc>
        <w:tc>
          <w:tcPr>
            <w:tcW w:w="5760" w:type="dxa"/>
            <w:tcBorders>
              <w:top w:val="nil"/>
              <w:left w:val="nil"/>
              <w:bottom w:val="nil"/>
              <w:right w:val="nil"/>
            </w:tcBorders>
            <w:tcMar>
              <w:top w:w="0" w:type="dxa"/>
              <w:left w:w="62" w:type="dxa"/>
              <w:bottom w:w="0" w:type="dxa"/>
              <w:right w:w="62" w:type="dxa"/>
            </w:tcMar>
          </w:tcPr>
          <w:p w:rsidR="00000000" w:rsidRPr="0088095A" w:rsidP="0088095A">
            <w:pPr>
              <w:pStyle w:val="BodyText"/>
            </w:pPr>
            <w:r w:rsidRPr="0088095A">
              <w:t>Performance Criteria describe the required performance needed to demonstrate achievement of the element. Assessment of performance is to be consistent with the Evidence Guide.</w:t>
            </w:r>
          </w:p>
        </w:tc>
      </w:tr>
    </w:tbl>
    <w:p w:rsidR="00000000" w:rsidRPr="0088095A" w:rsidP="0088095A">
      <w:pPr>
        <w:pStyle w:val="BodyText"/>
      </w:pPr>
    </w:p>
    <w:p w:rsidR="00000000" w:rsidRPr="0088095A" w:rsidP="0088095A">
      <w:pPr>
        <w:pStyle w:val="AllowPageBreak"/>
      </w:pPr>
    </w:p>
    <w:p w:rsidR="00000000" w:rsidRPr="0088095A" w:rsidP="0088095A">
      <w:pPr>
        <w:pStyle w:val="Heading1"/>
      </w:pPr>
      <w:bookmarkStart w:id="8" w:name="O_475028"/>
      <w:bookmarkEnd w:id="8"/>
      <w:r w:rsidRPr="0088095A">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A22A00">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88095A" w:rsidP="0088095A">
            <w:pPr>
              <w:pStyle w:val="BodyText"/>
            </w:pPr>
            <w:r w:rsidRPr="0088095A">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88095A">
            <w:pPr>
              <w:pStyle w:val="BodyText"/>
              <w:rPr>
                <w:lang w:val="en-NZ"/>
              </w:rPr>
            </w:pPr>
            <w:r w:rsidRPr="0088095A">
              <w:rPr>
                <w:rStyle w:val="SpecialBold"/>
              </w:rPr>
              <w:t>PERFORMANCE CRITERIA</w:t>
            </w:r>
          </w:p>
        </w:tc>
      </w:tr>
      <w:tr w:rsidTr="00A22A0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8095A">
            <w:pPr>
              <w:pStyle w:val="BodyText"/>
              <w:rPr>
                <w:lang w:val="en-NZ"/>
              </w:rPr>
            </w:pPr>
            <w:r w:rsidRPr="0088095A">
              <w:t>1</w:t>
            </w:r>
          </w:p>
        </w:tc>
        <w:tc>
          <w:tcPr>
            <w:tcW w:w="2296" w:type="dxa"/>
            <w:vMerge w:val="restart"/>
            <w:tcBorders>
              <w:top w:val="nil"/>
              <w:left w:val="nil"/>
              <w:bottom w:val="nil"/>
              <w:right w:val="nil"/>
            </w:tcBorders>
            <w:tcMar>
              <w:top w:w="0" w:type="dxa"/>
              <w:left w:w="62" w:type="dxa"/>
              <w:bottom w:w="0" w:type="dxa"/>
              <w:right w:w="62" w:type="dxa"/>
            </w:tcMar>
          </w:tcPr>
          <w:p w:rsidR="00000000" w:rsidP="0088095A">
            <w:pPr>
              <w:pStyle w:val="BodyText"/>
              <w:rPr>
                <w:lang w:val="en-NZ"/>
              </w:rPr>
            </w:pPr>
            <w:r w:rsidRPr="0088095A">
              <w:t>Plan and prepare work</w:t>
            </w:r>
          </w:p>
        </w:tc>
        <w:tc>
          <w:tcPr>
            <w:tcW w:w="900" w:type="dxa"/>
            <w:tcBorders>
              <w:top w:val="nil"/>
              <w:left w:val="nil"/>
              <w:bottom w:val="nil"/>
              <w:right w:val="nil"/>
            </w:tcBorders>
            <w:tcMar>
              <w:top w:w="0" w:type="dxa"/>
              <w:left w:w="62" w:type="dxa"/>
              <w:bottom w:w="0" w:type="dxa"/>
              <w:right w:w="62" w:type="dxa"/>
            </w:tcMar>
          </w:tcPr>
          <w:p w:rsidR="00000000" w:rsidP="0088095A">
            <w:pPr>
              <w:pStyle w:val="BodyText"/>
              <w:rPr>
                <w:lang w:val="en-NZ"/>
              </w:rPr>
            </w:pPr>
            <w:r w:rsidRPr="0088095A">
              <w:t>1.1</w:t>
            </w:r>
          </w:p>
        </w:tc>
        <w:tc>
          <w:tcPr>
            <w:tcW w:w="4860" w:type="dxa"/>
            <w:tcBorders>
              <w:top w:val="nil"/>
              <w:left w:val="nil"/>
              <w:bottom w:val="nil"/>
              <w:right w:val="nil"/>
            </w:tcBorders>
            <w:tcMar>
              <w:top w:w="0" w:type="dxa"/>
              <w:left w:w="62" w:type="dxa"/>
              <w:bottom w:w="0" w:type="dxa"/>
              <w:right w:w="62" w:type="dxa"/>
            </w:tcMar>
          </w:tcPr>
          <w:p w:rsidR="00000000" w:rsidP="0088095A">
            <w:pPr>
              <w:pStyle w:val="BodyText"/>
              <w:rPr>
                <w:lang w:val="en-NZ"/>
              </w:rPr>
            </w:pPr>
            <w:r w:rsidRPr="0088095A">
              <w:t>Safety issues are identified to comply with enterprise/site requirements</w:t>
            </w:r>
          </w:p>
        </w:tc>
      </w:tr>
      <w:tr w:rsidTr="00A22A0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8095A">
            <w:pPr>
              <w:pStyle w:val="BodyText"/>
              <w:rPr>
                <w:lang w:val="en-NZ"/>
              </w:rPr>
            </w:pPr>
            <w:r w:rsidRPr="0088095A">
              <w:t>1.2</w:t>
            </w:r>
          </w:p>
        </w:tc>
        <w:tc>
          <w:tcPr>
            <w:tcW w:w="4860" w:type="dxa"/>
            <w:tcBorders>
              <w:top w:val="nil"/>
              <w:left w:val="nil"/>
              <w:bottom w:val="nil"/>
              <w:right w:val="nil"/>
            </w:tcBorders>
            <w:tcMar>
              <w:top w:w="0" w:type="dxa"/>
              <w:left w:w="62" w:type="dxa"/>
              <w:bottom w:w="0" w:type="dxa"/>
              <w:right w:w="62" w:type="dxa"/>
            </w:tcMar>
          </w:tcPr>
          <w:p w:rsidR="00000000" w:rsidP="0088095A">
            <w:pPr>
              <w:pStyle w:val="BodyText"/>
              <w:rPr>
                <w:lang w:val="en-NZ"/>
              </w:rPr>
            </w:pPr>
            <w:r w:rsidRPr="0088095A">
              <w:t>Work requirements are identified from relevant personnel and documentation</w:t>
            </w:r>
          </w:p>
        </w:tc>
      </w:tr>
      <w:tr w:rsidTr="00A22A0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8095A">
            <w:pPr>
              <w:pStyle w:val="BodyText"/>
              <w:rPr>
                <w:lang w:val="en-NZ"/>
              </w:rPr>
            </w:pPr>
            <w:r w:rsidRPr="0088095A">
              <w:t>1.3</w:t>
            </w:r>
          </w:p>
        </w:tc>
        <w:tc>
          <w:tcPr>
            <w:tcW w:w="4860" w:type="dxa"/>
            <w:tcBorders>
              <w:top w:val="nil"/>
              <w:left w:val="nil"/>
              <w:bottom w:val="nil"/>
              <w:right w:val="nil"/>
            </w:tcBorders>
            <w:tcMar>
              <w:top w:w="0" w:type="dxa"/>
              <w:left w:w="62" w:type="dxa"/>
              <w:bottom w:w="0" w:type="dxa"/>
              <w:right w:w="62" w:type="dxa"/>
            </w:tcMar>
          </w:tcPr>
          <w:p w:rsidR="00000000" w:rsidP="0088095A">
            <w:pPr>
              <w:pStyle w:val="BodyText"/>
              <w:rPr>
                <w:lang w:val="en-NZ"/>
              </w:rPr>
            </w:pPr>
            <w:r w:rsidRPr="0088095A">
              <w:t>Documentation to determine plant status is assessed and evaluated</w:t>
            </w:r>
          </w:p>
        </w:tc>
      </w:tr>
      <w:tr w:rsidTr="00A22A0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8095A">
            <w:pPr>
              <w:pStyle w:val="BodyText"/>
              <w:rPr>
                <w:lang w:val="en-NZ"/>
              </w:rPr>
            </w:pPr>
            <w:r w:rsidRPr="0088095A">
              <w:t>1.4</w:t>
            </w:r>
          </w:p>
        </w:tc>
        <w:tc>
          <w:tcPr>
            <w:tcW w:w="4860" w:type="dxa"/>
            <w:tcBorders>
              <w:top w:val="nil"/>
              <w:left w:val="nil"/>
              <w:bottom w:val="nil"/>
              <w:right w:val="nil"/>
            </w:tcBorders>
            <w:tcMar>
              <w:top w:w="0" w:type="dxa"/>
              <w:left w:w="62" w:type="dxa"/>
              <w:bottom w:w="0" w:type="dxa"/>
              <w:right w:w="62" w:type="dxa"/>
            </w:tcMar>
          </w:tcPr>
          <w:p w:rsidR="00000000" w:rsidP="0088095A">
            <w:pPr>
              <w:pStyle w:val="BodyText"/>
              <w:rPr>
                <w:lang w:val="en-NZ"/>
              </w:rPr>
            </w:pPr>
            <w:r w:rsidRPr="0088095A">
              <w:t>Localised plant inspection and field preparation for service are carried out in accordance with manufacturer and enterprise procedures</w:t>
            </w:r>
          </w:p>
        </w:tc>
      </w:tr>
      <w:tr w:rsidTr="00A22A0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8095A">
            <w:pPr>
              <w:pStyle w:val="BodyText"/>
              <w:rPr>
                <w:lang w:val="en-NZ"/>
              </w:rPr>
            </w:pPr>
            <w:r w:rsidRPr="0088095A">
              <w:t>1.5</w:t>
            </w:r>
          </w:p>
        </w:tc>
        <w:tc>
          <w:tcPr>
            <w:tcW w:w="4860" w:type="dxa"/>
            <w:tcBorders>
              <w:top w:val="nil"/>
              <w:left w:val="nil"/>
              <w:bottom w:val="nil"/>
              <w:right w:val="nil"/>
            </w:tcBorders>
            <w:tcMar>
              <w:top w:w="0" w:type="dxa"/>
              <w:left w:w="62" w:type="dxa"/>
              <w:bottom w:w="0" w:type="dxa"/>
              <w:right w:w="62" w:type="dxa"/>
            </w:tcMar>
          </w:tcPr>
          <w:p w:rsidR="00000000" w:rsidP="0088095A">
            <w:pPr>
              <w:pStyle w:val="BodyText"/>
              <w:rPr>
                <w:lang w:val="en-NZ"/>
              </w:rPr>
            </w:pPr>
            <w:r w:rsidRPr="0088095A">
              <w:t>Plant operational pre-requisites are esta</w:t>
            </w:r>
            <w:r w:rsidRPr="0088095A">
              <w:t>blished in accordance with manufacturer and enterprise procedures</w:t>
            </w:r>
          </w:p>
        </w:tc>
      </w:tr>
      <w:tr w:rsidTr="00A22A0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8095A">
            <w:pPr>
              <w:pStyle w:val="BodyText"/>
              <w:rPr>
                <w:lang w:val="en-NZ"/>
              </w:rPr>
            </w:pPr>
            <w:r w:rsidRPr="0088095A">
              <w:t>1.6</w:t>
            </w:r>
          </w:p>
        </w:tc>
        <w:tc>
          <w:tcPr>
            <w:tcW w:w="4860" w:type="dxa"/>
            <w:tcBorders>
              <w:top w:val="nil"/>
              <w:left w:val="nil"/>
              <w:bottom w:val="nil"/>
              <w:right w:val="nil"/>
            </w:tcBorders>
            <w:tcMar>
              <w:top w:w="0" w:type="dxa"/>
              <w:left w:w="62" w:type="dxa"/>
              <w:bottom w:w="0" w:type="dxa"/>
              <w:right w:w="62" w:type="dxa"/>
            </w:tcMar>
          </w:tcPr>
          <w:p w:rsidR="00000000" w:rsidP="0088095A">
            <w:pPr>
              <w:pStyle w:val="BodyText"/>
              <w:rPr>
                <w:lang w:val="en-NZ"/>
              </w:rPr>
            </w:pPr>
            <w:r w:rsidRPr="0088095A">
              <w:t>Sequence for recommissioning of plant is determined to suit existing circumstances in accordance with enterprise/site requirements</w:t>
            </w:r>
          </w:p>
        </w:tc>
      </w:tr>
      <w:tr w:rsidTr="00A22A0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8095A">
            <w:pPr>
              <w:pStyle w:val="BodyText"/>
              <w:rPr>
                <w:lang w:val="en-NZ"/>
              </w:rPr>
            </w:pPr>
            <w:r w:rsidRPr="0088095A">
              <w:t>1.7</w:t>
            </w:r>
          </w:p>
        </w:tc>
        <w:tc>
          <w:tcPr>
            <w:tcW w:w="4860" w:type="dxa"/>
            <w:tcBorders>
              <w:top w:val="nil"/>
              <w:left w:val="nil"/>
              <w:bottom w:val="nil"/>
              <w:right w:val="nil"/>
            </w:tcBorders>
            <w:tcMar>
              <w:top w:w="0" w:type="dxa"/>
              <w:left w:w="62" w:type="dxa"/>
              <w:bottom w:w="0" w:type="dxa"/>
              <w:right w:w="62" w:type="dxa"/>
            </w:tcMar>
          </w:tcPr>
          <w:p w:rsidR="00000000" w:rsidP="0088095A">
            <w:pPr>
              <w:pStyle w:val="BodyText"/>
              <w:rPr>
                <w:lang w:val="en-NZ"/>
              </w:rPr>
            </w:pPr>
            <w:r w:rsidRPr="0088095A">
              <w:t xml:space="preserve">Where appropriate, the teams and individuals roles and responsibilities within the team are identified and, where required, assist in the provision of the on-the-job training </w:t>
            </w:r>
          </w:p>
        </w:tc>
      </w:tr>
      <w:tr w:rsidTr="00A22A0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8095A">
            <w:pPr>
              <w:pStyle w:val="BodyText"/>
              <w:rPr>
                <w:lang w:val="en-NZ"/>
              </w:rPr>
            </w:pPr>
            <w:r w:rsidRPr="0088095A">
              <w:t>2</w:t>
            </w:r>
          </w:p>
        </w:tc>
        <w:tc>
          <w:tcPr>
            <w:tcW w:w="2296" w:type="dxa"/>
            <w:vMerge w:val="restart"/>
            <w:tcBorders>
              <w:top w:val="nil"/>
              <w:left w:val="nil"/>
              <w:bottom w:val="nil"/>
              <w:right w:val="nil"/>
            </w:tcBorders>
            <w:tcMar>
              <w:top w:w="0" w:type="dxa"/>
              <w:left w:w="62" w:type="dxa"/>
              <w:bottom w:w="0" w:type="dxa"/>
              <w:right w:w="62" w:type="dxa"/>
            </w:tcMar>
          </w:tcPr>
          <w:p w:rsidR="00000000" w:rsidP="0088095A">
            <w:pPr>
              <w:pStyle w:val="BodyText"/>
              <w:rPr>
                <w:lang w:val="en-NZ"/>
              </w:rPr>
            </w:pPr>
            <w:r w:rsidRPr="0088095A">
              <w:t>Operate plant</w:t>
            </w:r>
          </w:p>
        </w:tc>
        <w:tc>
          <w:tcPr>
            <w:tcW w:w="900" w:type="dxa"/>
            <w:tcBorders>
              <w:top w:val="nil"/>
              <w:left w:val="nil"/>
              <w:bottom w:val="nil"/>
              <w:right w:val="nil"/>
            </w:tcBorders>
            <w:tcMar>
              <w:top w:w="0" w:type="dxa"/>
              <w:left w:w="62" w:type="dxa"/>
              <w:bottom w:w="0" w:type="dxa"/>
              <w:right w:w="62" w:type="dxa"/>
            </w:tcMar>
          </w:tcPr>
          <w:p w:rsidR="00000000" w:rsidP="0088095A">
            <w:pPr>
              <w:pStyle w:val="BodyText"/>
              <w:rPr>
                <w:lang w:val="en-NZ"/>
              </w:rPr>
            </w:pPr>
            <w:r w:rsidRPr="0088095A">
              <w:t>2.1</w:t>
            </w:r>
          </w:p>
        </w:tc>
        <w:tc>
          <w:tcPr>
            <w:tcW w:w="4860" w:type="dxa"/>
            <w:tcBorders>
              <w:top w:val="nil"/>
              <w:left w:val="nil"/>
              <w:bottom w:val="nil"/>
              <w:right w:val="nil"/>
            </w:tcBorders>
            <w:tcMar>
              <w:top w:w="0" w:type="dxa"/>
              <w:left w:w="62" w:type="dxa"/>
              <w:bottom w:w="0" w:type="dxa"/>
              <w:right w:w="62" w:type="dxa"/>
            </w:tcMar>
          </w:tcPr>
          <w:p w:rsidR="00000000" w:rsidP="0088095A">
            <w:pPr>
              <w:pStyle w:val="BodyText"/>
              <w:rPr>
                <w:lang w:val="en-NZ"/>
              </w:rPr>
            </w:pPr>
            <w:r w:rsidRPr="0088095A">
              <w:t>Plant is operated in accordance with enterprise and manufac</w:t>
            </w:r>
            <w:r w:rsidRPr="0088095A">
              <w:t>turer operating procedures</w:t>
            </w:r>
          </w:p>
        </w:tc>
      </w:tr>
      <w:tr w:rsidTr="00A22A0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8095A">
            <w:pPr>
              <w:pStyle w:val="BodyText"/>
              <w:rPr>
                <w:lang w:val="en-NZ"/>
              </w:rPr>
            </w:pPr>
            <w:r w:rsidRPr="0088095A">
              <w:t>2.2</w:t>
            </w:r>
          </w:p>
        </w:tc>
        <w:tc>
          <w:tcPr>
            <w:tcW w:w="4860" w:type="dxa"/>
            <w:tcBorders>
              <w:top w:val="nil"/>
              <w:left w:val="nil"/>
              <w:bottom w:val="nil"/>
              <w:right w:val="nil"/>
            </w:tcBorders>
            <w:tcMar>
              <w:top w:w="0" w:type="dxa"/>
              <w:left w:w="62" w:type="dxa"/>
              <w:bottom w:w="0" w:type="dxa"/>
              <w:right w:w="62" w:type="dxa"/>
            </w:tcMar>
          </w:tcPr>
          <w:p w:rsidR="00000000" w:rsidP="0088095A">
            <w:pPr>
              <w:pStyle w:val="BodyText"/>
              <w:rPr>
                <w:lang w:val="en-NZ"/>
              </w:rPr>
            </w:pPr>
            <w:r w:rsidRPr="0088095A">
              <w:t>Plant is monitored and observed to detect deviations from normal operating conditions</w:t>
            </w:r>
          </w:p>
        </w:tc>
      </w:tr>
      <w:tr w:rsidTr="00A22A0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8095A">
            <w:pPr>
              <w:pStyle w:val="BodyText"/>
              <w:rPr>
                <w:lang w:val="en-NZ"/>
              </w:rPr>
            </w:pPr>
            <w:r w:rsidRPr="0088095A">
              <w:t>2.3</w:t>
            </w:r>
          </w:p>
        </w:tc>
        <w:tc>
          <w:tcPr>
            <w:tcW w:w="4860" w:type="dxa"/>
            <w:tcBorders>
              <w:top w:val="nil"/>
              <w:left w:val="nil"/>
              <w:bottom w:val="nil"/>
              <w:right w:val="nil"/>
            </w:tcBorders>
            <w:tcMar>
              <w:top w:w="0" w:type="dxa"/>
              <w:left w:w="62" w:type="dxa"/>
              <w:bottom w:w="0" w:type="dxa"/>
              <w:right w:w="62" w:type="dxa"/>
            </w:tcMar>
          </w:tcPr>
          <w:p w:rsidR="00000000" w:rsidP="0088095A">
            <w:pPr>
              <w:pStyle w:val="BodyText"/>
              <w:rPr>
                <w:lang w:val="en-NZ"/>
              </w:rPr>
            </w:pPr>
            <w:r w:rsidRPr="0088095A">
              <w:t>Corrective actions taken to rectify abnormalities in accordance with manufacturer and enterprise procedures</w:t>
            </w:r>
          </w:p>
        </w:tc>
      </w:tr>
      <w:tr w:rsidTr="00A22A0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8095A">
            <w:pPr>
              <w:pStyle w:val="BodyText"/>
              <w:rPr>
                <w:lang w:val="en-NZ"/>
              </w:rPr>
            </w:pPr>
            <w:r w:rsidRPr="0088095A">
              <w:t>2.4</w:t>
            </w:r>
          </w:p>
        </w:tc>
        <w:tc>
          <w:tcPr>
            <w:tcW w:w="4860" w:type="dxa"/>
            <w:tcBorders>
              <w:top w:val="nil"/>
              <w:left w:val="nil"/>
              <w:bottom w:val="nil"/>
              <w:right w:val="nil"/>
            </w:tcBorders>
            <w:tcMar>
              <w:top w:w="0" w:type="dxa"/>
              <w:left w:w="62" w:type="dxa"/>
              <w:bottom w:w="0" w:type="dxa"/>
              <w:right w:w="62" w:type="dxa"/>
            </w:tcMar>
          </w:tcPr>
          <w:p w:rsidR="00000000" w:rsidP="0088095A">
            <w:pPr>
              <w:pStyle w:val="BodyText"/>
              <w:rPr>
                <w:lang w:val="en-NZ"/>
              </w:rPr>
            </w:pPr>
            <w:r w:rsidRPr="0088095A">
              <w:t>Plant to be removed from service is locally identified and removed from service in accordance with enterprise/site requirements</w:t>
            </w:r>
          </w:p>
        </w:tc>
      </w:tr>
      <w:tr w:rsidTr="00A22A0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8095A">
            <w:pPr>
              <w:pStyle w:val="BodyText"/>
              <w:rPr>
                <w:lang w:val="en-NZ"/>
              </w:rPr>
            </w:pPr>
            <w:r w:rsidRPr="0088095A">
              <w:t>2.5</w:t>
            </w:r>
          </w:p>
        </w:tc>
        <w:tc>
          <w:tcPr>
            <w:tcW w:w="4860" w:type="dxa"/>
            <w:tcBorders>
              <w:top w:val="nil"/>
              <w:left w:val="nil"/>
              <w:bottom w:val="nil"/>
              <w:right w:val="nil"/>
            </w:tcBorders>
            <w:tcMar>
              <w:top w:w="0" w:type="dxa"/>
              <w:left w:w="62" w:type="dxa"/>
              <w:bottom w:w="0" w:type="dxa"/>
              <w:right w:w="62" w:type="dxa"/>
            </w:tcMar>
          </w:tcPr>
          <w:p w:rsidR="00000000" w:rsidP="0088095A">
            <w:pPr>
              <w:pStyle w:val="BodyText"/>
              <w:rPr>
                <w:lang w:val="en-NZ"/>
              </w:rPr>
            </w:pPr>
            <w:r w:rsidRPr="0088095A">
              <w:t>Corrective actions are taken in accordance with enterprise safety rules and site requirements when abnormalities are iden</w:t>
            </w:r>
            <w:r w:rsidRPr="0088095A">
              <w:t>tified during the removal from service</w:t>
            </w:r>
          </w:p>
        </w:tc>
      </w:tr>
      <w:tr w:rsidTr="00A22A0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8095A">
            <w:pPr>
              <w:pStyle w:val="BodyText"/>
              <w:rPr>
                <w:lang w:val="en-NZ"/>
              </w:rPr>
            </w:pPr>
            <w:r w:rsidRPr="0088095A">
              <w:t>3</w:t>
            </w:r>
          </w:p>
        </w:tc>
        <w:tc>
          <w:tcPr>
            <w:tcW w:w="2296" w:type="dxa"/>
            <w:vMerge w:val="restart"/>
            <w:tcBorders>
              <w:top w:val="nil"/>
              <w:left w:val="nil"/>
              <w:bottom w:val="nil"/>
              <w:right w:val="nil"/>
            </w:tcBorders>
            <w:tcMar>
              <w:top w:w="0" w:type="dxa"/>
              <w:left w:w="62" w:type="dxa"/>
              <w:bottom w:w="0" w:type="dxa"/>
              <w:right w:w="62" w:type="dxa"/>
            </w:tcMar>
          </w:tcPr>
          <w:p w:rsidR="00000000" w:rsidP="0088095A">
            <w:pPr>
              <w:pStyle w:val="BodyText"/>
              <w:rPr>
                <w:lang w:val="en-NZ"/>
              </w:rPr>
            </w:pPr>
            <w:r w:rsidRPr="0088095A">
              <w:t>Test plant operation</w:t>
            </w:r>
          </w:p>
        </w:tc>
        <w:tc>
          <w:tcPr>
            <w:tcW w:w="900" w:type="dxa"/>
            <w:tcBorders>
              <w:top w:val="nil"/>
              <w:left w:val="nil"/>
              <w:bottom w:val="nil"/>
              <w:right w:val="nil"/>
            </w:tcBorders>
            <w:tcMar>
              <w:top w:w="0" w:type="dxa"/>
              <w:left w:w="62" w:type="dxa"/>
              <w:bottom w:w="0" w:type="dxa"/>
              <w:right w:w="62" w:type="dxa"/>
            </w:tcMar>
          </w:tcPr>
          <w:p w:rsidR="00000000" w:rsidP="0088095A">
            <w:pPr>
              <w:pStyle w:val="BodyText"/>
              <w:rPr>
                <w:lang w:val="en-NZ"/>
              </w:rPr>
            </w:pPr>
            <w:r w:rsidRPr="0088095A">
              <w:t>3.1</w:t>
            </w:r>
          </w:p>
        </w:tc>
        <w:tc>
          <w:tcPr>
            <w:tcW w:w="4860" w:type="dxa"/>
            <w:tcBorders>
              <w:top w:val="nil"/>
              <w:left w:val="nil"/>
              <w:bottom w:val="nil"/>
              <w:right w:val="nil"/>
            </w:tcBorders>
            <w:tcMar>
              <w:top w:w="0" w:type="dxa"/>
              <w:left w:w="62" w:type="dxa"/>
              <w:bottom w:w="0" w:type="dxa"/>
              <w:right w:w="62" w:type="dxa"/>
            </w:tcMar>
          </w:tcPr>
          <w:p w:rsidR="00000000" w:rsidP="0088095A">
            <w:pPr>
              <w:pStyle w:val="BodyText"/>
              <w:rPr>
                <w:lang w:val="en-NZ"/>
              </w:rPr>
            </w:pPr>
            <w:r w:rsidRPr="0088095A">
              <w:t>Tests are performed in accordance with defined procedures applicable to the operational test</w:t>
            </w:r>
          </w:p>
        </w:tc>
      </w:tr>
      <w:tr w:rsidTr="00A22A0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8095A">
            <w:pPr>
              <w:pStyle w:val="BodyText"/>
              <w:rPr>
                <w:lang w:val="en-NZ"/>
              </w:rPr>
            </w:pPr>
            <w:r w:rsidRPr="0088095A">
              <w:t>3.2</w:t>
            </w:r>
          </w:p>
        </w:tc>
        <w:tc>
          <w:tcPr>
            <w:tcW w:w="4860" w:type="dxa"/>
            <w:tcBorders>
              <w:top w:val="nil"/>
              <w:left w:val="nil"/>
              <w:bottom w:val="nil"/>
              <w:right w:val="nil"/>
            </w:tcBorders>
            <w:tcMar>
              <w:top w:w="0" w:type="dxa"/>
              <w:left w:w="62" w:type="dxa"/>
              <w:bottom w:w="0" w:type="dxa"/>
              <w:right w:w="62" w:type="dxa"/>
            </w:tcMar>
          </w:tcPr>
          <w:p w:rsidR="00000000" w:rsidP="0088095A">
            <w:pPr>
              <w:pStyle w:val="BodyText"/>
              <w:rPr>
                <w:lang w:val="en-NZ"/>
              </w:rPr>
            </w:pPr>
            <w:r w:rsidRPr="0088095A">
              <w:t>Plant is observed for correct operational response</w:t>
            </w:r>
          </w:p>
        </w:tc>
      </w:tr>
      <w:tr w:rsidTr="00A22A0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8095A">
            <w:pPr>
              <w:pStyle w:val="BodyText"/>
              <w:rPr>
                <w:lang w:val="en-NZ"/>
              </w:rPr>
            </w:pPr>
            <w:r w:rsidRPr="0088095A">
              <w:t>3.3</w:t>
            </w:r>
          </w:p>
        </w:tc>
        <w:tc>
          <w:tcPr>
            <w:tcW w:w="4860" w:type="dxa"/>
            <w:tcBorders>
              <w:top w:val="nil"/>
              <w:left w:val="nil"/>
              <w:bottom w:val="nil"/>
              <w:right w:val="nil"/>
            </w:tcBorders>
            <w:tcMar>
              <w:top w:w="0" w:type="dxa"/>
              <w:left w:w="62" w:type="dxa"/>
              <w:bottom w:w="0" w:type="dxa"/>
              <w:right w:w="62" w:type="dxa"/>
            </w:tcMar>
          </w:tcPr>
          <w:p w:rsidR="00000000" w:rsidP="0088095A">
            <w:pPr>
              <w:pStyle w:val="BodyText"/>
              <w:rPr>
                <w:lang w:val="en-NZ"/>
              </w:rPr>
            </w:pPr>
            <w:r w:rsidRPr="0088095A">
              <w:t>Corrective action is taken when response is not in accordance with documentation, plant integrity or personnel safety requirements</w:t>
            </w:r>
          </w:p>
        </w:tc>
      </w:tr>
      <w:tr w:rsidTr="00A22A0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8095A">
            <w:pPr>
              <w:pStyle w:val="BodyText"/>
              <w:rPr>
                <w:lang w:val="en-NZ"/>
              </w:rPr>
            </w:pPr>
            <w:r w:rsidRPr="0088095A">
              <w:t>3.4</w:t>
            </w:r>
          </w:p>
        </w:tc>
        <w:tc>
          <w:tcPr>
            <w:tcW w:w="4860" w:type="dxa"/>
            <w:tcBorders>
              <w:top w:val="nil"/>
              <w:left w:val="nil"/>
              <w:bottom w:val="nil"/>
              <w:right w:val="nil"/>
            </w:tcBorders>
            <w:tcMar>
              <w:top w:w="0" w:type="dxa"/>
              <w:left w:w="62" w:type="dxa"/>
              <w:bottom w:w="0" w:type="dxa"/>
              <w:right w:w="62" w:type="dxa"/>
            </w:tcMar>
          </w:tcPr>
          <w:p w:rsidR="00000000" w:rsidP="0088095A">
            <w:pPr>
              <w:pStyle w:val="BodyText"/>
              <w:rPr>
                <w:lang w:val="en-NZ"/>
              </w:rPr>
            </w:pPr>
            <w:r w:rsidRPr="0088095A">
              <w:t>Plant is returned to required operational status upon completion of test</w:t>
            </w:r>
          </w:p>
        </w:tc>
      </w:tr>
      <w:tr w:rsidTr="00A22A0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8095A">
            <w:pPr>
              <w:pStyle w:val="BodyText"/>
              <w:rPr>
                <w:lang w:val="en-NZ"/>
              </w:rPr>
            </w:pPr>
            <w:r w:rsidRPr="0088095A">
              <w:t>4</w:t>
            </w:r>
          </w:p>
        </w:tc>
        <w:tc>
          <w:tcPr>
            <w:tcW w:w="2296" w:type="dxa"/>
            <w:tcBorders>
              <w:top w:val="nil"/>
              <w:left w:val="nil"/>
              <w:bottom w:val="nil"/>
              <w:right w:val="nil"/>
            </w:tcBorders>
            <w:tcMar>
              <w:top w:w="0" w:type="dxa"/>
              <w:left w:w="62" w:type="dxa"/>
              <w:bottom w:w="0" w:type="dxa"/>
              <w:right w:w="62" w:type="dxa"/>
            </w:tcMar>
          </w:tcPr>
          <w:p w:rsidR="00000000" w:rsidP="0088095A">
            <w:pPr>
              <w:pStyle w:val="BodyText"/>
              <w:rPr>
                <w:lang w:val="en-NZ"/>
              </w:rPr>
            </w:pPr>
            <w:r w:rsidRPr="0088095A">
              <w:t>Analyse plant faults</w:t>
            </w:r>
          </w:p>
        </w:tc>
        <w:tc>
          <w:tcPr>
            <w:tcW w:w="900" w:type="dxa"/>
            <w:tcBorders>
              <w:top w:val="nil"/>
              <w:left w:val="nil"/>
              <w:bottom w:val="nil"/>
              <w:right w:val="nil"/>
            </w:tcBorders>
            <w:tcMar>
              <w:top w:w="0" w:type="dxa"/>
              <w:left w:w="62" w:type="dxa"/>
              <w:bottom w:w="0" w:type="dxa"/>
              <w:right w:w="62" w:type="dxa"/>
            </w:tcMar>
          </w:tcPr>
          <w:p w:rsidR="00000000" w:rsidP="0088095A">
            <w:pPr>
              <w:pStyle w:val="BodyText"/>
              <w:rPr>
                <w:lang w:val="en-NZ"/>
              </w:rPr>
            </w:pPr>
            <w:r w:rsidRPr="0088095A">
              <w:t>4.1</w:t>
            </w:r>
          </w:p>
        </w:tc>
        <w:tc>
          <w:tcPr>
            <w:tcW w:w="4860" w:type="dxa"/>
            <w:tcBorders>
              <w:top w:val="nil"/>
              <w:left w:val="nil"/>
              <w:bottom w:val="nil"/>
              <w:right w:val="nil"/>
            </w:tcBorders>
            <w:tcMar>
              <w:top w:w="0" w:type="dxa"/>
              <w:left w:w="62" w:type="dxa"/>
              <w:bottom w:w="0" w:type="dxa"/>
              <w:right w:w="62" w:type="dxa"/>
            </w:tcMar>
          </w:tcPr>
          <w:p w:rsidR="00000000" w:rsidP="0088095A">
            <w:pPr>
              <w:pStyle w:val="BodyText"/>
              <w:rPr>
                <w:lang w:val="en-NZ"/>
              </w:rPr>
            </w:pPr>
            <w:r w:rsidRPr="0088095A">
              <w:t>Causes of abnormal plant operating conditions are identified by analysing the technical and operational information in a logical and sequential manner</w:t>
            </w:r>
          </w:p>
        </w:tc>
      </w:tr>
      <w:tr w:rsidTr="00A22A0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8095A">
            <w:pPr>
              <w:pStyle w:val="BodyText"/>
              <w:rPr>
                <w:lang w:val="en-NZ"/>
              </w:rPr>
            </w:pPr>
            <w:r w:rsidRPr="0088095A">
              <w:t>4.2</w:t>
            </w:r>
          </w:p>
        </w:tc>
        <w:tc>
          <w:tcPr>
            <w:tcW w:w="4860" w:type="dxa"/>
            <w:tcBorders>
              <w:top w:val="nil"/>
              <w:left w:val="nil"/>
              <w:bottom w:val="nil"/>
              <w:right w:val="nil"/>
            </w:tcBorders>
            <w:tcMar>
              <w:top w:w="0" w:type="dxa"/>
              <w:left w:w="62" w:type="dxa"/>
              <w:bottom w:w="0" w:type="dxa"/>
              <w:right w:w="62" w:type="dxa"/>
            </w:tcMar>
          </w:tcPr>
          <w:p w:rsidR="00000000" w:rsidP="0088095A">
            <w:pPr>
              <w:pStyle w:val="BodyText"/>
              <w:rPr>
                <w:lang w:val="en-NZ"/>
              </w:rPr>
            </w:pPr>
            <w:r w:rsidRPr="0088095A">
              <w:t>Corrective action taken is in accordance with enterprise/site procedures</w:t>
            </w:r>
          </w:p>
        </w:tc>
      </w:tr>
      <w:tr w:rsidTr="00A22A0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8095A">
            <w:pPr>
              <w:pStyle w:val="BodyText"/>
              <w:rPr>
                <w:lang w:val="en-NZ"/>
              </w:rPr>
            </w:pPr>
            <w:r w:rsidRPr="0088095A">
              <w:t>4.3</w:t>
            </w:r>
          </w:p>
        </w:tc>
        <w:tc>
          <w:tcPr>
            <w:tcW w:w="4860" w:type="dxa"/>
            <w:tcBorders>
              <w:top w:val="nil"/>
              <w:left w:val="nil"/>
              <w:bottom w:val="nil"/>
              <w:right w:val="nil"/>
            </w:tcBorders>
            <w:tcMar>
              <w:top w:w="0" w:type="dxa"/>
              <w:left w:w="62" w:type="dxa"/>
              <w:bottom w:w="0" w:type="dxa"/>
              <w:right w:w="62" w:type="dxa"/>
            </w:tcMar>
          </w:tcPr>
          <w:p w:rsidR="00000000" w:rsidP="0088095A">
            <w:pPr>
              <w:pStyle w:val="BodyText"/>
              <w:rPr>
                <w:lang w:val="en-NZ"/>
              </w:rPr>
            </w:pPr>
            <w:r w:rsidRPr="0088095A">
              <w:t>Plant integrity an</w:t>
            </w:r>
            <w:r w:rsidRPr="0088095A">
              <w:t>d personnel safety is maintained through consultation with appropriate personnel, and reference to plant, technical and operational documentation</w:t>
            </w:r>
          </w:p>
        </w:tc>
      </w:tr>
      <w:tr w:rsidTr="00A22A0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8095A">
            <w:pPr>
              <w:pStyle w:val="BodyText"/>
              <w:rPr>
                <w:lang w:val="en-NZ"/>
              </w:rPr>
            </w:pPr>
            <w:r w:rsidRPr="0088095A">
              <w:t>5</w:t>
            </w:r>
          </w:p>
        </w:tc>
        <w:tc>
          <w:tcPr>
            <w:tcW w:w="2296" w:type="dxa"/>
            <w:tcBorders>
              <w:top w:val="nil"/>
              <w:left w:val="nil"/>
              <w:bottom w:val="nil"/>
              <w:right w:val="nil"/>
            </w:tcBorders>
            <w:tcMar>
              <w:top w:w="0" w:type="dxa"/>
              <w:left w:w="62" w:type="dxa"/>
              <w:bottom w:w="0" w:type="dxa"/>
              <w:right w:w="62" w:type="dxa"/>
            </w:tcMar>
          </w:tcPr>
          <w:p w:rsidR="00000000" w:rsidP="0088095A">
            <w:pPr>
              <w:pStyle w:val="BodyText"/>
              <w:rPr>
                <w:lang w:val="en-NZ"/>
              </w:rPr>
            </w:pPr>
            <w:r w:rsidRPr="0088095A">
              <w:t>Monitor and inspect plant</w:t>
            </w:r>
          </w:p>
        </w:tc>
        <w:tc>
          <w:tcPr>
            <w:tcW w:w="900" w:type="dxa"/>
            <w:tcBorders>
              <w:top w:val="nil"/>
              <w:left w:val="nil"/>
              <w:bottom w:val="nil"/>
              <w:right w:val="nil"/>
            </w:tcBorders>
            <w:tcMar>
              <w:top w:w="0" w:type="dxa"/>
              <w:left w:w="62" w:type="dxa"/>
              <w:bottom w:w="0" w:type="dxa"/>
              <w:right w:w="62" w:type="dxa"/>
            </w:tcMar>
          </w:tcPr>
          <w:p w:rsidR="00000000" w:rsidP="0088095A">
            <w:pPr>
              <w:pStyle w:val="BodyText"/>
              <w:rPr>
                <w:lang w:val="en-NZ"/>
              </w:rPr>
            </w:pPr>
            <w:r w:rsidRPr="0088095A">
              <w:t>5.1</w:t>
            </w:r>
          </w:p>
        </w:tc>
        <w:tc>
          <w:tcPr>
            <w:tcW w:w="4860" w:type="dxa"/>
            <w:tcBorders>
              <w:top w:val="nil"/>
              <w:left w:val="nil"/>
              <w:bottom w:val="nil"/>
              <w:right w:val="nil"/>
            </w:tcBorders>
            <w:tcMar>
              <w:top w:w="0" w:type="dxa"/>
              <w:left w:w="62" w:type="dxa"/>
              <w:bottom w:w="0" w:type="dxa"/>
              <w:right w:w="62" w:type="dxa"/>
            </w:tcMar>
          </w:tcPr>
          <w:p w:rsidR="00000000" w:rsidP="0088095A">
            <w:pPr>
              <w:pStyle w:val="BodyText"/>
              <w:rPr>
                <w:lang w:val="en-NZ"/>
              </w:rPr>
            </w:pPr>
            <w:r w:rsidRPr="0088095A">
              <w:t>Plant to be monitored/inspected is physically identified</w:t>
            </w:r>
          </w:p>
        </w:tc>
      </w:tr>
      <w:tr w:rsidTr="00A22A0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8095A">
            <w:pPr>
              <w:pStyle w:val="BodyText"/>
              <w:rPr>
                <w:lang w:val="en-NZ"/>
              </w:rPr>
            </w:pPr>
            <w:r w:rsidRPr="0088095A">
              <w:t>5.2</w:t>
            </w:r>
          </w:p>
        </w:tc>
        <w:tc>
          <w:tcPr>
            <w:tcW w:w="4860" w:type="dxa"/>
            <w:tcBorders>
              <w:top w:val="nil"/>
              <w:left w:val="nil"/>
              <w:bottom w:val="nil"/>
              <w:right w:val="nil"/>
            </w:tcBorders>
            <w:tcMar>
              <w:top w:w="0" w:type="dxa"/>
              <w:left w:w="62" w:type="dxa"/>
              <w:bottom w:w="0" w:type="dxa"/>
              <w:right w:w="62" w:type="dxa"/>
            </w:tcMar>
          </w:tcPr>
          <w:p w:rsidR="00000000" w:rsidP="0088095A">
            <w:pPr>
              <w:pStyle w:val="BodyText"/>
              <w:rPr>
                <w:lang w:val="en-NZ"/>
              </w:rPr>
            </w:pPr>
            <w:r w:rsidRPr="0088095A">
              <w:t>Plant is monitored/inspected for normal operation or to detect deviations</w:t>
            </w:r>
          </w:p>
        </w:tc>
      </w:tr>
      <w:tr w:rsidTr="00A22A0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8095A">
            <w:pPr>
              <w:pStyle w:val="BodyText"/>
              <w:rPr>
                <w:lang w:val="en-NZ"/>
              </w:rPr>
            </w:pPr>
            <w:r w:rsidRPr="0088095A">
              <w:t>5.3</w:t>
            </w:r>
          </w:p>
        </w:tc>
        <w:tc>
          <w:tcPr>
            <w:tcW w:w="4860" w:type="dxa"/>
            <w:tcBorders>
              <w:top w:val="nil"/>
              <w:left w:val="nil"/>
              <w:bottom w:val="nil"/>
              <w:right w:val="nil"/>
            </w:tcBorders>
            <w:tcMar>
              <w:top w:w="0" w:type="dxa"/>
              <w:left w:w="62" w:type="dxa"/>
              <w:bottom w:w="0" w:type="dxa"/>
              <w:right w:w="62" w:type="dxa"/>
            </w:tcMar>
          </w:tcPr>
          <w:p w:rsidR="00000000" w:rsidP="0088095A">
            <w:pPr>
              <w:pStyle w:val="BodyText"/>
              <w:rPr>
                <w:lang w:val="en-NZ"/>
              </w:rPr>
            </w:pPr>
            <w:r w:rsidRPr="0088095A">
              <w:t>Corrective action taken is in accordance with enterprise/site procedures</w:t>
            </w:r>
          </w:p>
        </w:tc>
      </w:tr>
      <w:tr w:rsidTr="00A22A0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8095A">
            <w:pPr>
              <w:pStyle w:val="BodyText"/>
              <w:rPr>
                <w:lang w:val="en-NZ"/>
              </w:rPr>
            </w:pPr>
            <w:r w:rsidRPr="0088095A">
              <w:t>5.4</w:t>
            </w:r>
          </w:p>
        </w:tc>
        <w:tc>
          <w:tcPr>
            <w:tcW w:w="4860" w:type="dxa"/>
            <w:tcBorders>
              <w:top w:val="nil"/>
              <w:left w:val="nil"/>
              <w:bottom w:val="nil"/>
              <w:right w:val="nil"/>
            </w:tcBorders>
            <w:tcMar>
              <w:top w:w="0" w:type="dxa"/>
              <w:left w:w="62" w:type="dxa"/>
              <w:bottom w:w="0" w:type="dxa"/>
              <w:right w:w="62" w:type="dxa"/>
            </w:tcMar>
          </w:tcPr>
          <w:p w:rsidR="00000000" w:rsidP="0088095A">
            <w:pPr>
              <w:pStyle w:val="BodyText"/>
              <w:rPr>
                <w:lang w:val="en-NZ"/>
              </w:rPr>
            </w:pPr>
            <w:r w:rsidRPr="0088095A">
              <w:t>Appropriate personnel are notified when defects are detected</w:t>
            </w:r>
          </w:p>
        </w:tc>
      </w:tr>
      <w:tr w:rsidTr="00A22A0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8095A">
            <w:pPr>
              <w:pStyle w:val="BodyText"/>
              <w:rPr>
                <w:lang w:val="en-NZ"/>
              </w:rPr>
            </w:pPr>
            <w:r w:rsidRPr="0088095A">
              <w:t>6</w:t>
            </w:r>
          </w:p>
        </w:tc>
        <w:tc>
          <w:tcPr>
            <w:tcW w:w="2296" w:type="dxa"/>
            <w:tcBorders>
              <w:top w:val="nil"/>
              <w:left w:val="nil"/>
              <w:bottom w:val="nil"/>
              <w:right w:val="nil"/>
            </w:tcBorders>
            <w:tcMar>
              <w:top w:w="0" w:type="dxa"/>
              <w:left w:w="62" w:type="dxa"/>
              <w:bottom w:w="0" w:type="dxa"/>
              <w:right w:w="62" w:type="dxa"/>
            </w:tcMar>
          </w:tcPr>
          <w:p w:rsidR="00000000" w:rsidP="0088095A">
            <w:pPr>
              <w:pStyle w:val="BodyText"/>
              <w:rPr>
                <w:lang w:val="en-NZ"/>
              </w:rPr>
            </w:pPr>
            <w:r w:rsidRPr="0088095A">
              <w:t>Complete documentation</w:t>
            </w:r>
          </w:p>
        </w:tc>
        <w:tc>
          <w:tcPr>
            <w:tcW w:w="900" w:type="dxa"/>
            <w:tcBorders>
              <w:top w:val="nil"/>
              <w:left w:val="nil"/>
              <w:bottom w:val="nil"/>
              <w:right w:val="nil"/>
            </w:tcBorders>
            <w:tcMar>
              <w:top w:w="0" w:type="dxa"/>
              <w:left w:w="62" w:type="dxa"/>
              <w:bottom w:w="0" w:type="dxa"/>
              <w:right w:w="62" w:type="dxa"/>
            </w:tcMar>
          </w:tcPr>
          <w:p w:rsidR="00000000" w:rsidP="0088095A">
            <w:pPr>
              <w:pStyle w:val="BodyText"/>
              <w:rPr>
                <w:lang w:val="en-NZ"/>
              </w:rPr>
            </w:pPr>
            <w:r w:rsidRPr="0088095A">
              <w:t>6.1</w:t>
            </w:r>
          </w:p>
        </w:tc>
        <w:tc>
          <w:tcPr>
            <w:tcW w:w="4860" w:type="dxa"/>
            <w:tcBorders>
              <w:top w:val="nil"/>
              <w:left w:val="nil"/>
              <w:bottom w:val="nil"/>
              <w:right w:val="nil"/>
            </w:tcBorders>
            <w:tcMar>
              <w:top w:w="0" w:type="dxa"/>
              <w:left w:w="62" w:type="dxa"/>
              <w:bottom w:w="0" w:type="dxa"/>
              <w:right w:w="62" w:type="dxa"/>
            </w:tcMar>
          </w:tcPr>
          <w:p w:rsidR="00000000" w:rsidRPr="0088095A" w:rsidP="0088095A">
            <w:pPr>
              <w:pStyle w:val="BodyText"/>
            </w:pPr>
            <w:r w:rsidRPr="0088095A">
              <w:t>Docu</w:t>
            </w:r>
            <w:r w:rsidRPr="0088095A">
              <w:t>mentation is updated and plant problems, movements, abnormalities and status are reported and logged in accordance with enterprise/site procedures</w:t>
            </w:r>
          </w:p>
        </w:tc>
      </w:tr>
    </w:tbl>
    <w:p w:rsidR="00000000" w:rsidRPr="0088095A" w:rsidP="0088095A">
      <w:pPr>
        <w:pStyle w:val="BodyText"/>
      </w:pPr>
    </w:p>
    <w:p w:rsidR="00000000" w:rsidRPr="0088095A" w:rsidP="0088095A">
      <w:pPr>
        <w:pStyle w:val="AllowPageBreak"/>
      </w:pPr>
    </w:p>
    <w:p w:rsidR="00000000" w:rsidRPr="0088095A" w:rsidP="0088095A">
      <w:pPr>
        <w:pStyle w:val="Heading1"/>
      </w:pPr>
      <w:bookmarkStart w:id="9" w:name="O_475036"/>
      <w:bookmarkEnd w:id="9"/>
      <w:r w:rsidRPr="0088095A">
        <w:t>Required Skills and Knowledge</w:t>
      </w:r>
    </w:p>
    <w:tbl>
      <w:tblPr>
        <w:tblW w:w="0" w:type="auto"/>
        <w:tblLayout w:type="fixed"/>
        <w:tblCellMar>
          <w:left w:w="62" w:type="dxa"/>
          <w:right w:w="62" w:type="dxa"/>
        </w:tblCellMar>
        <w:tblLook w:val="0000"/>
      </w:tblPr>
      <w:tblGrid>
        <w:gridCol w:w="8460"/>
      </w:tblGrid>
      <w:tr w:rsidTr="00A22A0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8095A">
            <w:pPr>
              <w:pStyle w:val="BodyText"/>
              <w:rPr>
                <w:lang w:val="en-NZ"/>
              </w:rPr>
            </w:pPr>
            <w:r w:rsidRPr="0088095A">
              <w:rPr>
                <w:rStyle w:val="SpecialBold"/>
              </w:rPr>
              <w:t>REQUIRED SKILLS AND KNOWLEDGE</w:t>
            </w:r>
          </w:p>
        </w:tc>
      </w:tr>
      <w:tr w:rsidTr="00A22A00">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88095A" w:rsidP="0088095A">
            <w:pPr>
              <w:pStyle w:val="BodyText"/>
            </w:pPr>
            <w:r w:rsidRPr="0088095A">
              <w:rPr>
                <w:rStyle w:val="SpecialBold"/>
              </w:rPr>
              <w:t>8)</w:t>
            </w:r>
            <w:r w:rsidRPr="0088095A">
              <w:t xml:space="preserve"> This describes the essenti</w:t>
            </w:r>
            <w:r w:rsidRPr="0088095A">
              <w:t>al skills and knowledge and their level, required for this unit.</w:t>
            </w:r>
          </w:p>
          <w:p w:rsidR="00000000" w:rsidRPr="0088095A" w:rsidP="0088095A">
            <w:pPr>
              <w:pStyle w:val="BodyText"/>
            </w:pPr>
            <w:r w:rsidRPr="0088095A">
              <w:t>Evidence shall show that knowledge has been acquired of operating and monitoring reverse osmosis plants.</w:t>
            </w:r>
          </w:p>
          <w:p w:rsidR="00000000" w:rsidRPr="0088095A" w:rsidP="0088095A">
            <w:pPr>
              <w:pStyle w:val="BodyText"/>
            </w:pPr>
            <w:r w:rsidRPr="0088095A">
              <w:t>All knowledge and skills detailed in this unit should be contextualised to current ind</w:t>
            </w:r>
            <w:r w:rsidRPr="0088095A">
              <w:t>ustry practices and technologies.</w:t>
            </w:r>
          </w:p>
          <w:p w:rsidR="00000000" w:rsidRPr="0088095A" w:rsidP="0088095A">
            <w:pPr>
              <w:pStyle w:val="BodyText"/>
            </w:pPr>
            <w:r w:rsidRPr="0088095A">
              <w:t>The extent of the Essential Knowledge and Associated Skills required follows:</w:t>
            </w:r>
          </w:p>
          <w:p w:rsidR="00000000" w:rsidRPr="0088095A" w:rsidP="0088095A">
            <w:pPr>
              <w:pStyle w:val="BodyText"/>
            </w:pPr>
            <w:r w:rsidRPr="0088095A">
              <w:t>KS01-PO323B</w:t>
            </w:r>
            <w:r w:rsidRPr="0088095A">
              <w:tab/>
              <w:t>Reverse osmosis plant</w:t>
            </w:r>
          </w:p>
          <w:p w:rsidR="00000000" w:rsidRPr="0088095A" w:rsidP="0088095A">
            <w:pPr>
              <w:pStyle w:val="BodyText"/>
            </w:pPr>
            <w:r w:rsidRPr="0088095A">
              <w:t>Evidence shall show that knowledge has been acquired for safe working practices of</w:t>
            </w:r>
          </w:p>
          <w:p w:rsidR="00000000" w:rsidRPr="0088095A" w:rsidP="0088095A">
            <w:pPr>
              <w:pStyle w:val="BodyText"/>
            </w:pPr>
            <w:r w:rsidRPr="0088095A">
              <w:t xml:space="preserve">T1 Relevant Environmental, </w:t>
            </w:r>
            <w:r w:rsidRPr="0088095A">
              <w:t>Occupational Health and Safety legislation and  regulation</w:t>
            </w:r>
          </w:p>
          <w:p w:rsidR="00000000" w:rsidRPr="0088095A" w:rsidP="0088095A">
            <w:pPr>
              <w:pStyle w:val="BodyText"/>
            </w:pPr>
            <w:r w:rsidRPr="0088095A">
              <w:t>T2 Enterprise procedures</w:t>
            </w:r>
          </w:p>
          <w:p w:rsidR="00000000" w:rsidRPr="0088095A" w:rsidP="0088095A">
            <w:pPr>
              <w:pStyle w:val="BodyText"/>
            </w:pPr>
            <w:r w:rsidRPr="0088095A">
              <w:t>T3 Plant drawings and manufacturers manuals</w:t>
            </w:r>
          </w:p>
          <w:p w:rsidR="00000000" w:rsidRPr="0088095A" w:rsidP="0088095A">
            <w:pPr>
              <w:pStyle w:val="BodyText"/>
            </w:pPr>
            <w:r w:rsidRPr="0088095A">
              <w:t>T4 Introduction to and typical arrangements of power production plant</w:t>
            </w:r>
          </w:p>
          <w:p w:rsidR="00000000" w:rsidRPr="0088095A" w:rsidP="0088095A">
            <w:pPr>
              <w:pStyle w:val="BodyText"/>
            </w:pPr>
            <w:r w:rsidRPr="0088095A">
              <w:t>T5 Relevant plant and equipment, its location and operatin</w:t>
            </w:r>
            <w:r w:rsidRPr="0088095A">
              <w:t>g parameters</w:t>
            </w:r>
          </w:p>
          <w:p w:rsidR="00000000" w:rsidRPr="0088095A" w:rsidP="0088095A">
            <w:pPr>
              <w:pStyle w:val="BodyText"/>
            </w:pPr>
            <w:r w:rsidRPr="0088095A">
              <w:t>T6 Electric motor types and characteristics</w:t>
            </w:r>
          </w:p>
          <w:p w:rsidR="00000000" w:rsidRPr="0088095A" w:rsidP="0088095A">
            <w:pPr>
              <w:pStyle w:val="BodyText"/>
            </w:pPr>
            <w:r w:rsidRPr="0088095A">
              <w:t>T7 Pump and compressor types and characteristics</w:t>
            </w:r>
          </w:p>
          <w:p w:rsidR="00000000" w:rsidRPr="0088095A" w:rsidP="0088095A">
            <w:pPr>
              <w:pStyle w:val="BodyText"/>
            </w:pPr>
            <w:r w:rsidRPr="0088095A">
              <w:t>T8 Valve, damper and actuator types and characteristics</w:t>
            </w:r>
          </w:p>
          <w:p w:rsidR="00000000" w:rsidRPr="0088095A" w:rsidP="0088095A">
            <w:pPr>
              <w:pStyle w:val="BodyText"/>
            </w:pPr>
            <w:r w:rsidRPr="0088095A">
              <w:t>T9 Switchgear types and characteristics</w:t>
            </w:r>
          </w:p>
          <w:p w:rsidR="00000000" w:rsidRPr="0088095A" w:rsidP="0088095A">
            <w:pPr>
              <w:pStyle w:val="BodyText"/>
            </w:pPr>
            <w:r w:rsidRPr="0088095A">
              <w:t>T10 Electrical protection types and characteristics</w:t>
            </w:r>
          </w:p>
          <w:p w:rsidR="00000000" w:rsidRPr="0088095A" w:rsidP="0088095A">
            <w:pPr>
              <w:pStyle w:val="BodyText"/>
            </w:pPr>
            <w:r w:rsidRPr="0088095A">
              <w:t>T1</w:t>
            </w:r>
            <w:r w:rsidRPr="0088095A">
              <w:t>1 Water chemistry</w:t>
            </w:r>
          </w:p>
          <w:p w:rsidR="00000000" w:rsidRPr="0088095A" w:rsidP="0088095A">
            <w:pPr>
              <w:pStyle w:val="BodyText"/>
            </w:pPr>
            <w:r w:rsidRPr="0088095A">
              <w:t>T12 Relevant chemicals, uses and hazards</w:t>
            </w:r>
          </w:p>
          <w:p w:rsidR="00000000" w:rsidRPr="0088095A" w:rsidP="0088095A">
            <w:pPr>
              <w:pStyle w:val="BodyText"/>
            </w:pPr>
            <w:r w:rsidRPr="0088095A">
              <w:t>T13 Fundamentals of water treatment</w:t>
            </w:r>
          </w:p>
          <w:p w:rsidR="00000000" w:rsidRPr="0088095A" w:rsidP="0088095A">
            <w:pPr>
              <w:pStyle w:val="BodyText"/>
            </w:pPr>
            <w:r w:rsidRPr="0088095A">
              <w:t>T14 Water treatment plants, types and characteristics</w:t>
            </w:r>
          </w:p>
          <w:p w:rsidR="00000000" w:rsidRPr="0088095A" w:rsidP="0088095A">
            <w:pPr>
              <w:pStyle w:val="BodyText"/>
            </w:pPr>
            <w:r w:rsidRPr="0088095A">
              <w:t>T15 Plant status</w:t>
            </w:r>
          </w:p>
          <w:p w:rsidR="00000000" w:rsidRPr="0088095A" w:rsidP="0088095A">
            <w:pPr>
              <w:pStyle w:val="BodyText"/>
            </w:pPr>
            <w:r w:rsidRPr="0088095A">
              <w:t>T16 Control and data acquisition systems</w:t>
            </w:r>
          </w:p>
          <w:p w:rsidR="00000000" w:rsidRPr="0088095A" w:rsidP="0088095A">
            <w:pPr>
              <w:pStyle w:val="BodyText"/>
            </w:pPr>
            <w:r w:rsidRPr="0088095A">
              <w:t>T17 Lubrication and bearings</w:t>
            </w:r>
          </w:p>
          <w:p w:rsidR="00000000" w:rsidRPr="0088095A" w:rsidP="0088095A">
            <w:pPr>
              <w:pStyle w:val="BodyText"/>
            </w:pPr>
            <w:r w:rsidRPr="0088095A">
              <w:t xml:space="preserve">T18 Electrical fundamentals </w:t>
            </w:r>
          </w:p>
          <w:p w:rsidR="00000000" w:rsidRPr="0088095A" w:rsidP="0088095A">
            <w:pPr>
              <w:pStyle w:val="BodyText"/>
            </w:pPr>
            <w:r w:rsidRPr="0088095A">
              <w:t>KS02-PO323B</w:t>
            </w:r>
            <w:r w:rsidRPr="0088095A">
              <w:tab/>
              <w:t>Reverse osmosis plant</w:t>
            </w:r>
          </w:p>
          <w:p w:rsidR="00000000" w:rsidRPr="0088095A" w:rsidP="0088095A">
            <w:pPr>
              <w:pStyle w:val="BodyText"/>
            </w:pPr>
            <w:r w:rsidRPr="0088095A">
              <w:t>Specific skills needed to achieve the Performance Criteria:</w:t>
            </w:r>
          </w:p>
          <w:p w:rsidR="00000000" w:rsidRPr="0088095A" w:rsidP="0088095A">
            <w:pPr>
              <w:pStyle w:val="BodyText"/>
            </w:pPr>
            <w:r w:rsidRPr="0088095A">
              <w:t>T1 Interpret plant drawings and manufacturers manuals</w:t>
            </w:r>
          </w:p>
          <w:p w:rsidR="00000000" w:rsidRPr="0088095A" w:rsidP="0088095A">
            <w:pPr>
              <w:pStyle w:val="BodyText"/>
            </w:pPr>
            <w:r w:rsidRPr="0088095A">
              <w:t>T2 Apply enterprise recording procedures</w:t>
            </w:r>
          </w:p>
          <w:p w:rsidR="00000000" w:rsidRPr="0088095A" w:rsidP="0088095A">
            <w:pPr>
              <w:pStyle w:val="BodyText"/>
            </w:pPr>
            <w:r w:rsidRPr="0088095A">
              <w:t>T3 Identify plant status</w:t>
            </w:r>
          </w:p>
          <w:p w:rsidR="00000000" w:rsidRPr="0088095A" w:rsidP="0088095A">
            <w:pPr>
              <w:pStyle w:val="BodyText"/>
            </w:pPr>
            <w:r w:rsidRPr="0088095A">
              <w:t>T4 Prepare pl</w:t>
            </w:r>
            <w:r w:rsidRPr="0088095A">
              <w:t>ant/equipment for operation</w:t>
            </w:r>
          </w:p>
          <w:p w:rsidR="00000000" w:rsidRPr="0088095A" w:rsidP="0088095A">
            <w:pPr>
              <w:pStyle w:val="BodyText"/>
            </w:pPr>
            <w:r w:rsidRPr="0088095A">
              <w:t>T5 Organise resources</w:t>
            </w:r>
          </w:p>
          <w:p w:rsidR="00000000" w:rsidRPr="0088095A" w:rsidP="0088095A">
            <w:pPr>
              <w:pStyle w:val="BodyText"/>
            </w:pPr>
            <w:r w:rsidRPr="0088095A">
              <w:t>T6 Operate reverse osmosis plant</w:t>
            </w:r>
          </w:p>
          <w:p w:rsidR="00000000" w:rsidRPr="0088095A" w:rsidP="0088095A">
            <w:pPr>
              <w:pStyle w:val="BodyText"/>
            </w:pPr>
            <w:r w:rsidRPr="0088095A">
              <w:t>T7 Apply diagnostic and testing techniques</w:t>
            </w:r>
          </w:p>
          <w:p w:rsidR="00000000" w:rsidRPr="0088095A" w:rsidP="0088095A">
            <w:pPr>
              <w:pStyle w:val="BodyText"/>
            </w:pPr>
            <w:r w:rsidRPr="0088095A">
              <w:t>T8 Identify and respond to abnormal plant operating conditions</w:t>
            </w:r>
          </w:p>
          <w:p w:rsidR="00000000" w:rsidRPr="0088095A" w:rsidP="0088095A">
            <w:pPr>
              <w:pStyle w:val="BodyText"/>
            </w:pPr>
            <w:r w:rsidRPr="0088095A">
              <w:t>T9 Plan and prioritise work</w:t>
            </w:r>
          </w:p>
          <w:p w:rsidR="00000000" w:rsidRPr="0088095A" w:rsidP="0088095A">
            <w:pPr>
              <w:pStyle w:val="BodyText"/>
            </w:pPr>
            <w:r w:rsidRPr="0088095A">
              <w:t>T10 Use relevant hand tools</w:t>
            </w:r>
          </w:p>
          <w:p w:rsidR="00000000" w:rsidRPr="0088095A" w:rsidP="0088095A">
            <w:pPr>
              <w:pStyle w:val="BodyText"/>
            </w:pPr>
            <w:r w:rsidRPr="0088095A">
              <w:t>T11 Communi</w:t>
            </w:r>
            <w:r w:rsidRPr="0088095A">
              <w:t>cate effectively</w:t>
            </w:r>
          </w:p>
          <w:p w:rsidR="00000000" w:rsidRPr="0088095A" w:rsidP="0088095A">
            <w:pPr>
              <w:pStyle w:val="BodyText"/>
            </w:pPr>
            <w:r w:rsidRPr="0088095A">
              <w:t>T12 Apply data analysis techniques and tools.</w:t>
            </w:r>
          </w:p>
        </w:tc>
      </w:tr>
    </w:tbl>
    <w:p w:rsidR="00000000" w:rsidRPr="0088095A" w:rsidP="0088095A">
      <w:pPr>
        <w:pStyle w:val="BodyText"/>
      </w:pPr>
    </w:p>
    <w:p w:rsidR="00000000" w:rsidRPr="0088095A" w:rsidP="0088095A">
      <w:pPr>
        <w:pStyle w:val="AllowPageBreak"/>
      </w:pPr>
    </w:p>
    <w:p w:rsidR="00000000" w:rsidRPr="0088095A" w:rsidP="0088095A">
      <w:pPr>
        <w:pStyle w:val="Heading1"/>
      </w:pPr>
      <w:bookmarkStart w:id="10" w:name="O_475031"/>
      <w:bookmarkEnd w:id="10"/>
      <w:r w:rsidRPr="0088095A">
        <w:t>Evidence Guide</w:t>
      </w:r>
    </w:p>
    <w:tbl>
      <w:tblPr>
        <w:tblW w:w="0" w:type="auto"/>
        <w:tblLayout w:type="fixed"/>
        <w:tblCellMar>
          <w:left w:w="62" w:type="dxa"/>
          <w:right w:w="62" w:type="dxa"/>
        </w:tblCellMar>
        <w:tblLook w:val="0000"/>
      </w:tblPr>
      <w:tblGrid>
        <w:gridCol w:w="8460"/>
      </w:tblGrid>
      <w:tr w:rsidTr="00A22A0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8095A">
            <w:pPr>
              <w:pStyle w:val="BodyText"/>
              <w:rPr>
                <w:lang w:val="en-NZ"/>
              </w:rPr>
            </w:pPr>
            <w:r w:rsidRPr="0088095A">
              <w:rPr>
                <w:rStyle w:val="SpecialBold"/>
              </w:rPr>
              <w:t>EVIDENCE GUIDE</w:t>
            </w:r>
          </w:p>
        </w:tc>
      </w:tr>
      <w:tr w:rsidTr="00A22A0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8095A" w:rsidP="0088095A">
            <w:pPr>
              <w:pStyle w:val="BodyText"/>
            </w:pPr>
            <w:r w:rsidRPr="0088095A">
              <w:rPr>
                <w:rStyle w:val="SpecialBold"/>
              </w:rPr>
              <w:t>9)</w:t>
            </w:r>
            <w:r w:rsidRPr="0088095A">
              <w:t xml:space="preserve"> This provides essential advice for assessment of the unit of competency and must be read in conjunction </w:t>
            </w:r>
            <w:r w:rsidRPr="0088095A">
              <w:t>with the Performance Criteria and the Range Statement of the unit and the Training Package Assessment Guidelines.</w:t>
            </w:r>
          </w:p>
          <w:p w:rsidR="00000000" w:rsidRPr="0088095A" w:rsidP="0088095A">
            <w:pPr>
              <w:pStyle w:val="BodyText"/>
            </w:pPr>
            <w:r w:rsidRPr="0088095A">
              <w:t xml:space="preserve">The Evidence Guide forms an integral part of this Competency Standard Unit and shall be used in conjunction with all components parts of this </w:t>
            </w:r>
            <w:r w:rsidRPr="0088095A">
              <w:t>unit and, performed in accordance with the Assessment Guidelines of this Training Package.</w:t>
            </w:r>
          </w:p>
        </w:tc>
      </w:tr>
    </w:tbl>
    <w:p w:rsidR="00000000" w:rsidRPr="0088095A" w:rsidP="0088095A">
      <w:pPr>
        <w:pStyle w:val="BodyText"/>
      </w:pPr>
    </w:p>
    <w:tbl>
      <w:tblPr>
        <w:tblW w:w="0" w:type="auto"/>
        <w:tblLayout w:type="fixed"/>
        <w:tblCellMar>
          <w:left w:w="62" w:type="dxa"/>
          <w:right w:w="62" w:type="dxa"/>
        </w:tblCellMar>
        <w:tblLook w:val="0000"/>
      </w:tblPr>
      <w:tblGrid>
        <w:gridCol w:w="1890"/>
        <w:gridCol w:w="6570"/>
      </w:tblGrid>
      <w:tr w:rsidTr="00A22A0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8095A" w:rsidP="0088095A">
            <w:pPr>
              <w:pStyle w:val="BodyText"/>
            </w:pPr>
            <w:r w:rsidRPr="0088095A">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88095A">
            <w:pPr>
              <w:pStyle w:val="BodyText"/>
              <w:rPr>
                <w:lang w:val="en-NZ"/>
              </w:rPr>
            </w:pPr>
            <w:r w:rsidRPr="0088095A">
              <w:rPr>
                <w:rStyle w:val="SpecialBold"/>
              </w:rPr>
              <w:t>9.1)</w:t>
            </w:r>
          </w:p>
        </w:tc>
      </w:tr>
      <w:tr w:rsidTr="00A22A0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8095A" w:rsidP="0088095A">
            <w:pPr>
              <w:pStyle w:val="BodyText"/>
            </w:pPr>
            <w:r w:rsidRPr="0088095A">
              <w:t>Longitude competency development approaches to assessment, such as Profiling, require data to be reliably gathered in a form that can</w:t>
            </w:r>
            <w:r w:rsidRPr="0088095A">
              <w:t xml:space="preserve"> be consistently interpreted over time. This approach is best utilised in Apprenticeship programs and reduces assessment intervention. It is the Industry’s preferred model for apprenticeships. However, where summative (or final) assessment is used it is to</w:t>
            </w:r>
            <w:r w:rsidRPr="0088095A">
              <w:t xml:space="preserve"> include the application of the competency in the normal work environment or, at a minimum, the application of the competency in a realistically simulated work environment. It is recognised that, in some circumstances, assessment in part or full can occur </w:t>
            </w:r>
            <w:r w:rsidRPr="0088095A">
              <w:t>outside the workplace. However, it must be in accord with Industry and, Regulatory policy in this regard.</w:t>
            </w:r>
          </w:p>
          <w:p w:rsidR="00000000" w:rsidRPr="0088095A" w:rsidP="0088095A">
            <w:pPr>
              <w:pStyle w:val="BodyText"/>
            </w:pPr>
            <w:r w:rsidRPr="0088095A">
              <w:t>Methods chosen for a particular assessment will be influenced by various factors. These include the extent of the assessment, the most effective locations for the assessment activities to take place, access to physical resources, additional safety measures</w:t>
            </w:r>
            <w:r w:rsidRPr="0088095A">
              <w:t xml:space="preserve"> that may be required and the critical nature of the competencies being assessed.</w:t>
            </w:r>
          </w:p>
          <w:p w:rsidR="00000000" w:rsidRPr="0088095A" w:rsidP="0088095A">
            <w:pPr>
              <w:pStyle w:val="BodyText"/>
            </w:pPr>
            <w:r w:rsidRPr="0088095A">
              <w:t>The critical safety nature of working with electricity, electrical equipment, gas or any other hazardous substance/material carries risk in deeming a person competent. Hence,</w:t>
            </w:r>
            <w:r w:rsidRPr="0088095A">
              <w:t xml:space="preserve"> sources of evidence need to be ‘rich’ in nature so as to minimise error in judgment.</w:t>
            </w:r>
          </w:p>
          <w:p w:rsidR="00000000" w:rsidRPr="0088095A" w:rsidP="0088095A">
            <w:pPr>
              <w:pStyle w:val="BodyText"/>
            </w:pPr>
            <w:r w:rsidRPr="0088095A">
              <w:t xml:space="preserve">Activities associated with normal every day work have a bearing on the decision as to how much and how detailed the data gathered will contribute to its ‘richness’. Some </w:t>
            </w:r>
            <w:r w:rsidRPr="0088095A">
              <w:t xml:space="preserve">skills are more critical to safety and operational requirements while the same skills may be more or less frequently practised. These points are raised for the assessors to consider when choosing an assessment method and developing assessment instruments. </w:t>
            </w:r>
            <w:r w:rsidRPr="0088095A">
              <w:t>Sample assessment instruments are included for Assessors in the Assessment Guidelines of this Training Package.</w:t>
            </w:r>
          </w:p>
        </w:tc>
      </w:tr>
    </w:tbl>
    <w:p w:rsidR="00000000" w:rsidRPr="0088095A" w:rsidP="0088095A">
      <w:pPr>
        <w:pStyle w:val="BodyText"/>
      </w:pPr>
    </w:p>
    <w:tbl>
      <w:tblPr>
        <w:tblW w:w="0" w:type="auto"/>
        <w:tblLayout w:type="fixed"/>
        <w:tblCellMar>
          <w:left w:w="62" w:type="dxa"/>
          <w:right w:w="62" w:type="dxa"/>
        </w:tblCellMar>
        <w:tblLook w:val="0000"/>
      </w:tblPr>
      <w:tblGrid>
        <w:gridCol w:w="1890"/>
        <w:gridCol w:w="6570"/>
      </w:tblGrid>
      <w:tr w:rsidTr="00A22A0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8095A" w:rsidP="0088095A">
            <w:pPr>
              <w:pStyle w:val="BodyText"/>
            </w:pPr>
            <w:r w:rsidRPr="0088095A">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88095A">
            <w:pPr>
              <w:pStyle w:val="BodyText"/>
              <w:rPr>
                <w:lang w:val="en-NZ"/>
              </w:rPr>
            </w:pPr>
            <w:r w:rsidRPr="0088095A">
              <w:rPr>
                <w:rStyle w:val="SpecialBold"/>
              </w:rPr>
              <w:t>9.2)</w:t>
            </w:r>
          </w:p>
        </w:tc>
      </w:tr>
      <w:tr w:rsidTr="00A22A0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8095A" w:rsidP="0088095A">
            <w:pPr>
              <w:pStyle w:val="BodyText"/>
            </w:pPr>
            <w:r w:rsidRPr="0088095A">
              <w:t>Before the critical aspects of evidence are considered all</w:t>
            </w:r>
            <w:r w:rsidRPr="0088095A">
              <w:t xml:space="preserve"> pre-requisites shall be met.</w:t>
            </w:r>
          </w:p>
          <w:p w:rsidR="00000000" w:rsidRPr="0088095A" w:rsidP="0088095A">
            <w:pPr>
              <w:pStyle w:val="BodyText"/>
            </w:pPr>
            <w:r w:rsidRPr="0088095A">
              <w:t xml:space="preserve">Evidence for competence in this unit shall be considered holistically.  Each element and associated Performance Criteria shall be demonstrated on at least two occasions in accordance with the “Assessment Guidelines – UEP12”.  </w:t>
            </w:r>
            <w:r w:rsidRPr="0088095A">
              <w:t>Evidence shall also comprise:</w:t>
            </w:r>
          </w:p>
          <w:p w:rsidR="00000000" w:rsidRPr="0088095A" w:rsidP="0088095A">
            <w:pPr>
              <w:pStyle w:val="ListBullet"/>
            </w:pPr>
            <w:r w:rsidRPr="0088095A">
              <w:t>A representative body of work performance demonstrated within the timeframes typically expected of the discipline, work function and industrial environment. In particular this shall incorporate evidence that shows a candidate</w:t>
            </w:r>
            <w:r w:rsidRPr="0088095A">
              <w:t xml:space="preserve"> is able to:</w:t>
            </w:r>
          </w:p>
          <w:p w:rsidR="00000000" w:rsidRPr="0088095A" w:rsidP="0088095A">
            <w:pPr>
              <w:pStyle w:val="ListBullet2"/>
            </w:pPr>
            <w:r w:rsidRPr="0088095A">
              <w:t>Implement Occupational Health and Safety workplace procedures and practices including the use of risk control measures as specified in the Performance Criteria and Range Statement</w:t>
            </w:r>
          </w:p>
          <w:p w:rsidR="00000000" w:rsidRPr="0088095A" w:rsidP="0088095A">
            <w:pPr>
              <w:pStyle w:val="ListBullet2"/>
            </w:pPr>
            <w:r w:rsidRPr="0088095A">
              <w:t>Apply sustainable energy principles and practices as specified in the Performance Criteria and Range Statement</w:t>
            </w:r>
          </w:p>
          <w:p w:rsidR="00000000" w:rsidRPr="0088095A" w:rsidP="0088095A">
            <w:pPr>
              <w:pStyle w:val="ListBullet2"/>
            </w:pPr>
            <w:r w:rsidRPr="0088095A">
              <w:t>Demonstrate an understanding of the essential knowledge and associated skills as described in 6) Essential Knowledge and Associated Skills of thi</w:t>
            </w:r>
            <w:r w:rsidRPr="0088095A">
              <w:t>s unit</w:t>
            </w:r>
          </w:p>
          <w:p w:rsidR="00000000" w:rsidRPr="0088095A" w:rsidP="0088095A">
            <w:pPr>
              <w:pStyle w:val="ListBullet2"/>
            </w:pPr>
            <w:r w:rsidRPr="0088095A">
              <w:t>Demonstrate an appropriate level of employability skills</w:t>
            </w:r>
          </w:p>
          <w:p w:rsidR="00000000" w:rsidRPr="0088095A" w:rsidP="0088095A">
            <w:pPr>
              <w:pStyle w:val="ListBullet2"/>
            </w:pPr>
            <w:r w:rsidRPr="0088095A">
              <w:t>Conduct work observing the relevant Anti Discrimination legislation, regulations, polices and workplace procedures</w:t>
            </w:r>
          </w:p>
          <w:p w:rsidR="00000000" w:rsidRPr="0088095A" w:rsidP="0088095A">
            <w:pPr>
              <w:pStyle w:val="ListBullet"/>
            </w:pPr>
            <w:r w:rsidRPr="0088095A">
              <w:t xml:space="preserve">Demonstrated performance across a representative range of contexts from the </w:t>
            </w:r>
            <w:r w:rsidRPr="0088095A">
              <w:t>prescribed items below:</w:t>
            </w:r>
          </w:p>
          <w:p w:rsidR="00000000" w:rsidRPr="0088095A" w:rsidP="0088095A">
            <w:pPr>
              <w:pStyle w:val="ListBullet2"/>
            </w:pPr>
            <w:r w:rsidRPr="0088095A">
              <w:t>Knowledge and application of relevant sections of: Occupational Health and Safety legislation; Statutory legislation; Enterprise/site safety procedures; Enterprise/site emergency procedures</w:t>
            </w:r>
          </w:p>
          <w:p w:rsidR="00000000" w:rsidRPr="0088095A" w:rsidP="0088095A">
            <w:pPr>
              <w:pStyle w:val="ListBullet2"/>
            </w:pPr>
            <w:r w:rsidRPr="0088095A">
              <w:t>Preparation and planning of work</w:t>
            </w:r>
          </w:p>
          <w:p w:rsidR="00000000" w:rsidRPr="0088095A" w:rsidP="0088095A">
            <w:pPr>
              <w:pStyle w:val="ListBullet2"/>
            </w:pPr>
            <w:r w:rsidRPr="0088095A">
              <w:t>Operatio</w:t>
            </w:r>
            <w:r w:rsidRPr="0088095A">
              <w:t>n of reverse osmosis plant</w:t>
            </w:r>
          </w:p>
          <w:p w:rsidR="00000000" w:rsidRPr="0088095A" w:rsidP="0088095A">
            <w:pPr>
              <w:pStyle w:val="ListBullet2"/>
            </w:pPr>
            <w:r w:rsidRPr="0088095A">
              <w:t>Operationally testing plant</w:t>
            </w:r>
          </w:p>
          <w:p w:rsidR="00000000" w:rsidRPr="0088095A" w:rsidP="0088095A">
            <w:pPr>
              <w:pStyle w:val="ListBullet2"/>
            </w:pPr>
            <w:r w:rsidRPr="0088095A">
              <w:t>Analysing plant faults</w:t>
            </w:r>
          </w:p>
          <w:p w:rsidR="00000000" w:rsidRPr="0088095A" w:rsidP="0088095A">
            <w:pPr>
              <w:pStyle w:val="ListBullet2"/>
            </w:pPr>
            <w:r w:rsidRPr="0088095A">
              <w:t>Monitoring plant operation</w:t>
            </w:r>
          </w:p>
          <w:p w:rsidR="00000000" w:rsidRPr="0088095A" w:rsidP="0088095A">
            <w:pPr>
              <w:pStyle w:val="ListBullet2"/>
            </w:pPr>
            <w:r w:rsidRPr="0088095A">
              <w:t>Knowledge of the properties of gases, their use and precautions to be taken</w:t>
            </w:r>
          </w:p>
          <w:p w:rsidR="00000000" w:rsidRPr="0088095A" w:rsidP="0088095A">
            <w:pPr>
              <w:pStyle w:val="ListBullet2"/>
            </w:pPr>
            <w:r w:rsidRPr="0088095A">
              <w:t>Dealing with an unplanned event by drawing on essential knowledge and skill</w:t>
            </w:r>
            <w:r w:rsidRPr="0088095A">
              <w:t>s to provide appropriate solutions incorporated in the holistic assessment with the above listed items</w:t>
            </w:r>
          </w:p>
        </w:tc>
      </w:tr>
    </w:tbl>
    <w:p w:rsidR="00000000" w:rsidRPr="0088095A" w:rsidP="0088095A">
      <w:pPr>
        <w:pStyle w:val="BodyText"/>
      </w:pPr>
    </w:p>
    <w:tbl>
      <w:tblPr>
        <w:tblW w:w="0" w:type="auto"/>
        <w:tblLayout w:type="fixed"/>
        <w:tblCellMar>
          <w:left w:w="62" w:type="dxa"/>
          <w:right w:w="62" w:type="dxa"/>
        </w:tblCellMar>
        <w:tblLook w:val="0000"/>
      </w:tblPr>
      <w:tblGrid>
        <w:gridCol w:w="1890"/>
        <w:gridCol w:w="6570"/>
      </w:tblGrid>
      <w:tr w:rsidTr="00A22A00">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88095A" w:rsidP="0088095A">
            <w:pPr>
              <w:pStyle w:val="BodyText"/>
            </w:pPr>
            <w:r w:rsidRPr="0088095A">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88095A">
            <w:pPr>
              <w:pStyle w:val="BodyText"/>
              <w:rPr>
                <w:lang w:val="en-NZ"/>
              </w:rPr>
            </w:pPr>
            <w:r w:rsidRPr="0088095A">
              <w:rPr>
                <w:rStyle w:val="SpecialBold"/>
              </w:rPr>
              <w:t>9.3)</w:t>
            </w:r>
          </w:p>
        </w:tc>
      </w:tr>
      <w:tr w:rsidTr="00A22A00">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8095A" w:rsidP="0088095A">
            <w:pPr>
              <w:pStyle w:val="BodyText"/>
            </w:pPr>
            <w:r w:rsidRPr="0088095A">
              <w:t>This unit should be assessed as i</w:t>
            </w:r>
            <w:r w:rsidRPr="0088095A">
              <w:t>t relates to normal work practice using procedures, information and resources typical of a workplace. This should include:</w:t>
            </w:r>
          </w:p>
          <w:p w:rsidR="00000000" w:rsidRPr="0088095A" w:rsidP="0088095A">
            <w:pPr>
              <w:pStyle w:val="ListBullet"/>
            </w:pPr>
            <w:r w:rsidRPr="0088095A">
              <w:t>OHS policy and work procedures and instructions.</w:t>
            </w:r>
          </w:p>
          <w:p w:rsidR="00000000" w:rsidRPr="0088095A" w:rsidP="0088095A">
            <w:pPr>
              <w:pStyle w:val="ListBullet"/>
            </w:pPr>
            <w:r w:rsidRPr="0088095A">
              <w:t>Suitable work environment, facilities, equipment and materials to undertake actual work as prescribed by this unit.</w:t>
            </w:r>
          </w:p>
          <w:p w:rsidR="00000000" w:rsidRPr="0088095A" w:rsidP="0088095A">
            <w:pPr>
              <w:pStyle w:val="BodyText"/>
            </w:pPr>
            <w:r w:rsidRPr="0088095A">
              <w:t>Competency Standards should be assessed in the workplace or simulated workplace and under the normal range of workplace conditions.</w:t>
            </w:r>
          </w:p>
          <w:p w:rsidR="00000000" w:rsidRPr="0088095A" w:rsidP="0088095A">
            <w:pPr>
              <w:pStyle w:val="BodyText"/>
            </w:pPr>
            <w:r w:rsidRPr="0088095A">
              <w:t>Assessme</w:t>
            </w:r>
            <w:r w:rsidRPr="0088095A">
              <w:t>nt of this unit will be supported with documentary evidence, by means of endorsement stating type and application of work.</w:t>
            </w:r>
          </w:p>
          <w:p w:rsidR="00000000" w:rsidRPr="0088095A" w:rsidP="0088095A">
            <w:pPr>
              <w:pStyle w:val="BodyText"/>
            </w:pPr>
            <w:r w:rsidRPr="0088095A">
              <w:t>In addition to the resources listed above in Context of assessment’, evidence should show competency working, in limited spaces, with</w:t>
            </w:r>
            <w:r w:rsidRPr="0088095A">
              <w:t xml:space="preserve"> different types of plant and equipment as well as different structural/construction types and methods and in a variety of environments.</w:t>
            </w:r>
          </w:p>
        </w:tc>
      </w:tr>
    </w:tbl>
    <w:p w:rsidR="00000000" w:rsidRPr="0088095A" w:rsidP="0088095A">
      <w:pPr>
        <w:pStyle w:val="BodyText"/>
      </w:pPr>
    </w:p>
    <w:tbl>
      <w:tblPr>
        <w:tblW w:w="0" w:type="auto"/>
        <w:tblLayout w:type="fixed"/>
        <w:tblCellMar>
          <w:left w:w="62" w:type="dxa"/>
          <w:right w:w="62" w:type="dxa"/>
        </w:tblCellMar>
        <w:tblLook w:val="0000"/>
      </w:tblPr>
      <w:tblGrid>
        <w:gridCol w:w="1890"/>
        <w:gridCol w:w="6570"/>
      </w:tblGrid>
      <w:tr w:rsidTr="00A22A0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8095A" w:rsidP="0088095A">
            <w:pPr>
              <w:pStyle w:val="BodyText"/>
            </w:pPr>
            <w:r w:rsidRPr="0088095A">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88095A">
            <w:pPr>
              <w:pStyle w:val="BodyText"/>
              <w:rPr>
                <w:lang w:val="en-NZ"/>
              </w:rPr>
            </w:pPr>
            <w:r w:rsidRPr="0088095A">
              <w:rPr>
                <w:rStyle w:val="SpecialBold"/>
              </w:rPr>
              <w:t>9.4)</w:t>
            </w:r>
          </w:p>
        </w:tc>
      </w:tr>
      <w:tr w:rsidTr="00A22A0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8095A" w:rsidP="0088095A">
            <w:pPr>
              <w:pStyle w:val="BodyText"/>
            </w:pPr>
            <w:r w:rsidRPr="0088095A">
              <w:t>This unit shall be assessed by methods given in Section 1.3.00 Assessment Guidelines.</w:t>
            </w:r>
          </w:p>
          <w:p w:rsidR="00000000" w:rsidRPr="0088095A" w:rsidP="0088095A">
            <w:pPr>
              <w:pStyle w:val="BodyText"/>
            </w:pPr>
            <w:r w:rsidRPr="0088095A">
              <w:t xml:space="preserve">Note: Competent performance with inherent safe working practices is expected in the Industry to which this unit applies. This requires that the specified essential knowledge and associated skills are assessed in a structured environment which is primarily </w:t>
            </w:r>
            <w:r w:rsidRPr="0088095A">
              <w:t>intended for learning/assessment and incorporates all necessary equipment and facilities for learners to develop and demonstrate the essential knowledge and skills described in this unit.</w:t>
            </w:r>
          </w:p>
        </w:tc>
      </w:tr>
    </w:tbl>
    <w:p w:rsidR="00000000" w:rsidRPr="0088095A" w:rsidP="0088095A">
      <w:pPr>
        <w:pStyle w:val="BodyText"/>
      </w:pPr>
    </w:p>
    <w:tbl>
      <w:tblPr>
        <w:tblW w:w="0" w:type="auto"/>
        <w:tblLayout w:type="fixed"/>
        <w:tblCellMar>
          <w:left w:w="62" w:type="dxa"/>
          <w:right w:w="62" w:type="dxa"/>
        </w:tblCellMar>
        <w:tblLook w:val="0000"/>
      </w:tblPr>
      <w:tblGrid>
        <w:gridCol w:w="1890"/>
        <w:gridCol w:w="6570"/>
      </w:tblGrid>
      <w:tr w:rsidTr="00A22A00">
        <w:tblPrEx>
          <w:tblW w:w="0" w:type="auto"/>
          <w:tblLayout w:type="fixed"/>
          <w:tblCellMar>
            <w:left w:w="62" w:type="dxa"/>
            <w:right w:w="62" w:type="dxa"/>
          </w:tblCellMar>
          <w:tblLook w:val="0000"/>
        </w:tblPrEx>
        <w:trPr>
          <w:trHeight w:val="1024"/>
        </w:trPr>
        <w:tc>
          <w:tcPr>
            <w:tcW w:w="1890" w:type="dxa"/>
            <w:tcBorders>
              <w:top w:val="nil"/>
              <w:left w:val="nil"/>
              <w:bottom w:val="nil"/>
              <w:right w:val="nil"/>
            </w:tcBorders>
            <w:tcMar>
              <w:top w:w="0" w:type="dxa"/>
              <w:left w:w="62" w:type="dxa"/>
              <w:bottom w:w="0" w:type="dxa"/>
              <w:right w:w="62" w:type="dxa"/>
            </w:tcMar>
          </w:tcPr>
          <w:p w:rsidR="00000000" w:rsidRPr="0088095A" w:rsidP="0088095A">
            <w:pPr>
              <w:pStyle w:val="BodyText"/>
            </w:pPr>
            <w:r w:rsidRPr="0088095A">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88095A">
            <w:pPr>
              <w:pStyle w:val="BodyText"/>
              <w:rPr>
                <w:lang w:val="en-NZ"/>
              </w:rPr>
            </w:pPr>
            <w:r w:rsidRPr="0088095A">
              <w:rPr>
                <w:rStyle w:val="SpecialBold"/>
              </w:rPr>
              <w:t>9.5)</w:t>
            </w:r>
          </w:p>
        </w:tc>
      </w:tr>
      <w:tr w:rsidTr="00A22A0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8095A" w:rsidP="0088095A">
            <w:pPr>
              <w:pStyle w:val="BodyText"/>
            </w:pPr>
            <w:r w:rsidRPr="0088095A">
              <w:t>The</w:t>
            </w:r>
            <w:r w:rsidRPr="0088095A">
              <w:t>re are no recommended concurrent assessments with this unit, however in some cases efficiencies may be gained in terms of learning and assessment effort being concurrently managed with allied competency standard units where listed.</w:t>
            </w:r>
          </w:p>
          <w:p w:rsidR="00000000" w:rsidRPr="0088095A" w:rsidP="0088095A">
            <w:pPr>
              <w:pStyle w:val="BodyText"/>
            </w:pPr>
            <w:r w:rsidRPr="0088095A">
              <w:t>Nil</w:t>
            </w:r>
            <w:r w:rsidRPr="0088095A">
              <w:tab/>
            </w:r>
          </w:p>
        </w:tc>
      </w:tr>
    </w:tbl>
    <w:p w:rsidR="00000000" w:rsidRPr="0088095A" w:rsidP="0088095A">
      <w:pPr>
        <w:pStyle w:val="BodyText"/>
      </w:pPr>
    </w:p>
    <w:p w:rsidR="00000000" w:rsidRPr="0088095A" w:rsidP="0088095A">
      <w:pPr>
        <w:pStyle w:val="AllowPageBreak"/>
      </w:pPr>
    </w:p>
    <w:p w:rsidR="00000000" w:rsidRPr="0088095A" w:rsidP="0088095A">
      <w:pPr>
        <w:pStyle w:val="Heading1"/>
      </w:pPr>
      <w:bookmarkStart w:id="11" w:name="O_475035"/>
      <w:bookmarkEnd w:id="11"/>
      <w:r w:rsidRPr="0088095A">
        <w:t>Range Statement</w:t>
      </w:r>
    </w:p>
    <w:tbl>
      <w:tblPr>
        <w:tblW w:w="0" w:type="auto"/>
        <w:tblLayout w:type="fixed"/>
        <w:tblCellMar>
          <w:left w:w="62" w:type="dxa"/>
          <w:right w:w="62" w:type="dxa"/>
        </w:tblCellMar>
        <w:tblLook w:val="0000"/>
      </w:tblPr>
      <w:tblGrid>
        <w:gridCol w:w="8460"/>
      </w:tblGrid>
      <w:tr w:rsidTr="00A22A0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8095A">
            <w:pPr>
              <w:pStyle w:val="BodyText"/>
              <w:rPr>
                <w:lang w:val="en-NZ"/>
              </w:rPr>
            </w:pPr>
            <w:r w:rsidRPr="0088095A">
              <w:rPr>
                <w:rStyle w:val="SpecialBold"/>
              </w:rPr>
              <w:t>RANGE STATEMENT</w:t>
            </w:r>
          </w:p>
        </w:tc>
      </w:tr>
      <w:tr w:rsidTr="00A22A0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8095A" w:rsidP="0088095A">
            <w:pPr>
              <w:pStyle w:val="BodyText"/>
            </w:pPr>
            <w:r w:rsidRPr="0088095A">
              <w:rPr>
                <w:rStyle w:val="SpecialBold"/>
              </w:rPr>
              <w:t>10)</w:t>
            </w:r>
            <w:r w:rsidRPr="0088095A">
              <w:t xml:space="preserve"> This relates to the unit of competency as a whole providing the range of contexts and conditions to which the Performance Criteria a</w:t>
            </w:r>
            <w:r w:rsidRPr="0088095A">
              <w:t>pply. It allows for different work environments and situations that will affect performance.</w:t>
            </w:r>
          </w:p>
          <w:p w:rsidR="00000000" w:rsidRPr="0088095A" w:rsidP="0088095A">
            <w:pPr>
              <w:pStyle w:val="BodyText"/>
            </w:pPr>
            <w:r w:rsidRPr="0088095A">
              <w:t>Systems, plant and/or equipment may include electrical supply switchboard(s) and transformers; reverse osmosis membranes and pressure vessels; electrical motors; p</w:t>
            </w:r>
            <w:r w:rsidRPr="0088095A">
              <w:t>umps; valves, actuators and dampers (electric, hydraulic, pneumatic and manual); safety showers and eyewash equipment; lime, ferric chloride storage and delivery plant; high pressure/high capacity chlorine storage cylinders and associated delivery equipmen</w:t>
            </w:r>
            <w:r w:rsidRPr="0088095A">
              <w:t>t; high capacity sulphuric acid storage tanks and associated delivery equipment; safety shower and eyewash equipment; and supervisory, protection and alarm and control equipment.</w:t>
            </w:r>
          </w:p>
          <w:p w:rsidR="00000000" w:rsidRPr="0088095A" w:rsidP="0088095A">
            <w:pPr>
              <w:pStyle w:val="BodyText"/>
            </w:pPr>
            <w:r w:rsidRPr="0088095A">
              <w:t>Safety standards may include relevant sections of Occupational Health and Saf</w:t>
            </w:r>
            <w:r w:rsidRPr="0088095A">
              <w:t>ety legislation, enterprise safety rules, relevant state and federal legislation, national standards for plant and Australian standards.</w:t>
            </w:r>
          </w:p>
          <w:p w:rsidR="00000000" w:rsidRPr="0088095A" w:rsidP="0088095A">
            <w:pPr>
              <w:pStyle w:val="BodyText"/>
            </w:pPr>
            <w:r w:rsidRPr="0088095A">
              <w:t>Information and documentation sources may include verbal and written communications, enterprise/site safety rules docum</w:t>
            </w:r>
            <w:r w:rsidRPr="0088095A">
              <w:t>entation/form(s), enterprise/site operating instructions, enterprise/site log book, manufacturer operation and maintenance manuals, dedicated computer equipment, equipment and alarm manuals and enterprise standing instructions and plant notes.</w:t>
            </w:r>
          </w:p>
          <w:p w:rsidR="00000000" w:rsidRPr="0088095A" w:rsidP="0088095A">
            <w:pPr>
              <w:pStyle w:val="BodyText"/>
            </w:pPr>
            <w:r w:rsidRPr="0088095A">
              <w:t>Technical an</w:t>
            </w:r>
            <w:r w:rsidRPr="0088095A">
              <w:t>d operational indicators may include stimuli (audio, smell, touch, visual), remote or local indicators and recorders and alarms (visible and/or audible).</w:t>
            </w:r>
          </w:p>
          <w:p w:rsidR="00000000" w:rsidRPr="0088095A" w:rsidP="0088095A">
            <w:pPr>
              <w:pStyle w:val="BodyText"/>
            </w:pPr>
            <w:r w:rsidRPr="0088095A">
              <w:t>Communications may be by means of telephone, two way radio, pager, computer (electronic mail) and oper</w:t>
            </w:r>
            <w:r w:rsidRPr="0088095A">
              <w:t>ating log (written or verbal).</w:t>
            </w:r>
          </w:p>
          <w:p w:rsidR="00000000" w:rsidRPr="0088095A" w:rsidP="0088095A">
            <w:pPr>
              <w:pStyle w:val="BodyText"/>
            </w:pPr>
            <w:r w:rsidRPr="0088095A">
              <w:t>Tests may include stand-by plant “cut-in” tests, motor direction checks and plant performance tests.</w:t>
            </w:r>
          </w:p>
          <w:p w:rsidR="00000000" w:rsidRPr="0088095A" w:rsidP="0088095A">
            <w:pPr>
              <w:pStyle w:val="BodyText"/>
            </w:pPr>
            <w:r w:rsidRPr="0088095A">
              <w:t xml:space="preserve">Appropriate personnel to consult, give or receive direction may include supervisor/team leader or equivalent, technical and </w:t>
            </w:r>
            <w:r w:rsidRPr="0088095A">
              <w:t>engineering officers or equivalent, maintenance staff, power plant operations personnel or equivalent, other operating staff or equivalent and contractor staff.</w:t>
            </w:r>
          </w:p>
          <w:p w:rsidR="00000000" w:rsidRPr="0088095A" w:rsidP="0088095A">
            <w:pPr>
              <w:pStyle w:val="BodyText"/>
            </w:pPr>
            <w:r w:rsidRPr="0088095A">
              <w:t>Test, fault finding and operating tools may include high voltage testers, providing dead equipm</w:t>
            </w:r>
            <w:r w:rsidRPr="0088095A">
              <w:t>ent, power or hand tools, pH and conductivity meters and chlorine leak detectors.</w:t>
            </w:r>
          </w:p>
          <w:p w:rsidR="00000000" w:rsidRPr="0088095A" w:rsidP="0088095A">
            <w:pPr>
              <w:pStyle w:val="BodyText"/>
            </w:pPr>
            <w:r w:rsidRPr="0088095A">
              <w:t>Operating environment may be remote from plant, aided by indicators and monitors, during inclement or otherwise harsh weather conditions, in wet/noisy/ dusty/hot areas or dur</w:t>
            </w:r>
            <w:r w:rsidRPr="0088095A">
              <w:t>ing continuous operation.</w:t>
            </w:r>
          </w:p>
          <w:p w:rsidR="00000000" w:rsidRPr="0088095A" w:rsidP="0088095A">
            <w:pPr>
              <w:pStyle w:val="BodyText"/>
            </w:pPr>
            <w:r w:rsidRPr="0088095A">
              <w:t>Faults and abnormal operating conditions may include motor/pump/ actuator/valve/damper failure/malfunctions, control equipment failure/ malfunctions, loss of electrical supply to plant and equipment, process chemical limits exceed</w:t>
            </w:r>
            <w:r w:rsidRPr="0088095A">
              <w:t>ed and process chemicals leaks/spillages, excessive vibration pumps/motors.</w:t>
            </w:r>
          </w:p>
          <w:p w:rsidR="00000000" w:rsidRPr="0088095A" w:rsidP="0088095A">
            <w:pPr>
              <w:pStyle w:val="BodyText"/>
            </w:pPr>
            <w:r w:rsidRPr="0088095A">
              <w:t>Generic terms are used throughout this Training Package for vocational standard shall be regarded as part of the Range Statement in which competency is demonstrated. The definition</w:t>
            </w:r>
            <w:r w:rsidRPr="0088095A">
              <w:t xml:space="preserve"> of these and other terms are given in Section 2.1 Preliminary Information and Glossaries.</w:t>
            </w:r>
          </w:p>
        </w:tc>
      </w:tr>
    </w:tbl>
    <w:p w:rsidR="00000000" w:rsidRPr="0088095A" w:rsidP="0088095A">
      <w:pPr>
        <w:pStyle w:val="BodyText"/>
      </w:pPr>
    </w:p>
    <w:p w:rsidR="00000000" w:rsidRPr="0088095A" w:rsidP="0088095A">
      <w:pPr>
        <w:pStyle w:val="AllowPageBreak"/>
      </w:pPr>
    </w:p>
    <w:p w:rsidR="00000000" w:rsidRPr="0088095A" w:rsidP="0088095A">
      <w:pPr>
        <w:pStyle w:val="Heading1"/>
      </w:pPr>
      <w:bookmarkStart w:id="12" w:name="O_475038"/>
      <w:bookmarkEnd w:id="12"/>
      <w:r w:rsidRPr="0088095A">
        <w:t>Unit Sector(s)</w:t>
      </w:r>
    </w:p>
    <w:p w:rsidR="00000000" w:rsidRPr="0088095A" w:rsidP="0088095A">
      <w:pPr>
        <w:pStyle w:val="BodyText"/>
      </w:pPr>
      <w:r w:rsidRPr="0088095A">
        <w:t>Not applicable.</w:t>
      </w:r>
    </w:p>
    <w:p w:rsidR="00000000" w:rsidRPr="0088095A" w:rsidP="0088095A">
      <w:pPr>
        <w:pStyle w:val="AllowPageBreak"/>
      </w:pPr>
    </w:p>
    <w:p w:rsidR="00000000" w:rsidRPr="0088095A" w:rsidP="0088095A">
      <w:pPr>
        <w:pStyle w:val="Heading1"/>
      </w:pPr>
      <w:bookmarkStart w:id="13" w:name="O_475027"/>
      <w:bookmarkEnd w:id="13"/>
      <w:r w:rsidRPr="0088095A">
        <w:t>Competency Field</w:t>
      </w:r>
    </w:p>
    <w:tbl>
      <w:tblPr>
        <w:tblW w:w="0" w:type="auto"/>
        <w:tblLayout w:type="fixed"/>
        <w:tblCellMar>
          <w:left w:w="62" w:type="dxa"/>
          <w:right w:w="62" w:type="dxa"/>
        </w:tblCellMar>
        <w:tblLook w:val="0000"/>
      </w:tblPr>
      <w:tblGrid>
        <w:gridCol w:w="2700"/>
        <w:gridCol w:w="5760"/>
      </w:tblGrid>
      <w:tr w:rsidTr="00A22A0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8095A" w:rsidP="0088095A">
            <w:pPr>
              <w:pStyle w:val="BodyText"/>
            </w:pPr>
            <w:r w:rsidRPr="0088095A">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88095A">
            <w:pPr>
              <w:pStyle w:val="BodyText"/>
              <w:rPr>
                <w:lang w:val="en-NZ"/>
              </w:rPr>
            </w:pPr>
            <w:r w:rsidRPr="0088095A">
              <w:rPr>
                <w:rStyle w:val="SpecialBold"/>
              </w:rPr>
              <w:t xml:space="preserve">11) </w:t>
            </w:r>
          </w:p>
        </w:tc>
      </w:tr>
      <w:tr w:rsidTr="00A22A0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8095A" w:rsidP="0088095A">
            <w:pPr>
              <w:pStyle w:val="BodyText"/>
            </w:pPr>
            <w:r w:rsidRPr="0088095A">
              <w:t>Operations.</w:t>
            </w:r>
          </w:p>
        </w:tc>
      </w:tr>
    </w:tbl>
    <w:p w:rsidR="00000000" w:rsidRPr="0088095A" w:rsidP="0088095A">
      <w:pPr>
        <w:pStyle w:val="BodyText"/>
      </w:pPr>
    </w:p>
    <w:p w:rsidR="00000000" w:rsidRPr="0088095A" w:rsidP="0088095A"/>
    <w:sectPr w:rsidSect="0088095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9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22A00" w:rsidP="00A22A0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9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A00" w:rsidP="0088095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22A00" w:rsidP="0088095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A22A00" w:rsidP="0088095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9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95A" w:rsidRPr="00A22A00" w:rsidP="00A22A0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9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A00" w:rsidRPr="002D2AF8" w:rsidP="0088095A">
    <w:pPr>
      <w:pStyle w:val="Header"/>
      <w:framePr w:wrap="around"/>
    </w:pPr>
    <w:r>
      <w:fldChar w:fldCharType="begin"/>
    </w:r>
    <w:r>
      <w:instrText xml:space="preserve"> TITLE   \* MERGEFORMAT </w:instrText>
    </w:r>
    <w:r>
      <w:fldChar w:fldCharType="separate"/>
    </w:r>
    <w:r>
      <w:t>UEPOPS323B Operate and monitor reverse osmosis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A22A00" w:rsidP="008809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AFACD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13291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7EAB7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09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095A"/>
    <w:pPr>
      <w:spacing w:before="360" w:after="60"/>
      <w:outlineLvl w:val="0"/>
    </w:pPr>
    <w:rPr>
      <w:sz w:val="32"/>
    </w:rPr>
  </w:style>
  <w:style w:type="paragraph" w:styleId="Heading2">
    <w:name w:val="heading 2"/>
    <w:basedOn w:val="HeadingBase"/>
    <w:next w:val="BodyText"/>
    <w:link w:val="Heading2Char"/>
    <w:qFormat/>
    <w:rsid w:val="0088095A"/>
    <w:pPr>
      <w:keepLines/>
      <w:spacing w:before="240" w:after="120"/>
      <w:outlineLvl w:val="1"/>
    </w:pPr>
    <w:rPr>
      <w:sz w:val="28"/>
      <w:szCs w:val="40"/>
    </w:rPr>
  </w:style>
  <w:style w:type="paragraph" w:styleId="Heading3">
    <w:name w:val="heading 3"/>
    <w:basedOn w:val="HeadingBase"/>
    <w:next w:val="BodyText"/>
    <w:link w:val="Heading3Char"/>
    <w:qFormat/>
    <w:rsid w:val="0088095A"/>
    <w:pPr>
      <w:spacing w:before="180" w:after="120"/>
      <w:outlineLvl w:val="2"/>
    </w:pPr>
    <w:rPr>
      <w:spacing w:val="-10"/>
      <w:kern w:val="32"/>
    </w:rPr>
  </w:style>
  <w:style w:type="paragraph" w:styleId="Heading4">
    <w:name w:val="heading 4"/>
    <w:basedOn w:val="HeadingBase"/>
    <w:next w:val="BodyText"/>
    <w:link w:val="Heading4Char"/>
    <w:qFormat/>
    <w:rsid w:val="0088095A"/>
    <w:pPr>
      <w:spacing w:before="160" w:after="120"/>
      <w:outlineLvl w:val="3"/>
    </w:pPr>
    <w:rPr>
      <w:sz w:val="22"/>
    </w:rPr>
  </w:style>
  <w:style w:type="paragraph" w:styleId="Heading5">
    <w:name w:val="heading 5"/>
    <w:basedOn w:val="HeadingBase"/>
    <w:next w:val="Normal"/>
    <w:link w:val="Heading5Char"/>
    <w:qFormat/>
    <w:rsid w:val="0088095A"/>
    <w:pPr>
      <w:spacing w:before="80"/>
      <w:outlineLvl w:val="4"/>
    </w:pPr>
    <w:rPr>
      <w:color w:val="918585"/>
      <w:sz w:val="20"/>
    </w:rPr>
  </w:style>
  <w:style w:type="paragraph" w:styleId="Heading6">
    <w:name w:val="heading 6"/>
    <w:basedOn w:val="HeadingBase"/>
    <w:next w:val="Normal"/>
    <w:link w:val="Heading6Char"/>
    <w:qFormat/>
    <w:rsid w:val="0088095A"/>
    <w:pPr>
      <w:spacing w:before="60"/>
      <w:outlineLvl w:val="5"/>
    </w:pPr>
    <w:rPr>
      <w:color w:val="918585"/>
      <w:sz w:val="20"/>
    </w:rPr>
  </w:style>
  <w:style w:type="paragraph" w:styleId="Heading7">
    <w:name w:val="heading 7"/>
    <w:basedOn w:val="Normal"/>
    <w:next w:val="Normal"/>
    <w:link w:val="Heading7Char"/>
    <w:qFormat/>
    <w:rsid w:val="0088095A"/>
    <w:pPr>
      <w:ind w:left="720"/>
      <w:outlineLvl w:val="6"/>
    </w:pPr>
    <w:rPr>
      <w:i/>
    </w:rPr>
  </w:style>
  <w:style w:type="paragraph" w:styleId="Heading8">
    <w:name w:val="heading 8"/>
    <w:basedOn w:val="Normal"/>
    <w:next w:val="Normal"/>
    <w:link w:val="Heading8Char"/>
    <w:qFormat/>
    <w:rsid w:val="0088095A"/>
    <w:pPr>
      <w:ind w:left="720"/>
      <w:outlineLvl w:val="7"/>
    </w:pPr>
    <w:rPr>
      <w:i/>
    </w:rPr>
  </w:style>
  <w:style w:type="paragraph" w:styleId="Heading9">
    <w:name w:val="heading 9"/>
    <w:basedOn w:val="Normal"/>
    <w:next w:val="Normal"/>
    <w:link w:val="Heading9Char"/>
    <w:qFormat/>
    <w:rsid w:val="0088095A"/>
    <w:pPr>
      <w:ind w:left="720"/>
      <w:outlineLvl w:val="8"/>
    </w:pPr>
    <w:rPr>
      <w:i/>
    </w:rPr>
  </w:style>
  <w:style w:type="character" w:default="1" w:styleId="DefaultParagraphFont">
    <w:name w:val="Default Paragraph Font"/>
    <w:uiPriority w:val="1"/>
    <w:unhideWhenUsed/>
    <w:rsid w:val="008809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095A"/>
  </w:style>
  <w:style w:type="character" w:customStyle="1" w:styleId="Heading1Char">
    <w:name w:val="Heading 1 Char"/>
    <w:basedOn w:val="DefaultParagraphFont"/>
    <w:link w:val="Heading1"/>
    <w:rsid w:val="0088095A"/>
    <w:rPr>
      <w:rFonts w:ascii="Times New Roman" w:eastAsia="Times New Roman" w:hAnsi="Times New Roman" w:cs="Times New Roman"/>
      <w:b/>
      <w:sz w:val="32"/>
      <w:szCs w:val="20"/>
      <w:lang w:eastAsia="en-US"/>
    </w:rPr>
  </w:style>
  <w:style w:type="paragraph" w:styleId="BodyText">
    <w:name w:val="Body Text"/>
    <w:basedOn w:val="Normal"/>
    <w:link w:val="BodyTextChar"/>
    <w:rsid w:val="0088095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8095A"/>
    <w:rPr>
      <w:rFonts w:ascii="Times New Roman" w:eastAsia="Times New Roman" w:hAnsi="Times New Roman" w:cs="Times New Roman"/>
      <w:sz w:val="24"/>
      <w:lang w:eastAsia="en-US"/>
    </w:rPr>
  </w:style>
  <w:style w:type="paragraph" w:styleId="Footer">
    <w:name w:val="footer"/>
    <w:basedOn w:val="Normal"/>
    <w:link w:val="FooterChar"/>
    <w:rsid w:val="008809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095A"/>
    <w:rPr>
      <w:rFonts w:ascii="Times New Roman" w:eastAsia="Times New Roman" w:hAnsi="Times New Roman" w:cs="Times New Roman"/>
      <w:sz w:val="16"/>
      <w:lang w:eastAsia="en-US"/>
    </w:rPr>
  </w:style>
  <w:style w:type="paragraph" w:styleId="ListBullet">
    <w:name w:val="List Bullet"/>
    <w:basedOn w:val="List"/>
    <w:rsid w:val="0088095A"/>
    <w:pPr>
      <w:numPr>
        <w:numId w:val="13"/>
      </w:numPr>
      <w:tabs>
        <w:tab w:val="clear" w:pos="340"/>
      </w:tabs>
      <w:spacing w:before="40" w:after="40"/>
    </w:pPr>
  </w:style>
  <w:style w:type="character" w:customStyle="1" w:styleId="SpecialBold">
    <w:name w:val="Special Bold"/>
    <w:basedOn w:val="DefaultParagraphFont"/>
    <w:rsid w:val="0088095A"/>
    <w:rPr>
      <w:b/>
      <w:spacing w:val="0"/>
    </w:rPr>
  </w:style>
  <w:style w:type="paragraph" w:styleId="ListBullet2">
    <w:name w:val="List Bullet 2"/>
    <w:basedOn w:val="List2"/>
    <w:rsid w:val="0088095A"/>
    <w:pPr>
      <w:numPr>
        <w:numId w:val="14"/>
      </w:numPr>
      <w:tabs>
        <w:tab w:val="clear" w:pos="680"/>
      </w:tabs>
    </w:pPr>
  </w:style>
  <w:style w:type="paragraph" w:customStyle="1" w:styleId="SuperHeading">
    <w:name w:val="SuperHeading"/>
    <w:basedOn w:val="Normal"/>
    <w:rsid w:val="0088095A"/>
    <w:pPr>
      <w:spacing w:before="240" w:after="120"/>
      <w:outlineLvl w:val="0"/>
    </w:pPr>
    <w:rPr>
      <w:rFonts w:ascii="Times New Roman" w:hAnsi="Times New Roman"/>
      <w:b/>
      <w:sz w:val="28"/>
    </w:rPr>
  </w:style>
  <w:style w:type="paragraph" w:customStyle="1" w:styleId="AllowPageBreak">
    <w:name w:val="AllowPageBreak"/>
    <w:rsid w:val="0088095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809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09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09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09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09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09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09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095A"/>
    <w:rPr>
      <w:rFonts w:ascii="Courier New" w:eastAsia="Times New Roman" w:hAnsi="Courier New" w:cs="Times New Roman"/>
      <w:i/>
      <w:szCs w:val="20"/>
      <w:lang w:eastAsia="en-US"/>
    </w:rPr>
  </w:style>
  <w:style w:type="paragraph" w:customStyle="1" w:styleId="HeadingBase">
    <w:name w:val="Heading Base"/>
    <w:rsid w:val="008809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095A"/>
    <w:pPr>
      <w:tabs>
        <w:tab w:val="right" w:leader="dot" w:pos="9072"/>
      </w:tabs>
      <w:ind w:left="567"/>
    </w:pPr>
    <w:rPr>
      <w:szCs w:val="22"/>
    </w:rPr>
  </w:style>
  <w:style w:type="paragraph" w:customStyle="1" w:styleId="TOCBase">
    <w:name w:val="TOC Base"/>
    <w:rsid w:val="008809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095A"/>
    <w:pPr>
      <w:tabs>
        <w:tab w:val="right" w:leader="dot" w:pos="9072"/>
      </w:tabs>
      <w:spacing w:before="40" w:after="40"/>
      <w:ind w:left="284"/>
    </w:pPr>
    <w:rPr>
      <w:rFonts w:ascii="Times New Roman" w:hAnsi="Times New Roman"/>
    </w:rPr>
  </w:style>
  <w:style w:type="paragraph" w:styleId="TOC1">
    <w:name w:val="toc 1"/>
    <w:basedOn w:val="TOCBase"/>
    <w:next w:val="Normal"/>
    <w:rsid w:val="0088095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8095A"/>
    <w:pPr>
      <w:spacing w:before="5040"/>
      <w:jc w:val="center"/>
    </w:pPr>
    <w:rPr>
      <w:sz w:val="48"/>
      <w:szCs w:val="72"/>
      <w:lang w:val="en-US"/>
    </w:rPr>
  </w:style>
  <w:style w:type="character" w:customStyle="1" w:styleId="TitleChar">
    <w:name w:val="Title Char"/>
    <w:basedOn w:val="DefaultParagraphFont"/>
    <w:link w:val="Title"/>
    <w:rsid w:val="008809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095A"/>
    <w:pPr>
      <w:tabs>
        <w:tab w:val="left" w:pos="3600"/>
        <w:tab w:val="left" w:pos="3958"/>
      </w:tabs>
    </w:pPr>
  </w:style>
  <w:style w:type="paragraph" w:styleId="List">
    <w:name w:val="List"/>
    <w:basedOn w:val="BodyText"/>
    <w:next w:val="BodyText"/>
    <w:rsid w:val="0088095A"/>
    <w:pPr>
      <w:tabs>
        <w:tab w:val="left" w:pos="340"/>
      </w:tabs>
      <w:spacing w:before="60" w:after="60"/>
      <w:ind w:left="340" w:hanging="340"/>
    </w:pPr>
  </w:style>
  <w:style w:type="paragraph" w:customStyle="1" w:styleId="Note">
    <w:name w:val="Note"/>
    <w:basedOn w:val="BodyText"/>
    <w:rsid w:val="008809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095A"/>
    <w:pPr>
      <w:framePr w:wrap="auto" w:hAnchor="text" w:y="6049"/>
    </w:pPr>
    <w:rPr>
      <w:color w:val="000000"/>
      <w:sz w:val="40"/>
    </w:rPr>
  </w:style>
  <w:style w:type="paragraph" w:customStyle="1" w:styleId="TOCTitle">
    <w:name w:val="TOCTitle"/>
    <w:basedOn w:val="Heading1"/>
    <w:rsid w:val="0088095A"/>
    <w:pPr>
      <w:spacing w:after="240"/>
      <w:jc w:val="center"/>
      <w:outlineLvl w:val="9"/>
    </w:pPr>
    <w:rPr>
      <w:caps/>
    </w:rPr>
  </w:style>
  <w:style w:type="paragraph" w:customStyle="1" w:styleId="Version">
    <w:name w:val="Version"/>
    <w:rsid w:val="0088095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8095A"/>
    <w:pPr>
      <w:keepNext w:val="0"/>
      <w:tabs>
        <w:tab w:val="right" w:pos="4176"/>
      </w:tabs>
      <w:ind w:left="198" w:hanging="198"/>
    </w:pPr>
    <w:rPr>
      <w:rFonts w:ascii="Garamond" w:hAnsi="Garamond"/>
    </w:rPr>
  </w:style>
  <w:style w:type="paragraph" w:styleId="IndexHeading">
    <w:name w:val="index heading"/>
    <w:basedOn w:val="Normal"/>
    <w:next w:val="Index1"/>
    <w:semiHidden/>
    <w:rsid w:val="0088095A"/>
    <w:pPr>
      <w:spacing w:before="120" w:after="120"/>
    </w:pPr>
    <w:rPr>
      <w:rFonts w:ascii="Arial" w:hAnsi="Arial"/>
      <w:b/>
      <w:color w:val="918585"/>
      <w:sz w:val="24"/>
    </w:rPr>
  </w:style>
  <w:style w:type="paragraph" w:styleId="Header">
    <w:name w:val="header"/>
    <w:basedOn w:val="Normal"/>
    <w:link w:val="HeaderChar"/>
    <w:rsid w:val="008809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095A"/>
    <w:rPr>
      <w:rFonts w:ascii="Times New Roman" w:eastAsia="Times New Roman" w:hAnsi="Times New Roman" w:cs="Times New Roman"/>
      <w:sz w:val="16"/>
      <w:szCs w:val="20"/>
      <w:lang w:val="en-GB" w:eastAsia="en-US"/>
    </w:rPr>
  </w:style>
  <w:style w:type="paragraph" w:customStyle="1" w:styleId="Chapter">
    <w:name w:val="Chapter"/>
    <w:basedOn w:val="Normal"/>
    <w:rsid w:val="0088095A"/>
    <w:pPr>
      <w:spacing w:before="240"/>
    </w:pPr>
    <w:rPr>
      <w:rFonts w:ascii="Times New Roman" w:hAnsi="Times New Roman"/>
      <w:smallCaps/>
      <w:spacing w:val="80"/>
      <w:sz w:val="28"/>
    </w:rPr>
  </w:style>
  <w:style w:type="paragraph" w:customStyle="1" w:styleId="InChapter">
    <w:name w:val="InChapter"/>
    <w:basedOn w:val="Heading3"/>
    <w:rsid w:val="0088095A"/>
    <w:pPr>
      <w:spacing w:after="240"/>
      <w:outlineLvl w:val="9"/>
    </w:pPr>
    <w:rPr>
      <w:noProof/>
    </w:rPr>
  </w:style>
  <w:style w:type="paragraph" w:styleId="Index2">
    <w:name w:val="index 2"/>
    <w:basedOn w:val="Normal"/>
    <w:next w:val="Normal"/>
    <w:semiHidden/>
    <w:rsid w:val="0088095A"/>
    <w:pPr>
      <w:tabs>
        <w:tab w:val="right" w:pos="4176"/>
      </w:tabs>
      <w:ind w:left="568" w:hanging="284"/>
    </w:pPr>
    <w:rPr>
      <w:rFonts w:ascii="Garamond" w:hAnsi="Garamond"/>
    </w:rPr>
  </w:style>
  <w:style w:type="paragraph" w:customStyle="1" w:styleId="Byline">
    <w:name w:val="Byline"/>
    <w:rsid w:val="008809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095A"/>
    <w:pPr>
      <w:tabs>
        <w:tab w:val="clear" w:pos="3600"/>
        <w:tab w:val="clear" w:pos="3958"/>
      </w:tabs>
      <w:jc w:val="right"/>
    </w:pPr>
  </w:style>
  <w:style w:type="character" w:styleId="Emphasis">
    <w:name w:val="Emphasis"/>
    <w:basedOn w:val="DefaultParagraphFont"/>
    <w:qFormat/>
    <w:rsid w:val="0088095A"/>
    <w:rPr>
      <w:i/>
    </w:rPr>
  </w:style>
  <w:style w:type="paragraph" w:styleId="Caption">
    <w:name w:val="caption"/>
    <w:basedOn w:val="BodyText"/>
    <w:next w:val="Normal"/>
    <w:qFormat/>
    <w:rsid w:val="0088095A"/>
    <w:pPr>
      <w:framePr w:w="2268" w:hSpace="181" w:vSpace="181" w:wrap="around" w:vAnchor="text" w:hAnchor="page" w:x="1135" w:y="285" w:anchorLock="1"/>
    </w:pPr>
    <w:rPr>
      <w:i/>
    </w:rPr>
  </w:style>
  <w:style w:type="paragraph" w:customStyle="1" w:styleId="MiniTOCTitle">
    <w:name w:val="MiniTOCTitle"/>
    <w:basedOn w:val="Heading4"/>
    <w:rsid w:val="0088095A"/>
    <w:pPr>
      <w:spacing w:before="240"/>
      <w:outlineLvl w:val="9"/>
    </w:pPr>
    <w:rPr>
      <w:noProof/>
      <w:sz w:val="24"/>
    </w:rPr>
  </w:style>
  <w:style w:type="paragraph" w:customStyle="1" w:styleId="MiniTOCItem">
    <w:name w:val="MiniTOCItem"/>
    <w:basedOn w:val="ListBullet"/>
    <w:rsid w:val="0088095A"/>
    <w:pPr>
      <w:numPr>
        <w:numId w:val="0"/>
      </w:numPr>
      <w:tabs>
        <w:tab w:val="right" w:leader="dot" w:pos="6521"/>
      </w:tabs>
      <w:spacing w:before="0" w:after="0"/>
    </w:pPr>
  </w:style>
  <w:style w:type="paragraph" w:customStyle="1" w:styleId="TOFTitle">
    <w:name w:val="TOFTitle"/>
    <w:basedOn w:val="TOCTitle"/>
    <w:rsid w:val="0088095A"/>
  </w:style>
  <w:style w:type="paragraph" w:styleId="TableofFigures">
    <w:name w:val="table of figures"/>
    <w:basedOn w:val="Normal"/>
    <w:next w:val="Normal"/>
    <w:semiHidden/>
    <w:rsid w:val="0088095A"/>
    <w:pPr>
      <w:tabs>
        <w:tab w:val="right" w:leader="dot" w:pos="9072"/>
      </w:tabs>
      <w:ind w:left="970" w:hanging="403"/>
    </w:pPr>
    <w:rPr>
      <w:rFonts w:ascii="Times New Roman" w:hAnsi="Times New Roman"/>
      <w:b/>
    </w:rPr>
  </w:style>
  <w:style w:type="paragraph" w:styleId="ListNumber">
    <w:name w:val="List Number"/>
    <w:basedOn w:val="List"/>
    <w:rsid w:val="0088095A"/>
    <w:pPr>
      <w:numPr>
        <w:numId w:val="11"/>
      </w:numPr>
    </w:pPr>
  </w:style>
  <w:style w:type="character" w:customStyle="1" w:styleId="WingdingSymbols">
    <w:name w:val="Wingding Symbols"/>
    <w:rsid w:val="0088095A"/>
    <w:rPr>
      <w:rFonts w:ascii="Wingdings" w:hAnsi="Wingdings"/>
    </w:rPr>
  </w:style>
  <w:style w:type="paragraph" w:customStyle="1" w:styleId="TableHeading">
    <w:name w:val="Table Heading"/>
    <w:basedOn w:val="HeadingBase"/>
    <w:rsid w:val="0088095A"/>
    <w:pPr>
      <w:keepLines/>
      <w:pBdr>
        <w:bottom w:val="single" w:sz="6" w:space="1" w:color="918585"/>
      </w:pBdr>
      <w:spacing w:before="240"/>
    </w:pPr>
  </w:style>
  <w:style w:type="character" w:customStyle="1" w:styleId="HotSpot">
    <w:name w:val="HotSpot"/>
    <w:rsid w:val="0088095A"/>
    <w:rPr>
      <w:color w:val="0033CC"/>
      <w:u w:val="none"/>
    </w:rPr>
  </w:style>
  <w:style w:type="paragraph" w:customStyle="1" w:styleId="BodyTextRight">
    <w:name w:val="Body Text Right"/>
    <w:basedOn w:val="BodyText"/>
    <w:rsid w:val="0088095A"/>
    <w:pPr>
      <w:spacing w:before="0" w:after="0"/>
      <w:jc w:val="right"/>
    </w:pPr>
  </w:style>
  <w:style w:type="paragraph" w:styleId="Index3">
    <w:name w:val="index 3"/>
    <w:basedOn w:val="ListNumber2"/>
    <w:next w:val="Normal"/>
    <w:semiHidden/>
    <w:rsid w:val="0088095A"/>
    <w:pPr>
      <w:numPr>
        <w:numId w:val="0"/>
      </w:numPr>
      <w:tabs>
        <w:tab w:val="right" w:leader="dot" w:pos="4176"/>
      </w:tabs>
    </w:pPr>
  </w:style>
  <w:style w:type="paragraph" w:styleId="ListNumber2">
    <w:name w:val="List Number 2"/>
    <w:basedOn w:val="List2"/>
    <w:rsid w:val="0088095A"/>
    <w:pPr>
      <w:numPr>
        <w:numId w:val="10"/>
      </w:numPr>
      <w:tabs>
        <w:tab w:val="clear" w:pos="1060"/>
      </w:tabs>
    </w:pPr>
  </w:style>
  <w:style w:type="paragraph" w:customStyle="1" w:styleId="MarginNote">
    <w:name w:val="Margin Note"/>
    <w:basedOn w:val="BodyText"/>
    <w:rsid w:val="008809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09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09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095A"/>
    <w:rPr>
      <w:sz w:val="32"/>
    </w:rPr>
  </w:style>
  <w:style w:type="paragraph" w:customStyle="1" w:styleId="HeadingProcedure">
    <w:name w:val="Heading Procedure"/>
    <w:basedOn w:val="HeadingBase"/>
    <w:next w:val="Normal"/>
    <w:rsid w:val="0088095A"/>
    <w:pPr>
      <w:tabs>
        <w:tab w:val="left" w:pos="0"/>
      </w:tabs>
      <w:spacing w:before="120" w:after="60"/>
    </w:pPr>
    <w:rPr>
      <w:i/>
      <w:color w:val="918585"/>
      <w:sz w:val="22"/>
    </w:rPr>
  </w:style>
  <w:style w:type="paragraph" w:customStyle="1" w:styleId="TableBodyText">
    <w:name w:val="Table Body Text"/>
    <w:basedOn w:val="BodyText"/>
    <w:rsid w:val="0088095A"/>
    <w:pPr>
      <w:spacing w:before="60" w:after="60"/>
    </w:pPr>
  </w:style>
  <w:style w:type="paragraph" w:styleId="ListContinue">
    <w:name w:val="List Continue"/>
    <w:basedOn w:val="List"/>
    <w:rsid w:val="0088095A"/>
    <w:pPr>
      <w:ind w:firstLine="0"/>
    </w:pPr>
  </w:style>
  <w:style w:type="paragraph" w:customStyle="1" w:styleId="ListNote">
    <w:name w:val="List Note"/>
    <w:basedOn w:val="List"/>
    <w:rsid w:val="0088095A"/>
    <w:pPr>
      <w:pBdr>
        <w:top w:val="single" w:sz="6" w:space="2" w:color="918585"/>
        <w:bottom w:val="single" w:sz="6" w:space="2" w:color="918585"/>
      </w:pBdr>
      <w:tabs>
        <w:tab w:val="left" w:pos="1021"/>
      </w:tabs>
      <w:ind w:firstLine="0"/>
    </w:pPr>
  </w:style>
  <w:style w:type="paragraph" w:customStyle="1" w:styleId="Warning">
    <w:name w:val="Warning"/>
    <w:basedOn w:val="BodyText"/>
    <w:rsid w:val="0088095A"/>
    <w:pPr>
      <w:shd w:val="clear" w:color="auto" w:fill="D9D9D9"/>
      <w:tabs>
        <w:tab w:val="left" w:pos="992"/>
      </w:tabs>
      <w:ind w:left="119" w:right="119"/>
    </w:pPr>
    <w:rPr>
      <w:sz w:val="20"/>
    </w:rPr>
  </w:style>
  <w:style w:type="paragraph" w:customStyle="1" w:styleId="MarginIcons">
    <w:name w:val="Margin Icons"/>
    <w:basedOn w:val="BodyText"/>
    <w:rsid w:val="008809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095A"/>
    <w:rPr>
      <w:rFonts w:ascii="Courier New" w:hAnsi="Courier New"/>
    </w:rPr>
  </w:style>
  <w:style w:type="paragraph" w:customStyle="1" w:styleId="NoteBullet">
    <w:name w:val="Note Bullet"/>
    <w:basedOn w:val="Note"/>
    <w:rsid w:val="0088095A"/>
    <w:pPr>
      <w:tabs>
        <w:tab w:val="clear" w:pos="680"/>
      </w:tabs>
      <w:spacing w:before="60" w:after="60"/>
    </w:pPr>
  </w:style>
  <w:style w:type="paragraph" w:customStyle="1" w:styleId="SubHeading2">
    <w:name w:val="SubHeading2"/>
    <w:basedOn w:val="HeadingBase"/>
    <w:rsid w:val="0088095A"/>
    <w:pPr>
      <w:spacing w:before="240" w:after="60"/>
    </w:pPr>
    <w:rPr>
      <w:sz w:val="20"/>
    </w:rPr>
  </w:style>
  <w:style w:type="paragraph" w:customStyle="1" w:styleId="SubHeading1">
    <w:name w:val="SubHeading1"/>
    <w:basedOn w:val="HeadingBase"/>
    <w:rsid w:val="0088095A"/>
    <w:pPr>
      <w:spacing w:before="240" w:after="60"/>
    </w:pPr>
    <w:rPr>
      <w:color w:val="918585"/>
      <w:sz w:val="22"/>
    </w:rPr>
  </w:style>
  <w:style w:type="paragraph" w:customStyle="1" w:styleId="SideHeading">
    <w:name w:val="Side Heading"/>
    <w:basedOn w:val="HeadingBase"/>
    <w:rsid w:val="008809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095A"/>
    <w:pPr>
      <w:numPr>
        <w:numId w:val="12"/>
      </w:numPr>
    </w:pPr>
  </w:style>
  <w:style w:type="paragraph" w:styleId="PlainText">
    <w:name w:val="Plain Text"/>
    <w:basedOn w:val="Normal"/>
    <w:link w:val="PlainTextChar"/>
    <w:rsid w:val="0088095A"/>
    <w:rPr>
      <w:sz w:val="20"/>
    </w:rPr>
  </w:style>
  <w:style w:type="character" w:customStyle="1" w:styleId="PlainTextChar">
    <w:name w:val="Plain Text Char"/>
    <w:basedOn w:val="DefaultParagraphFont"/>
    <w:link w:val="PlainText"/>
    <w:rsid w:val="0088095A"/>
    <w:rPr>
      <w:rFonts w:ascii="Courier New" w:eastAsia="Times New Roman" w:hAnsi="Courier New" w:cs="Times New Roman"/>
      <w:sz w:val="20"/>
      <w:szCs w:val="20"/>
      <w:lang w:eastAsia="en-US"/>
    </w:rPr>
  </w:style>
  <w:style w:type="character" w:customStyle="1" w:styleId="MenuOption">
    <w:name w:val="Menu Option"/>
    <w:basedOn w:val="DefaultParagraphFont"/>
    <w:rsid w:val="0088095A"/>
    <w:rPr>
      <w:b/>
      <w:smallCaps/>
    </w:rPr>
  </w:style>
  <w:style w:type="paragraph" w:customStyle="1" w:styleId="TableListNumber">
    <w:name w:val="Table List Number"/>
    <w:basedOn w:val="ListNumber"/>
    <w:rsid w:val="0088095A"/>
    <w:pPr>
      <w:numPr>
        <w:numId w:val="0"/>
      </w:numPr>
    </w:pPr>
  </w:style>
  <w:style w:type="paragraph" w:styleId="TOC4">
    <w:name w:val="toc 4"/>
    <w:basedOn w:val="TOCBase"/>
    <w:next w:val="Normal"/>
    <w:semiHidden/>
    <w:rsid w:val="0088095A"/>
    <w:pPr>
      <w:tabs>
        <w:tab w:val="right" w:leader="dot" w:pos="9071"/>
      </w:tabs>
      <w:ind w:left="1701"/>
    </w:pPr>
  </w:style>
  <w:style w:type="paragraph" w:customStyle="1" w:styleId="ListAlpha">
    <w:name w:val="List Alpha"/>
    <w:basedOn w:val="List"/>
    <w:rsid w:val="0088095A"/>
    <w:pPr>
      <w:numPr>
        <w:numId w:val="9"/>
      </w:numPr>
    </w:pPr>
  </w:style>
  <w:style w:type="paragraph" w:customStyle="1" w:styleId="ListAlpha2">
    <w:name w:val="List Alpha 2"/>
    <w:basedOn w:val="List2"/>
    <w:rsid w:val="0088095A"/>
    <w:pPr>
      <w:numPr>
        <w:numId w:val="8"/>
      </w:numPr>
    </w:pPr>
  </w:style>
  <w:style w:type="paragraph" w:styleId="List2">
    <w:name w:val="List 2"/>
    <w:basedOn w:val="BodyText"/>
    <w:rsid w:val="0088095A"/>
    <w:pPr>
      <w:tabs>
        <w:tab w:val="left" w:pos="680"/>
      </w:tabs>
      <w:spacing w:before="60" w:after="60"/>
      <w:ind w:left="680" w:hanging="340"/>
    </w:pPr>
  </w:style>
  <w:style w:type="paragraph" w:styleId="List3">
    <w:name w:val="List 3"/>
    <w:basedOn w:val="BodyText"/>
    <w:rsid w:val="0088095A"/>
    <w:pPr>
      <w:tabs>
        <w:tab w:val="left" w:pos="1021"/>
      </w:tabs>
      <w:spacing w:before="60" w:after="60"/>
      <w:ind w:left="1020" w:hanging="340"/>
    </w:pPr>
  </w:style>
  <w:style w:type="paragraph" w:styleId="List4">
    <w:name w:val="List 4"/>
    <w:basedOn w:val="BodyText"/>
    <w:rsid w:val="0088095A"/>
    <w:pPr>
      <w:tabs>
        <w:tab w:val="left" w:pos="1361"/>
      </w:tabs>
      <w:spacing w:before="60" w:after="60"/>
      <w:ind w:left="1361" w:hanging="340"/>
    </w:pPr>
  </w:style>
  <w:style w:type="paragraph" w:styleId="List5">
    <w:name w:val="List 5"/>
    <w:basedOn w:val="BodyText"/>
    <w:rsid w:val="0088095A"/>
    <w:pPr>
      <w:tabs>
        <w:tab w:val="left" w:pos="1701"/>
      </w:tabs>
      <w:spacing w:before="60" w:after="60"/>
      <w:ind w:left="1701" w:hanging="340"/>
    </w:pPr>
  </w:style>
  <w:style w:type="paragraph" w:styleId="ListBullet3">
    <w:name w:val="List Bullet 3"/>
    <w:basedOn w:val="List3"/>
    <w:rsid w:val="0088095A"/>
    <w:pPr>
      <w:numPr>
        <w:numId w:val="15"/>
      </w:numPr>
      <w:tabs>
        <w:tab w:val="clear" w:pos="1021"/>
      </w:tabs>
      <w:ind w:left="1037" w:hanging="357"/>
    </w:pPr>
  </w:style>
  <w:style w:type="paragraph" w:styleId="ListBullet4">
    <w:name w:val="List Bullet 4"/>
    <w:basedOn w:val="List4"/>
    <w:rsid w:val="0088095A"/>
    <w:pPr>
      <w:numPr>
        <w:numId w:val="3"/>
      </w:numPr>
    </w:pPr>
  </w:style>
  <w:style w:type="paragraph" w:styleId="ListBullet5">
    <w:name w:val="List Bullet 5"/>
    <w:basedOn w:val="List5"/>
    <w:rsid w:val="0088095A"/>
    <w:pPr>
      <w:numPr>
        <w:numId w:val="4"/>
      </w:numPr>
    </w:pPr>
  </w:style>
  <w:style w:type="paragraph" w:styleId="ListContinue2">
    <w:name w:val="List Continue 2"/>
    <w:basedOn w:val="List2"/>
    <w:rsid w:val="0088095A"/>
    <w:pPr>
      <w:ind w:firstLine="0"/>
    </w:pPr>
  </w:style>
  <w:style w:type="paragraph" w:styleId="ListContinue3">
    <w:name w:val="List Continue 3"/>
    <w:basedOn w:val="List3"/>
    <w:rsid w:val="0088095A"/>
    <w:pPr>
      <w:ind w:left="1021" w:firstLine="0"/>
    </w:pPr>
  </w:style>
  <w:style w:type="paragraph" w:styleId="ListContinue4">
    <w:name w:val="List Continue 4"/>
    <w:basedOn w:val="List4"/>
    <w:rsid w:val="0088095A"/>
    <w:pPr>
      <w:ind w:firstLine="0"/>
    </w:pPr>
  </w:style>
  <w:style w:type="paragraph" w:styleId="ListContinue5">
    <w:name w:val="List Continue 5"/>
    <w:basedOn w:val="List5"/>
    <w:rsid w:val="0088095A"/>
    <w:pPr>
      <w:ind w:firstLine="0"/>
    </w:pPr>
  </w:style>
  <w:style w:type="paragraph" w:styleId="ListNumber3">
    <w:name w:val="List Number 3"/>
    <w:basedOn w:val="List3"/>
    <w:rsid w:val="0088095A"/>
    <w:pPr>
      <w:numPr>
        <w:numId w:val="5"/>
      </w:numPr>
    </w:pPr>
  </w:style>
  <w:style w:type="paragraph" w:styleId="ListNumber4">
    <w:name w:val="List Number 4"/>
    <w:basedOn w:val="List4"/>
    <w:rsid w:val="0088095A"/>
    <w:pPr>
      <w:numPr>
        <w:numId w:val="6"/>
      </w:numPr>
    </w:pPr>
  </w:style>
  <w:style w:type="paragraph" w:styleId="ListNumber5">
    <w:name w:val="List Number 5"/>
    <w:basedOn w:val="List5"/>
    <w:rsid w:val="0088095A"/>
    <w:pPr>
      <w:numPr>
        <w:numId w:val="7"/>
      </w:numPr>
    </w:pPr>
  </w:style>
  <w:style w:type="paragraph" w:styleId="BlockText">
    <w:name w:val="Block Text"/>
    <w:basedOn w:val="Normal"/>
    <w:rsid w:val="0088095A"/>
    <w:pPr>
      <w:spacing w:after="120"/>
      <w:ind w:left="1440" w:right="1440"/>
    </w:pPr>
  </w:style>
  <w:style w:type="character" w:customStyle="1" w:styleId="Subscript">
    <w:name w:val="Subscript"/>
    <w:basedOn w:val="DefaultParagraphFont"/>
    <w:rsid w:val="0088095A"/>
    <w:rPr>
      <w:sz w:val="16"/>
      <w:vertAlign w:val="subscript"/>
    </w:rPr>
  </w:style>
  <w:style w:type="character" w:customStyle="1" w:styleId="Superscript">
    <w:name w:val="Superscript"/>
    <w:basedOn w:val="DefaultParagraphFont"/>
    <w:rsid w:val="0088095A"/>
    <w:rPr>
      <w:sz w:val="16"/>
      <w:vertAlign w:val="superscript"/>
    </w:rPr>
  </w:style>
  <w:style w:type="character" w:customStyle="1" w:styleId="Symbols">
    <w:name w:val="Symbols"/>
    <w:basedOn w:val="DefaultParagraphFont"/>
    <w:rsid w:val="0088095A"/>
    <w:rPr>
      <w:rFonts w:ascii="Symbol" w:hAnsi="Symbol"/>
    </w:rPr>
  </w:style>
  <w:style w:type="character" w:customStyle="1" w:styleId="MenuOptions">
    <w:name w:val="Menu Options"/>
    <w:basedOn w:val="DefaultParagraphFont"/>
    <w:rsid w:val="0088095A"/>
    <w:rPr>
      <w:rFonts w:ascii="Arial Narrow" w:hAnsi="Arial Narrow"/>
      <w:smallCaps/>
    </w:rPr>
  </w:style>
  <w:style w:type="character" w:customStyle="1" w:styleId="Buttons">
    <w:name w:val="Buttons"/>
    <w:basedOn w:val="DefaultParagraphFont"/>
    <w:rsid w:val="0088095A"/>
    <w:rPr>
      <w:b/>
    </w:rPr>
  </w:style>
  <w:style w:type="character" w:customStyle="1" w:styleId="Underlined">
    <w:name w:val="Underlined"/>
    <w:basedOn w:val="DefaultParagraphFont"/>
    <w:rsid w:val="0088095A"/>
    <w:rPr>
      <w:u w:val="single"/>
    </w:rPr>
  </w:style>
  <w:style w:type="paragraph" w:customStyle="1" w:styleId="TableBodyTextRight">
    <w:name w:val="Table Body Text Right"/>
    <w:basedOn w:val="TableBodyText"/>
    <w:rsid w:val="0088095A"/>
    <w:pPr>
      <w:widowControl w:val="0"/>
      <w:autoSpaceDE w:val="0"/>
      <w:autoSpaceDN w:val="0"/>
      <w:adjustRightInd w:val="0"/>
      <w:jc w:val="right"/>
    </w:pPr>
    <w:rPr>
      <w:rFonts w:cs="Arial"/>
      <w:szCs w:val="18"/>
    </w:rPr>
  </w:style>
  <w:style w:type="paragraph" w:customStyle="1" w:styleId="CopyrightText">
    <w:name w:val="Copyright Text"/>
    <w:basedOn w:val="BodyText"/>
    <w:rsid w:val="0088095A"/>
    <w:rPr>
      <w:sz w:val="18"/>
    </w:rPr>
  </w:style>
  <w:style w:type="paragraph" w:customStyle="1" w:styleId="BodySmallRight">
    <w:name w:val="Body Small Right"/>
    <w:basedOn w:val="BodyTextRight"/>
    <w:rsid w:val="0088095A"/>
    <w:rPr>
      <w:sz w:val="18"/>
      <w:szCs w:val="18"/>
    </w:rPr>
  </w:style>
  <w:style w:type="paragraph" w:customStyle="1" w:styleId="MarginEdition">
    <w:name w:val="Margin Edition"/>
    <w:basedOn w:val="MarginNote"/>
    <w:rsid w:val="0088095A"/>
    <w:pPr>
      <w:spacing w:before="0" w:after="0"/>
    </w:pPr>
    <w:rPr>
      <w:rFonts w:ascii="Times New Roman" w:hAnsi="Times New Roman"/>
      <w:color w:val="999999"/>
    </w:rPr>
  </w:style>
  <w:style w:type="paragraph" w:customStyle="1" w:styleId="Spacer">
    <w:name w:val="Spacer"/>
    <w:basedOn w:val="Normal"/>
    <w:rsid w:val="0088095A"/>
    <w:rPr>
      <w:sz w:val="2"/>
      <w:szCs w:val="2"/>
    </w:rPr>
  </w:style>
  <w:style w:type="character" w:customStyle="1" w:styleId="Small">
    <w:name w:val="Small"/>
    <w:basedOn w:val="DefaultParagraphFont"/>
    <w:rsid w:val="0088095A"/>
    <w:rPr>
      <w:sz w:val="16"/>
    </w:rPr>
  </w:style>
  <w:style w:type="paragraph" w:customStyle="1" w:styleId="WideTable">
    <w:name w:val="Wide Table"/>
    <w:basedOn w:val="Normal"/>
    <w:rsid w:val="0088095A"/>
    <w:pPr>
      <w:ind w:left="-1418"/>
    </w:pPr>
    <w:rPr>
      <w:sz w:val="2"/>
      <w:szCs w:val="2"/>
    </w:rPr>
  </w:style>
  <w:style w:type="character" w:styleId="PageNumber">
    <w:name w:val="page number"/>
    <w:basedOn w:val="DefaultParagraphFont"/>
    <w:rsid w:val="0088095A"/>
  </w:style>
  <w:style w:type="paragraph" w:styleId="Quote">
    <w:name w:val="Quote"/>
    <w:basedOn w:val="Heading1"/>
    <w:link w:val="QuoteChar"/>
    <w:qFormat/>
    <w:rsid w:val="0088095A"/>
    <w:rPr>
      <w:b w:val="0"/>
      <w:sz w:val="72"/>
      <w:szCs w:val="72"/>
      <w:lang w:val="en-NZ"/>
    </w:rPr>
  </w:style>
  <w:style w:type="character" w:customStyle="1" w:styleId="QuoteChar">
    <w:name w:val="Quote Char"/>
    <w:basedOn w:val="DefaultParagraphFont"/>
    <w:link w:val="Quote"/>
    <w:rsid w:val="008809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095A"/>
    <w:pPr>
      <w:pageBreakBefore/>
    </w:pPr>
  </w:style>
  <w:style w:type="paragraph" w:customStyle="1" w:styleId="Border">
    <w:name w:val="Border"/>
    <w:basedOn w:val="Normal"/>
    <w:qFormat/>
    <w:rsid w:val="008809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095A"/>
    <w:rPr>
      <w:b/>
      <w:bCs/>
      <w:i/>
      <w:iCs/>
      <w:color w:val="auto"/>
    </w:rPr>
  </w:style>
  <w:style w:type="paragraph" w:styleId="IntenseQuote">
    <w:name w:val="Intense Quote"/>
    <w:basedOn w:val="Normal"/>
    <w:next w:val="Normal"/>
    <w:link w:val="IntenseQuoteChar"/>
    <w:uiPriority w:val="30"/>
    <w:qFormat/>
    <w:rsid w:val="008809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09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095A"/>
    <w:rPr>
      <w:smallCaps/>
      <w:color w:val="auto"/>
      <w:u w:val="single"/>
    </w:rPr>
  </w:style>
  <w:style w:type="character" w:styleId="IntenseReference">
    <w:name w:val="Intense Reference"/>
    <w:basedOn w:val="DefaultParagraphFont"/>
    <w:uiPriority w:val="32"/>
    <w:qFormat/>
    <w:rsid w:val="0088095A"/>
    <w:rPr>
      <w:b/>
      <w:bCs/>
      <w:smallCaps/>
      <w:color w:val="auto"/>
      <w:spacing w:val="5"/>
      <w:u w:val="single"/>
    </w:rPr>
  </w:style>
  <w:style w:type="paragraph" w:customStyle="1" w:styleId="2ColumnHeading">
    <w:name w:val="2Column Heading"/>
    <w:basedOn w:val="BodyText"/>
    <w:qFormat/>
    <w:rsid w:val="0088095A"/>
    <w:pPr>
      <w:spacing w:after="60"/>
      <w:ind w:left="-2268"/>
    </w:pPr>
    <w:rPr>
      <w:b/>
    </w:rPr>
  </w:style>
  <w:style w:type="paragraph" w:customStyle="1" w:styleId="Heading1TOC">
    <w:name w:val="Heading1 TOC"/>
    <w:basedOn w:val="Normal"/>
    <w:qFormat/>
    <w:rsid w:val="0088095A"/>
    <w:pPr>
      <w:spacing w:before="240" w:after="120"/>
    </w:pPr>
    <w:rPr>
      <w:rFonts w:ascii="Times New Roman" w:hAnsi="Times New Roman"/>
      <w:b/>
      <w:sz w:val="32"/>
    </w:rPr>
  </w:style>
  <w:style w:type="paragraph" w:customStyle="1" w:styleId="Heading2TOC">
    <w:name w:val="Heading2 TOC"/>
    <w:basedOn w:val="Normal"/>
    <w:qFormat/>
    <w:rsid w:val="0088095A"/>
    <w:pPr>
      <w:spacing w:before="240" w:after="60"/>
    </w:pPr>
    <w:rPr>
      <w:rFonts w:ascii="Times New Roman" w:hAnsi="Times New Roman"/>
      <w:b/>
      <w:sz w:val="28"/>
    </w:rPr>
  </w:style>
  <w:style w:type="character" w:customStyle="1" w:styleId="Underline">
    <w:name w:val="Underline"/>
    <w:basedOn w:val="DefaultParagraphFont"/>
    <w:qFormat/>
    <w:rsid w:val="0088095A"/>
    <w:rPr>
      <w:u w:val="single"/>
    </w:rPr>
  </w:style>
  <w:style w:type="character" w:customStyle="1" w:styleId="BoldandItalics">
    <w:name w:val="Bold and Italics"/>
    <w:qFormat/>
    <w:rsid w:val="0088095A"/>
    <w:rPr>
      <w:b/>
      <w:i/>
      <w:u w:val="none"/>
    </w:rPr>
  </w:style>
  <w:style w:type="paragraph" w:styleId="BalloonText">
    <w:name w:val="Balloon Text"/>
    <w:basedOn w:val="Normal"/>
    <w:link w:val="BalloonTextChar"/>
    <w:rsid w:val="0088095A"/>
    <w:rPr>
      <w:rFonts w:ascii="Tahoma" w:hAnsi="Tahoma" w:cs="Tahoma"/>
      <w:sz w:val="16"/>
      <w:szCs w:val="16"/>
    </w:rPr>
  </w:style>
  <w:style w:type="character" w:customStyle="1" w:styleId="BalloonTextChar">
    <w:name w:val="Balloon Text Char"/>
    <w:basedOn w:val="DefaultParagraphFont"/>
    <w:link w:val="BalloonText"/>
    <w:rsid w:val="008809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095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809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095A"/>
    <w:rPr>
      <w:b/>
      <w:color w:val="660033"/>
      <w:spacing w:val="0"/>
    </w:rPr>
  </w:style>
  <w:style w:type="paragraph" w:customStyle="1" w:styleId="Nameditemlist">
    <w:name w:val="Named item list"/>
    <w:basedOn w:val="BodyText"/>
    <w:qFormat/>
    <w:rsid w:val="0088095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2247</Words>
  <Characters>13877</Characters>
  <Application>Microsoft Office Word</Application>
  <DocSecurity>0</DocSecurity>
  <Lines>481</Lines>
  <Paragraphs>210</Paragraphs>
  <ScaleCrop>false</ScaleCrop>
  <Company>Author-it Software Corporation Ltd.</Company>
  <LinksUpToDate>false</LinksUpToDate>
  <CharactersWithSpaces>15942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UEPOPS323B Operate and monitor reverse osmosis plant</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2012-07-25T16:36:00Z</dcterms:created>
  <dcterms:modified xsi:type="dcterms:W3CDTF">2012-07-25T16:36:00Z</dcterms:modified>
</cp:coreProperties>
</file>