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080" w:rsidP="001D6080">
      <w:pPr>
        <w:pStyle w:val="Title"/>
      </w:pPr>
      <w:bookmarkStart w:id="0" w:name="_GoBack"/>
      <w:bookmarkEnd w:id="0"/>
      <w:r>
        <w:fldChar w:fldCharType="begin"/>
      </w:r>
      <w:r>
        <w:instrText xml:space="preserve"> TITLE   \* MERGEFORMAT </w:instrText>
      </w:r>
      <w:r>
        <w:fldChar w:fldCharType="separate"/>
      </w:r>
      <w:r>
        <w:t>UEPOPS249B Liaise with stakeholders</w:t>
      </w:r>
      <w:r>
        <w:fldChar w:fldCharType="end"/>
      </w:r>
    </w:p>
    <w:p w:rsidR="001D6080" w:rsidP="001D6080">
      <w:pPr>
        <w:pStyle w:val="Version"/>
        <w:sectPr w:rsidSect="001F1E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E7C" w:rsidP="001F1E7C">
      <w:pPr>
        <w:pStyle w:val="SuperHeading"/>
      </w:pPr>
      <w:r w:rsidRPr="001F1E7C">
        <w:t>UEPOPS249B Liaise with stakeholders</w:t>
      </w:r>
    </w:p>
    <w:p w:rsidR="00000000" w:rsidRPr="001F1E7C" w:rsidP="001F1E7C">
      <w:pPr>
        <w:pStyle w:val="Heading1"/>
      </w:pPr>
      <w:bookmarkStart w:id="1" w:name="O_471213"/>
      <w:bookmarkEnd w:id="1"/>
      <w:r w:rsidRPr="001F1E7C">
        <w:t>Modification History</w:t>
      </w:r>
    </w:p>
    <w:p w:rsidR="00000000" w:rsidRPr="001F1E7C" w:rsidP="001F1E7C">
      <w:pPr>
        <w:pStyle w:val="BodyText"/>
      </w:pPr>
      <w:r w:rsidRPr="001F1E7C">
        <w:t>Not applicable.</w:t>
      </w:r>
    </w:p>
    <w:p w:rsidR="00000000" w:rsidRPr="001F1E7C" w:rsidP="001F1E7C">
      <w:pPr>
        <w:pStyle w:val="AllowPageBreak"/>
      </w:pPr>
    </w:p>
    <w:p w:rsidR="00000000" w:rsidRPr="001F1E7C" w:rsidP="001F1E7C">
      <w:pPr>
        <w:pStyle w:val="Heading1"/>
      </w:pPr>
      <w:bookmarkStart w:id="2" w:name="O_471211"/>
      <w:bookmarkEnd w:id="2"/>
      <w:r w:rsidRPr="001F1E7C">
        <w:t>Unit Descriptor</w:t>
      </w:r>
    </w:p>
    <w:tbl>
      <w:tblPr>
        <w:tblW w:w="0" w:type="auto"/>
        <w:tblLayout w:type="fixed"/>
        <w:tblCellMar>
          <w:left w:w="62" w:type="dxa"/>
          <w:right w:w="62" w:type="dxa"/>
        </w:tblCellMar>
        <w:tblLook w:val="0000"/>
      </w:tblPr>
      <w:tblGrid>
        <w:gridCol w:w="2700"/>
        <w:gridCol w:w="5760"/>
      </w:tblGrid>
      <w:tr w:rsidTr="001D60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1)</w:t>
            </w:r>
            <w:r w:rsidRPr="001F1E7C">
              <w:t xml:space="preserve"> </w:t>
            </w:r>
            <w:r w:rsidRPr="001F1E7C">
              <w:rPr>
                <w:rStyle w:val="SpecialBold"/>
              </w:rPr>
              <w:t>Scope:</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1E7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1.1) Descriptor</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This unit deals with the skills and knowledge required to communicate with staff and external/internal stakeholders.</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3" w:name="O_471200"/>
      <w:bookmarkEnd w:id="3"/>
      <w:r w:rsidRPr="001F1E7C">
        <w:t>Application of the Unit</w:t>
      </w:r>
    </w:p>
    <w:tbl>
      <w:tblPr>
        <w:tblW w:w="0" w:type="auto"/>
        <w:tblLayout w:type="fixed"/>
        <w:tblCellMar>
          <w:left w:w="62" w:type="dxa"/>
          <w:right w:w="62" w:type="dxa"/>
        </w:tblCellMar>
        <w:tblLook w:val="0000"/>
      </w:tblPr>
      <w:tblGrid>
        <w:gridCol w:w="2672"/>
        <w:gridCol w:w="5699"/>
      </w:tblGrid>
      <w:tr w:rsidTr="001D60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2)</w:t>
            </w:r>
          </w:p>
        </w:tc>
      </w:tr>
      <w:tr w:rsidTr="001D60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This unit is intended to augment formally acquired competencies. It is suitable for employment-based programs under an approved contract of training.</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4" w:name="O_471207"/>
      <w:bookmarkEnd w:id="4"/>
      <w:r w:rsidRPr="001F1E7C">
        <w:t>Licensing/Regulatory Information</w:t>
      </w:r>
    </w:p>
    <w:tbl>
      <w:tblPr>
        <w:tblW w:w="0" w:type="auto"/>
        <w:tblLayout w:type="fixed"/>
        <w:tblCellMar>
          <w:left w:w="62" w:type="dxa"/>
          <w:right w:w="62" w:type="dxa"/>
        </w:tblCellMar>
        <w:tblLook w:val="0000"/>
      </w:tblPr>
      <w:tblGrid>
        <w:gridCol w:w="2700"/>
        <w:gridCol w:w="5760"/>
      </w:tblGrid>
      <w:tr w:rsidTr="001D60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 xml:space="preserve">3) </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The skills and knowledge des</w:t>
            </w:r>
            <w:r w:rsidRPr="001F1E7C">
              <w:t>cribed in this unit do not require a licence to practise in the workplace. However, practice in this unit is subject to regulations directly related to Occupational Health and Safety and where applicable contracts of training such as apprenticeships and th</w:t>
            </w:r>
            <w:r w:rsidRPr="001F1E7C">
              <w:t>e like.</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5" w:name="O_471208"/>
      <w:bookmarkEnd w:id="5"/>
      <w:r w:rsidRPr="001F1E7C">
        <w:t>Pre-Requisites</w:t>
      </w:r>
    </w:p>
    <w:tbl>
      <w:tblPr>
        <w:tblW w:w="0" w:type="auto"/>
        <w:tblLayout w:type="fixed"/>
        <w:tblCellMar>
          <w:left w:w="62" w:type="dxa"/>
          <w:right w:w="62" w:type="dxa"/>
        </w:tblCellMar>
        <w:tblLook w:val="0000"/>
      </w:tblPr>
      <w:tblGrid>
        <w:gridCol w:w="2700"/>
        <w:gridCol w:w="5764"/>
      </w:tblGrid>
      <w:tr w:rsidTr="001D60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 xml:space="preserve">4) </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4.1)</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Granting of competency in this unit shall be made only after competency in the following unit(s) has/have been confirmed.</w:t>
            </w:r>
          </w:p>
          <w:p w:rsidR="00000000" w:rsidRPr="001F1E7C" w:rsidP="001F1E7C">
            <w:pPr>
              <w:pStyle w:val="BodyText"/>
            </w:pPr>
            <w:r w:rsidRPr="001F1E7C">
              <w:t>Where pre-requisite pathways have been identified. All competencies in the Common Unit Group must be have been completed.</w:t>
            </w:r>
          </w:p>
          <w:p w:rsidR="00000000" w:rsidRPr="001F1E7C" w:rsidP="001F1E7C">
            <w:pPr>
              <w:pStyle w:val="BodyText"/>
            </w:pPr>
            <w:r w:rsidRPr="001F1E7C">
              <w:t>There are no pre-requisite units.</w:t>
            </w:r>
          </w:p>
        </w:tc>
      </w:tr>
    </w:tbl>
    <w:p w:rsidR="00000000" w:rsidRPr="001F1E7C" w:rsidP="001F1E7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D608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 xml:space="preserve">4.2) </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Participants are best equipped to achieve this unit if they have reading, writing and numeracy skills indicated by the following levels. A description of what each level entails is provided in Section 2.3.1 Language, Literacy and Numeracy.</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Reading</w:t>
            </w:r>
          </w:p>
        </w:tc>
        <w:tc>
          <w:tcPr>
            <w:tcW w:w="81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w:t>
            </w:r>
          </w:p>
        </w:tc>
        <w:tc>
          <w:tcPr>
            <w:tcW w:w="99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Writing</w:t>
            </w: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w:t>
            </w:r>
          </w:p>
        </w:tc>
        <w:tc>
          <w:tcPr>
            <w:tcW w:w="12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Numeracy</w:t>
            </w:r>
          </w:p>
        </w:tc>
        <w:tc>
          <w:tcPr>
            <w:tcW w:w="72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2</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6" w:name="O_471204"/>
      <w:bookmarkEnd w:id="6"/>
      <w:r w:rsidRPr="001F1E7C">
        <w:t>Employability Skills Information</w:t>
      </w:r>
    </w:p>
    <w:tbl>
      <w:tblPr>
        <w:tblW w:w="0" w:type="auto"/>
        <w:tblLayout w:type="fixed"/>
        <w:tblCellMar>
          <w:left w:w="62" w:type="dxa"/>
          <w:right w:w="62" w:type="dxa"/>
        </w:tblCellMar>
        <w:tblLook w:val="0000"/>
      </w:tblPr>
      <w:tblGrid>
        <w:gridCol w:w="2700"/>
        <w:gridCol w:w="5760"/>
      </w:tblGrid>
      <w:tr w:rsidTr="001D60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 xml:space="preserve">5) </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 xml:space="preserve">The required outcomes described in this unit of competency contain applicable facets of Employability Skills. The Employability Skills Summary </w:t>
            </w:r>
            <w:r w:rsidRPr="001F1E7C">
              <w:t>of the qualification in which this unit of competency is packaged will assist in identifying Employability Skill requirements.</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7" w:name="O_471203"/>
      <w:bookmarkEnd w:id="7"/>
      <w:r w:rsidRPr="001F1E7C">
        <w:t>Elements and Performance Criteria Pre-Content</w:t>
      </w:r>
    </w:p>
    <w:tbl>
      <w:tblPr>
        <w:tblW w:w="0" w:type="auto"/>
        <w:tblLayout w:type="fixed"/>
        <w:tblCellMar>
          <w:left w:w="62" w:type="dxa"/>
          <w:right w:w="62" w:type="dxa"/>
        </w:tblCellMar>
        <w:tblLook w:val="0000"/>
      </w:tblPr>
      <w:tblGrid>
        <w:gridCol w:w="2700"/>
        <w:gridCol w:w="5760"/>
      </w:tblGrid>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6)</w:t>
            </w:r>
            <w:r w:rsidRPr="001F1E7C">
              <w:t xml:space="preserve"> Elements describe the essential outcomes of a competency stan</w:t>
            </w:r>
            <w:r w:rsidRPr="001F1E7C">
              <w:t>dard unit</w:t>
            </w:r>
          </w:p>
        </w:tc>
        <w:tc>
          <w:tcPr>
            <w:tcW w:w="57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Performance Criteria describe the required performance needed to demonstrate achievement of the element. Assessment of performance is to be consistent with the Evidence Guide.</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8" w:name="O_471202"/>
      <w:bookmarkEnd w:id="8"/>
      <w:r w:rsidRPr="001F1E7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D60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PERFORMANCE CRITERIA</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1</w:t>
            </w:r>
          </w:p>
        </w:tc>
        <w:tc>
          <w:tcPr>
            <w:tcW w:w="2296" w:type="dxa"/>
            <w:vMerge w:val="restart"/>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Prepare for communication</w:t>
            </w: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1.1</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Communication requirement is identified, from previous communication or current circumstances, and confirmed</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1.2</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The appropriate tone for communication is determined from analysis of previous commun</w:t>
            </w:r>
            <w:r w:rsidRPr="001F1E7C">
              <w:t>ication or current circumstances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1.3</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The appropriate medium for communication is determined from analysis of available options, previous communication or current circumstances and used in accordance with enterprise guidelines, manufacturer’</w:t>
            </w:r>
            <w:r w:rsidRPr="001F1E7C">
              <w:t>s and/or site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1.4</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Information is provided according to urgency and importance</w:t>
            </w:r>
          </w:p>
        </w:tc>
      </w:tr>
      <w:tr w:rsidTr="001D6080">
        <w:tblPrEx>
          <w:tblW w:w="0" w:type="auto"/>
          <w:tblLayout w:type="fixed"/>
          <w:tblCellMar>
            <w:left w:w="62" w:type="dxa"/>
            <w:right w:w="62" w:type="dxa"/>
          </w:tblCellMar>
          <w:tblLook w:val="0000"/>
        </w:tblPrEx>
        <w:trPr>
          <w:trHeight w:val="102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1.5</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 xml:space="preserve">Where appropriate, the teams and individuals roles and responsibilities within the team are identified and, where required, assist in the provision of the </w:t>
            </w:r>
            <w:r w:rsidRPr="001F1E7C">
              <w:t xml:space="preserve">on-the-job training </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w:t>
            </w:r>
          </w:p>
        </w:tc>
        <w:tc>
          <w:tcPr>
            <w:tcW w:w="2296" w:type="dxa"/>
            <w:vMerge w:val="restart"/>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Communicate in writing</w:t>
            </w: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2.1</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Written communication is structured to provide or request information in accordance with site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2.2</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Appropriate format is identified, from analysis of available options and current circumstances, in accordance with site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2.3</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Communication is presented logically, concisely and legibly to satisfy job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2.4</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Information dissemination is adhered to in accordance with enterprise policy</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2.5</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Where appropriate, the teams and individuals roles and responsibilities within the team are identified and, where required, assist in the provision of the on-the-job traini</w:t>
            </w:r>
            <w:r w:rsidRPr="001F1E7C">
              <w:t xml:space="preserve">ng </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3</w:t>
            </w:r>
          </w:p>
        </w:tc>
        <w:tc>
          <w:tcPr>
            <w:tcW w:w="2296" w:type="dxa"/>
            <w:vMerge w:val="restart"/>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Communicate orally</w:t>
            </w: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3.1</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Oral communication is structured to provide or request information in accordance with site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3.2</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Communication is conveyed logically, concisely and articulately in a manner appropriate to th</w:t>
            </w:r>
            <w:r w:rsidRPr="001F1E7C">
              <w:t>e situation to satisfy job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3.3</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Effectiveness of communication, including understanding of the intent and content, is confirmed between the parties in accordance with site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3.4</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Information dissemination is adhered to in accordance with enterprise policy</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4</w:t>
            </w:r>
          </w:p>
        </w:tc>
        <w:tc>
          <w:tcPr>
            <w:tcW w:w="2296"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Use communications systems</w:t>
            </w: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4.1</w:t>
            </w:r>
          </w:p>
        </w:tc>
        <w:tc>
          <w:tcPr>
            <w:tcW w:w="48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Communications system is used in accordance with enterprise guidelines, manufacturer’s and/or site requirements</w:t>
            </w:r>
          </w:p>
        </w:tc>
      </w:tr>
      <w:tr w:rsidTr="001D60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5</w:t>
            </w:r>
          </w:p>
        </w:tc>
        <w:tc>
          <w:tcPr>
            <w:tcW w:w="2296"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Complete documentation</w:t>
            </w:r>
          </w:p>
        </w:tc>
        <w:tc>
          <w:tcPr>
            <w:tcW w:w="90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t>5.1</w:t>
            </w:r>
          </w:p>
        </w:tc>
        <w:tc>
          <w:tcPr>
            <w:tcW w:w="48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Documentation is updated, maintained and equipment problems, movements, abnormalities and status are reported and logged in accordance with enterprise/site procedures</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9" w:name="O_471210"/>
      <w:bookmarkEnd w:id="9"/>
      <w:r w:rsidRPr="001F1E7C">
        <w:t>Required Skills and Knowledge</w:t>
      </w:r>
    </w:p>
    <w:tbl>
      <w:tblPr>
        <w:tblW w:w="0" w:type="auto"/>
        <w:tblLayout w:type="fixed"/>
        <w:tblCellMar>
          <w:left w:w="62" w:type="dxa"/>
          <w:right w:w="62" w:type="dxa"/>
        </w:tblCellMar>
        <w:tblLook w:val="0000"/>
      </w:tblPr>
      <w:tblGrid>
        <w:gridCol w:w="8460"/>
      </w:tblGrid>
      <w:tr w:rsidTr="001D60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REQUIRED SKILLS AND KNOWLEDGE</w:t>
            </w:r>
          </w:p>
        </w:tc>
      </w:tr>
      <w:tr w:rsidTr="001D608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8)</w:t>
            </w:r>
            <w:r w:rsidRPr="001F1E7C">
              <w:t xml:space="preserve"> This d</w:t>
            </w:r>
            <w:r w:rsidRPr="001F1E7C">
              <w:t>escribes the essential skills and knowledge and their level, required for this unit.</w:t>
            </w:r>
          </w:p>
          <w:p w:rsidR="00000000" w:rsidRPr="001F1E7C" w:rsidP="001F1E7C">
            <w:pPr>
              <w:pStyle w:val="BodyText"/>
            </w:pPr>
            <w:r w:rsidRPr="001F1E7C">
              <w:t>Evidence shall show that knowledge has been acquired of liaising with stakeholders.</w:t>
            </w:r>
          </w:p>
          <w:p w:rsidR="00000000" w:rsidRPr="001F1E7C" w:rsidP="001F1E7C">
            <w:pPr>
              <w:pStyle w:val="BodyText"/>
            </w:pPr>
            <w:r w:rsidRPr="001F1E7C">
              <w:t>All knowledge and skills detailed in this unit should be contextualised to current indu</w:t>
            </w:r>
            <w:r w:rsidRPr="001F1E7C">
              <w:t>stry practices and technologies.</w:t>
            </w:r>
          </w:p>
          <w:p w:rsidR="00000000" w:rsidRPr="001F1E7C" w:rsidP="001F1E7C">
            <w:pPr>
              <w:pStyle w:val="BodyText"/>
            </w:pPr>
            <w:r w:rsidRPr="001F1E7C">
              <w:t>The extent of the Essential Knowledge and Associated Skills required follows:</w:t>
            </w:r>
          </w:p>
          <w:p w:rsidR="00000000" w:rsidRPr="001F1E7C" w:rsidP="001F1E7C">
            <w:pPr>
              <w:pStyle w:val="BodyText"/>
            </w:pPr>
            <w:r w:rsidRPr="001F1E7C">
              <w:t>KS01-PO249B Liaise with stakeholders</w:t>
            </w:r>
          </w:p>
          <w:p w:rsidR="00000000" w:rsidRPr="001F1E7C" w:rsidP="001F1E7C">
            <w:pPr>
              <w:pStyle w:val="BodyText"/>
            </w:pPr>
            <w:r w:rsidRPr="001F1E7C">
              <w:t>Evidence shall show that knowledge has been acquired for safe working practices of:</w:t>
            </w:r>
          </w:p>
          <w:p w:rsidR="00000000" w:rsidRPr="001F1E7C" w:rsidP="001F1E7C">
            <w:pPr>
              <w:pStyle w:val="BodyText"/>
            </w:pPr>
            <w:r w:rsidRPr="001F1E7C">
              <w:t>T1 Relevant Environmental, Occupational Health and Safety legislation and  regulations</w:t>
            </w:r>
          </w:p>
          <w:p w:rsidR="00000000" w:rsidRPr="001F1E7C" w:rsidP="001F1E7C">
            <w:pPr>
              <w:pStyle w:val="BodyText"/>
            </w:pPr>
            <w:r w:rsidRPr="001F1E7C">
              <w:t>T2 Enterprise procedures</w:t>
            </w:r>
          </w:p>
          <w:p w:rsidR="00000000" w:rsidRPr="001F1E7C" w:rsidP="001F1E7C">
            <w:pPr>
              <w:pStyle w:val="BodyText"/>
            </w:pPr>
            <w:r w:rsidRPr="001F1E7C">
              <w:t>T3 Plant status</w:t>
            </w:r>
          </w:p>
          <w:p w:rsidR="00000000" w:rsidRPr="001F1E7C" w:rsidP="001F1E7C">
            <w:pPr>
              <w:pStyle w:val="BodyText"/>
            </w:pPr>
            <w:r w:rsidRPr="001F1E7C">
              <w:t>T4 Identifying stake holder requirements</w:t>
            </w:r>
          </w:p>
          <w:p w:rsidR="00000000" w:rsidRPr="001F1E7C" w:rsidP="001F1E7C">
            <w:pPr>
              <w:pStyle w:val="BodyText"/>
            </w:pPr>
            <w:r w:rsidRPr="001F1E7C">
              <w:t>T5 Two way radio capabilities, uses and procedures</w:t>
            </w:r>
          </w:p>
          <w:p w:rsidR="00000000" w:rsidRPr="001F1E7C" w:rsidP="001F1E7C">
            <w:pPr>
              <w:pStyle w:val="BodyText"/>
            </w:pPr>
            <w:r w:rsidRPr="001F1E7C">
              <w:t>T6 Electronic mediums procedures</w:t>
            </w:r>
          </w:p>
          <w:p w:rsidR="00000000" w:rsidRPr="001F1E7C" w:rsidP="001F1E7C">
            <w:pPr>
              <w:pStyle w:val="BodyText"/>
            </w:pPr>
            <w:r w:rsidRPr="001F1E7C">
              <w:t xml:space="preserve">T7 </w:t>
            </w:r>
            <w:r w:rsidRPr="001F1E7C">
              <w:t>Enterprise documentation system</w:t>
            </w:r>
          </w:p>
          <w:p w:rsidR="00000000" w:rsidRPr="001F1E7C" w:rsidP="001F1E7C">
            <w:pPr>
              <w:pStyle w:val="BodyText"/>
            </w:pPr>
            <w:r w:rsidRPr="001F1E7C">
              <w:t xml:space="preserve">KS02-PO249B Liaise with stakeholders  </w:t>
            </w:r>
          </w:p>
          <w:p w:rsidR="00000000" w:rsidRPr="001F1E7C" w:rsidP="001F1E7C">
            <w:pPr>
              <w:pStyle w:val="BodyText"/>
            </w:pPr>
            <w:r w:rsidRPr="001F1E7C">
              <w:t>Specific skills needed to achieve the Performance Criteria:</w:t>
            </w:r>
          </w:p>
          <w:p w:rsidR="00000000" w:rsidRPr="001F1E7C" w:rsidP="001F1E7C">
            <w:pPr>
              <w:pStyle w:val="BodyText"/>
            </w:pPr>
            <w:r w:rsidRPr="001F1E7C">
              <w:t>T1 Communicate effectively</w:t>
            </w:r>
          </w:p>
          <w:p w:rsidR="00000000" w:rsidRPr="001F1E7C" w:rsidP="001F1E7C">
            <w:pPr>
              <w:pStyle w:val="BodyText"/>
            </w:pPr>
            <w:r w:rsidRPr="001F1E7C">
              <w:t>T2 Use appropriate communication mediums</w:t>
            </w:r>
          </w:p>
          <w:p w:rsidR="00000000" w:rsidRPr="001F1E7C" w:rsidP="001F1E7C">
            <w:pPr>
              <w:pStyle w:val="BodyText"/>
            </w:pPr>
            <w:r w:rsidRPr="001F1E7C">
              <w:t>T3 Adapt the form of communication to anticipated context</w:t>
            </w:r>
            <w:r w:rsidRPr="001F1E7C">
              <w:t>s and audiences.</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10" w:name="O_471205"/>
      <w:bookmarkEnd w:id="10"/>
      <w:r w:rsidRPr="001F1E7C">
        <w:t>Evidence Guide</w:t>
      </w:r>
    </w:p>
    <w:tbl>
      <w:tblPr>
        <w:tblW w:w="0" w:type="auto"/>
        <w:tblLayout w:type="fixed"/>
        <w:tblCellMar>
          <w:left w:w="62" w:type="dxa"/>
          <w:right w:w="62" w:type="dxa"/>
        </w:tblCellMar>
        <w:tblLook w:val="0000"/>
      </w:tblPr>
      <w:tblGrid>
        <w:gridCol w:w="8460"/>
      </w:tblGrid>
      <w:tr w:rsidTr="001D60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EVIDENCE GUIDE</w:t>
            </w:r>
          </w:p>
        </w:tc>
      </w:tr>
      <w:tr w:rsidTr="001D60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9)</w:t>
            </w:r>
            <w:r w:rsidRPr="001F1E7C">
              <w:t xml:space="preserve"> This provides essential advice for assessment of the competency standard unit and must be read </w:t>
            </w:r>
            <w:r w:rsidRPr="001F1E7C">
              <w:t>in conjunction with the Performance Criteria and the Range Statement of the competency standard unit and the Training Package Assessment Guidelines.</w:t>
            </w:r>
          </w:p>
          <w:p w:rsidR="00000000" w:rsidRPr="001F1E7C" w:rsidP="001F1E7C">
            <w:pPr>
              <w:pStyle w:val="BodyText"/>
            </w:pPr>
            <w:r w:rsidRPr="001F1E7C">
              <w:t>The Evidence Guide forms an integral part of this competency standard unit and shall be used in conjunction</w:t>
            </w:r>
            <w:r w:rsidRPr="001F1E7C">
              <w:t xml:space="preserve"> with all components parts of this unit and, performed in accordance with the Assessment Guidelines of this Training Package.</w:t>
            </w:r>
          </w:p>
        </w:tc>
      </w:tr>
    </w:tbl>
    <w:p w:rsidR="00000000" w:rsidRPr="001F1E7C" w:rsidP="001F1E7C">
      <w:pPr>
        <w:pStyle w:val="BodyText"/>
      </w:pPr>
    </w:p>
    <w:tbl>
      <w:tblPr>
        <w:tblW w:w="0" w:type="auto"/>
        <w:tblLayout w:type="fixed"/>
        <w:tblCellMar>
          <w:left w:w="62" w:type="dxa"/>
          <w:right w:w="62" w:type="dxa"/>
        </w:tblCellMar>
        <w:tblLook w:val="0000"/>
      </w:tblPr>
      <w:tblGrid>
        <w:gridCol w:w="1890"/>
        <w:gridCol w:w="6570"/>
      </w:tblGrid>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9.1)</w:t>
            </w:r>
          </w:p>
        </w:tc>
      </w:tr>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Longitudinal competency development approaches to assessment, such as Profiling, require data to b</w:t>
            </w:r>
            <w:r w:rsidRPr="001F1E7C">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1F1E7C">
              <w:t>(or final) assessment is used it is to include the application of the competency in the normal work environment or, at a minimum, the application of the competency in a realistically simulated work environment. It is recognised that, in some circumstances,</w:t>
            </w:r>
            <w:r w:rsidRPr="001F1E7C">
              <w:t xml:space="preserve"> assessment in part or full can occur outside the workplace. However, it must be in accord with Industry and, Regulatory policy in this regard.</w:t>
            </w:r>
          </w:p>
          <w:p w:rsidR="00000000" w:rsidRPr="001F1E7C" w:rsidP="001F1E7C">
            <w:pPr>
              <w:pStyle w:val="BodyText"/>
            </w:pPr>
            <w:r w:rsidRPr="001F1E7C">
              <w:t>Methods chosen for a particular assessment will be influenced by various factors. These include the extent of th</w:t>
            </w:r>
            <w:r w:rsidRPr="001F1E7C">
              <w:t>e assessment, the most effective locations for the assessment activities to take place, access to physical resources, additional safety measures that may be required and the critical nature of the competencies being assessed.</w:t>
            </w:r>
          </w:p>
          <w:p w:rsidR="00000000" w:rsidRPr="001F1E7C" w:rsidP="001F1E7C">
            <w:pPr>
              <w:pStyle w:val="BodyText"/>
            </w:pPr>
            <w:r w:rsidRPr="001F1E7C">
              <w:t xml:space="preserve">The critical safety nature of </w:t>
            </w:r>
            <w:r w:rsidRPr="001F1E7C">
              <w:t>working with electricity, electrical equipment, gas or any other hazardous substance/material carries risk in deeming a person competent. Hence, sources of evidence need to be ‘rich’ in nature to minimise error in judgment.</w:t>
            </w:r>
          </w:p>
          <w:p w:rsidR="00000000" w:rsidRPr="001F1E7C" w:rsidP="001F1E7C">
            <w:pPr>
              <w:pStyle w:val="BodyText"/>
            </w:pPr>
            <w:r w:rsidRPr="001F1E7C">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F1E7C">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1F1E7C">
              <w:t>of this Training Package.</w:t>
            </w:r>
          </w:p>
        </w:tc>
      </w:tr>
    </w:tbl>
    <w:p w:rsidR="00000000" w:rsidRPr="001F1E7C" w:rsidP="001F1E7C">
      <w:pPr>
        <w:pStyle w:val="BodyText"/>
      </w:pPr>
    </w:p>
    <w:tbl>
      <w:tblPr>
        <w:tblW w:w="0" w:type="auto"/>
        <w:tblLayout w:type="fixed"/>
        <w:tblCellMar>
          <w:left w:w="62" w:type="dxa"/>
          <w:right w:w="62" w:type="dxa"/>
        </w:tblCellMar>
        <w:tblLook w:val="0000"/>
      </w:tblPr>
      <w:tblGrid>
        <w:gridCol w:w="1890"/>
        <w:gridCol w:w="6570"/>
      </w:tblGrid>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9.2)</w:t>
            </w:r>
          </w:p>
        </w:tc>
      </w:tr>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Before the critical aspects of evidence are considered all pre-requisites shall be met.</w:t>
            </w:r>
          </w:p>
          <w:p w:rsidR="00000000" w:rsidRPr="001F1E7C" w:rsidP="001F1E7C">
            <w:pPr>
              <w:pStyle w:val="BodyText"/>
            </w:pPr>
            <w:r w:rsidRPr="001F1E7C">
              <w:t>Evidence for competence in this unit shall be considered</w:t>
            </w:r>
            <w:r w:rsidRPr="001F1E7C">
              <w:t xml:space="preserve"> holistically.  Each Element and associated Performance Criteria shall be demonstrated on at least two occasions in accordance with the “Assessment Guidelines – UEP12”.  Evidence shall also comprise:</w:t>
            </w:r>
          </w:p>
          <w:p w:rsidR="00000000" w:rsidRPr="001F1E7C" w:rsidP="001F1E7C">
            <w:pPr>
              <w:pStyle w:val="ListBullet"/>
            </w:pPr>
            <w:r w:rsidRPr="001F1E7C">
              <w:t xml:space="preserve">A representative body of work performance demonstrated </w:t>
            </w:r>
            <w:r w:rsidRPr="001F1E7C">
              <w:t>within the timeframes typically expected of the discipline, work function and industrial environment. In particular this shall incorporate evidence that shows a candidate is able to:</w:t>
            </w:r>
          </w:p>
          <w:p w:rsidR="00000000" w:rsidRPr="001F1E7C" w:rsidP="001F1E7C">
            <w:pPr>
              <w:pStyle w:val="ListBullet2"/>
            </w:pPr>
            <w:r w:rsidRPr="001F1E7C">
              <w:t>Implement Occupational Health and Safety workplace procedures and practi</w:t>
            </w:r>
            <w:r w:rsidRPr="001F1E7C">
              <w:t>ces including the use of risk control measures as specified in the Performance Criteria and Range Statement</w:t>
            </w:r>
          </w:p>
          <w:p w:rsidR="00000000" w:rsidRPr="001F1E7C" w:rsidP="001F1E7C">
            <w:pPr>
              <w:pStyle w:val="ListBullet2"/>
            </w:pPr>
            <w:r w:rsidRPr="001F1E7C">
              <w:t>Apply sustainable energy principles and practices as specified in the Performance Criteria and Range Statement</w:t>
            </w:r>
          </w:p>
          <w:p w:rsidR="00000000" w:rsidRPr="001F1E7C" w:rsidP="001F1E7C">
            <w:pPr>
              <w:pStyle w:val="ListBullet2"/>
            </w:pPr>
            <w:r w:rsidRPr="001F1E7C">
              <w:t>Demonstrate an understanding of the Essential Knowledge and Associated Skills as described in 6) Essential Knowledge and Associated Skills of this unit</w:t>
            </w:r>
          </w:p>
          <w:p w:rsidR="00000000" w:rsidRPr="001F1E7C" w:rsidP="001F1E7C">
            <w:pPr>
              <w:pStyle w:val="ListBullet2"/>
            </w:pPr>
            <w:r w:rsidRPr="001F1E7C">
              <w:t>Demonstrate an appropriate level of employability skills</w:t>
            </w:r>
          </w:p>
          <w:p w:rsidR="00000000" w:rsidRPr="001F1E7C" w:rsidP="001F1E7C">
            <w:pPr>
              <w:pStyle w:val="ListBullet2"/>
            </w:pPr>
            <w:r w:rsidRPr="001F1E7C">
              <w:t>Conduct work observing the relevant Anti-Discri</w:t>
            </w:r>
            <w:r w:rsidRPr="001F1E7C">
              <w:t>mination legislation, regulations, polices and workplace procedures</w:t>
            </w:r>
          </w:p>
          <w:p w:rsidR="00000000" w:rsidRPr="001F1E7C" w:rsidP="001F1E7C">
            <w:pPr>
              <w:pStyle w:val="ListBullet"/>
            </w:pPr>
            <w:r w:rsidRPr="001F1E7C">
              <w:t>Demonstrated performance across a representative range of contexts from the prescribed items below:</w:t>
            </w:r>
          </w:p>
          <w:p w:rsidR="00000000" w:rsidRPr="001F1E7C" w:rsidP="001F1E7C">
            <w:pPr>
              <w:pStyle w:val="ListBullet2"/>
            </w:pPr>
            <w:r w:rsidRPr="001F1E7C">
              <w:t>Knowledge and application of relevant sections of: Occupational, health and safety leg</w:t>
            </w:r>
            <w:r w:rsidRPr="001F1E7C">
              <w:t>islation; Statutory legislation; Enterprise/site safety procedures; Enterprise/site emergency procedures</w:t>
            </w:r>
          </w:p>
          <w:p w:rsidR="00000000" w:rsidRPr="001F1E7C" w:rsidP="001F1E7C">
            <w:pPr>
              <w:pStyle w:val="ListBullet2"/>
            </w:pPr>
            <w:r w:rsidRPr="001F1E7C">
              <w:t>Communicating and identifying key stake holders</w:t>
            </w:r>
          </w:p>
          <w:p w:rsidR="00000000" w:rsidRPr="001F1E7C" w:rsidP="001F1E7C">
            <w:pPr>
              <w:pStyle w:val="ListBullet2"/>
            </w:pPr>
            <w:r w:rsidRPr="001F1E7C">
              <w:t>Communicating effectively in writing and/or orally</w:t>
            </w:r>
          </w:p>
          <w:p w:rsidR="00000000" w:rsidRPr="001F1E7C" w:rsidP="001F1E7C">
            <w:pPr>
              <w:pStyle w:val="ListBullet2"/>
            </w:pPr>
            <w:r w:rsidRPr="001F1E7C">
              <w:t>Using communication systems</w:t>
            </w:r>
          </w:p>
          <w:p w:rsidR="00000000" w:rsidRPr="001F1E7C" w:rsidP="001F1E7C">
            <w:pPr>
              <w:pStyle w:val="ListBullet2"/>
            </w:pPr>
            <w:r w:rsidRPr="001F1E7C">
              <w:t>Dealing with an unplanne</w:t>
            </w:r>
            <w:r w:rsidRPr="001F1E7C">
              <w:t>d event by drawing on Essential Knowledge and Skills to provide appropriate solutions incorporated in the holistic assessment with the above listed items</w:t>
            </w:r>
          </w:p>
        </w:tc>
      </w:tr>
    </w:tbl>
    <w:p w:rsidR="00000000" w:rsidRPr="001F1E7C" w:rsidP="001F1E7C">
      <w:pPr>
        <w:pStyle w:val="BodyText"/>
      </w:pPr>
    </w:p>
    <w:tbl>
      <w:tblPr>
        <w:tblW w:w="0" w:type="auto"/>
        <w:tblLayout w:type="fixed"/>
        <w:tblCellMar>
          <w:left w:w="62" w:type="dxa"/>
          <w:right w:w="62" w:type="dxa"/>
        </w:tblCellMar>
        <w:tblLook w:val="0000"/>
      </w:tblPr>
      <w:tblGrid>
        <w:gridCol w:w="1890"/>
        <w:gridCol w:w="6660"/>
      </w:tblGrid>
      <w:tr w:rsidTr="001D608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Context of and specific resources for assessment</w:t>
            </w:r>
          </w:p>
        </w:tc>
        <w:tc>
          <w:tcPr>
            <w:tcW w:w="66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9.3)</w:t>
            </w:r>
          </w:p>
        </w:tc>
      </w:tr>
      <w:tr w:rsidTr="001D608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This unit should be assessed as it relates to normal work practice using procedures, information and resources typical of a workplace. This should include:</w:t>
            </w:r>
          </w:p>
          <w:p w:rsidR="00000000" w:rsidRPr="001F1E7C" w:rsidP="001F1E7C">
            <w:pPr>
              <w:pStyle w:val="ListBullet"/>
            </w:pPr>
            <w:r w:rsidRPr="001F1E7C">
              <w:t>OHS policy and work procedures and instructions</w:t>
            </w:r>
          </w:p>
          <w:p w:rsidR="00000000" w:rsidRPr="001F1E7C" w:rsidP="001F1E7C">
            <w:pPr>
              <w:pStyle w:val="ListBullet"/>
            </w:pPr>
            <w:r w:rsidRPr="001F1E7C">
              <w:t>Suitable work environment, facilities, equipment an</w:t>
            </w:r>
            <w:r w:rsidRPr="001F1E7C">
              <w:t>d materials to undertake actual work as prescribed by this competency standard unit</w:t>
            </w:r>
          </w:p>
          <w:p w:rsidR="00000000" w:rsidRPr="001F1E7C" w:rsidP="001F1E7C">
            <w:pPr>
              <w:pStyle w:val="BodyText"/>
            </w:pPr>
            <w:r w:rsidRPr="001F1E7C">
              <w:t>Competency Standards should be assessed in the workplace or simulated workplace and under the normal range of workplace conditions.</w:t>
            </w:r>
          </w:p>
          <w:p w:rsidR="00000000" w:rsidRPr="001F1E7C" w:rsidP="001F1E7C">
            <w:pPr>
              <w:pStyle w:val="BodyText"/>
            </w:pPr>
            <w:r w:rsidRPr="001F1E7C">
              <w:t>Assessment of this unit will be supported with documentary evidence, by means of endorsement stating type and application of work.</w:t>
            </w:r>
          </w:p>
          <w:p w:rsidR="00000000" w:rsidRPr="001F1E7C" w:rsidP="001F1E7C">
            <w:pPr>
              <w:pStyle w:val="BodyText"/>
            </w:pPr>
            <w:r w:rsidRPr="001F1E7C">
              <w:t>In addition to the resources listed above in Context of assessment’, evidence should show competency working, in limited spac</w:t>
            </w:r>
            <w:r w:rsidRPr="001F1E7C">
              <w:t>es, with different types of plant and equipment as well as different structural/construction types and method and in a variety of environments.</w:t>
            </w:r>
          </w:p>
        </w:tc>
      </w:tr>
    </w:tbl>
    <w:p w:rsidR="00000000" w:rsidRPr="001F1E7C" w:rsidP="001F1E7C">
      <w:pPr>
        <w:pStyle w:val="BodyText"/>
      </w:pPr>
    </w:p>
    <w:tbl>
      <w:tblPr>
        <w:tblW w:w="0" w:type="auto"/>
        <w:tblLayout w:type="fixed"/>
        <w:tblCellMar>
          <w:left w:w="62" w:type="dxa"/>
          <w:right w:w="62" w:type="dxa"/>
        </w:tblCellMar>
        <w:tblLook w:val="0000"/>
      </w:tblPr>
      <w:tblGrid>
        <w:gridCol w:w="1890"/>
        <w:gridCol w:w="6570"/>
      </w:tblGrid>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9.4)</w:t>
            </w:r>
          </w:p>
        </w:tc>
      </w:tr>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This unit shall be assessed by methods given in Section 1.3.00 Assessment Guidelines.</w:t>
            </w:r>
          </w:p>
          <w:p w:rsidR="00000000" w:rsidRPr="001F1E7C" w:rsidP="001F1E7C">
            <w:pPr>
              <w:pStyle w:val="BodyText"/>
            </w:pPr>
            <w:r w:rsidRPr="001F1E7C">
              <w:t xml:space="preserve">Note: </w:t>
            </w:r>
          </w:p>
          <w:p w:rsidR="00000000" w:rsidRPr="001F1E7C" w:rsidP="001F1E7C">
            <w:pPr>
              <w:pStyle w:val="BodyText"/>
            </w:pPr>
            <w:r w:rsidRPr="001F1E7C">
              <w:t>Competent performance with inherent safe working practices is expected in the Industry to which this competency standard unit applies. This requires that the speci</w:t>
            </w:r>
            <w:r w:rsidRPr="001F1E7C">
              <w:t>fied Essential Knowledge and Associated Skills be assessed in a structured environment, which is primarily intended for learning/assessment and incorporates all necessary equipment and facilities for learners to develop and demonstrate the Essential Knowle</w:t>
            </w:r>
            <w:r w:rsidRPr="001F1E7C">
              <w:t>dge and Skills described in this unit.</w:t>
            </w:r>
          </w:p>
        </w:tc>
      </w:tr>
    </w:tbl>
    <w:p w:rsidR="00000000" w:rsidRPr="001F1E7C" w:rsidP="001F1E7C">
      <w:pPr>
        <w:pStyle w:val="BodyText"/>
      </w:pPr>
    </w:p>
    <w:tbl>
      <w:tblPr>
        <w:tblW w:w="0" w:type="auto"/>
        <w:tblLayout w:type="fixed"/>
        <w:tblCellMar>
          <w:left w:w="62" w:type="dxa"/>
          <w:right w:w="62" w:type="dxa"/>
        </w:tblCellMar>
        <w:tblLook w:val="0000"/>
      </w:tblPr>
      <w:tblGrid>
        <w:gridCol w:w="1890"/>
        <w:gridCol w:w="6570"/>
      </w:tblGrid>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9.5)</w:t>
            </w:r>
          </w:p>
        </w:tc>
      </w:tr>
      <w:tr w:rsidTr="001D60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There are no recommended concurrent assessments with this unit, however in some cases efficiencies may be gained in terms of learning and assessment eff</w:t>
            </w:r>
            <w:r w:rsidRPr="001F1E7C">
              <w:t>ort being concurrently managed with allied competency standard units where listed.</w:t>
            </w:r>
          </w:p>
          <w:p w:rsidR="00000000" w:rsidRPr="001F1E7C" w:rsidP="001F1E7C">
            <w:pPr>
              <w:pStyle w:val="BodyText"/>
            </w:pPr>
            <w:r w:rsidRPr="001F1E7C">
              <w:t>Nil</w:t>
            </w:r>
            <w:r w:rsidRPr="001F1E7C">
              <w:tab/>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11" w:name="O_471209"/>
      <w:bookmarkEnd w:id="11"/>
      <w:r w:rsidRPr="001F1E7C">
        <w:t>Range Statement</w:t>
      </w:r>
    </w:p>
    <w:tbl>
      <w:tblPr>
        <w:tblW w:w="0" w:type="auto"/>
        <w:tblLayout w:type="fixed"/>
        <w:tblCellMar>
          <w:left w:w="62" w:type="dxa"/>
          <w:right w:w="62" w:type="dxa"/>
        </w:tblCellMar>
        <w:tblLook w:val="0000"/>
      </w:tblPr>
      <w:tblGrid>
        <w:gridCol w:w="8460"/>
      </w:tblGrid>
      <w:tr w:rsidTr="001D60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RANGE STATEMENT</w:t>
            </w:r>
          </w:p>
        </w:tc>
      </w:tr>
      <w:tr w:rsidTr="001D60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10)</w:t>
            </w:r>
            <w:r w:rsidRPr="001F1E7C">
              <w:t xml:space="preserve"> This relates to the competency standard unit as a whole providing the range of contexts and </w:t>
            </w:r>
            <w:r w:rsidRPr="001F1E7C">
              <w:t>conditions to which the Performance Criteria apply. It allows for different work environments and situations that will affect performance.</w:t>
            </w:r>
          </w:p>
          <w:p w:rsidR="00000000" w:rsidRPr="001F1E7C" w:rsidP="001F1E7C">
            <w:pPr>
              <w:pStyle w:val="BodyText"/>
            </w:pPr>
            <w:r w:rsidRPr="001F1E7C">
              <w:t>Key stake holders may include controllers/coordinators, oncoming shift change, support staff, asset centres, patrolme</w:t>
            </w:r>
            <w:r w:rsidRPr="001F1E7C">
              <w:t>n, customers, clients, other enterprise departments, co-generation staff, other government bodies, line crews, security staff, contractors, field operators, supervisor/team leader or equivalent, power plant operations personnel or equivalent, technical and</w:t>
            </w:r>
            <w:r w:rsidRPr="001F1E7C">
              <w:t xml:space="preserve"> engineering officers or equivalent, maintenance staff, other operating staff or equivalent, system controller/network controller, field operator and restricted HV operators.</w:t>
            </w:r>
          </w:p>
          <w:p w:rsidR="00000000" w:rsidRPr="001F1E7C" w:rsidP="001F1E7C">
            <w:pPr>
              <w:pStyle w:val="BodyText"/>
            </w:pPr>
            <w:r w:rsidRPr="001F1E7C">
              <w:t>Information and documentation sources may include verbal or written communication</w:t>
            </w:r>
            <w:r w:rsidRPr="001F1E7C">
              <w:t xml:space="preserve">s; enterprise safety rules documentation; enterprise operating instructions; dedicated computer equipment; enterprise/site standing and operating instructions; enterprise log books; manufacturer’s operation and maintenance manuals; and equipment and alarm </w:t>
            </w:r>
            <w:r w:rsidRPr="001F1E7C">
              <w:t>manuals.</w:t>
            </w:r>
          </w:p>
          <w:p w:rsidR="00000000" w:rsidRPr="001F1E7C" w:rsidP="001F1E7C">
            <w:pPr>
              <w:pStyle w:val="BodyText"/>
            </w:pPr>
            <w:r w:rsidRPr="001F1E7C">
              <w:t>Medium for communications may include facsimile, pager, telephone, radio, memo, letter, report form, log book, switchboard, e-mail, intercom, CB, posters, personal contact, signals and body language.</w:t>
            </w:r>
          </w:p>
          <w:p w:rsidR="00000000" w:rsidRPr="001F1E7C" w:rsidP="001F1E7C">
            <w:pPr>
              <w:pStyle w:val="BodyText"/>
            </w:pPr>
            <w:r w:rsidRPr="001F1E7C">
              <w:t>Policies may include operating procedures, land</w:t>
            </w:r>
            <w:r w:rsidRPr="001F1E7C">
              <w:t xml:space="preserve"> rights, operating conditions, codes of practice, availability roster, fuel supply policy, information security and asset security contractor arrangements.</w:t>
            </w:r>
          </w:p>
          <w:p w:rsidR="00000000" w:rsidRPr="001F1E7C" w:rsidP="001F1E7C">
            <w:pPr>
              <w:pStyle w:val="BodyText"/>
            </w:pPr>
            <w:r w:rsidRPr="001F1E7C">
              <w:t>Generic terms are used throughout this Training Package for vocational standard shall be regarded as</w:t>
            </w:r>
            <w:r w:rsidRPr="001F1E7C">
              <w:t xml:space="preserve"> part of the Range Statement in which competency is demonstrated. The definition of these and other terms are given in Section 2.1 Preliminary Information and Glossaries.</w:t>
            </w:r>
          </w:p>
        </w:tc>
      </w:tr>
    </w:tbl>
    <w:p w:rsidR="00000000" w:rsidRPr="001F1E7C" w:rsidP="001F1E7C">
      <w:pPr>
        <w:pStyle w:val="BodyText"/>
      </w:pPr>
    </w:p>
    <w:p w:rsidR="00000000" w:rsidRPr="001F1E7C" w:rsidP="001F1E7C">
      <w:pPr>
        <w:pStyle w:val="AllowPageBreak"/>
      </w:pPr>
    </w:p>
    <w:p w:rsidR="00000000" w:rsidRPr="001F1E7C" w:rsidP="001F1E7C">
      <w:pPr>
        <w:pStyle w:val="Heading1"/>
      </w:pPr>
      <w:bookmarkStart w:id="12" w:name="O_471212"/>
      <w:bookmarkEnd w:id="12"/>
      <w:r w:rsidRPr="001F1E7C">
        <w:t>Unit Sector(s)</w:t>
      </w:r>
    </w:p>
    <w:p w:rsidR="00000000" w:rsidRPr="001F1E7C" w:rsidP="001F1E7C">
      <w:pPr>
        <w:pStyle w:val="BodyText"/>
      </w:pPr>
      <w:r w:rsidRPr="001F1E7C">
        <w:t>Not applicable.</w:t>
      </w:r>
    </w:p>
    <w:p w:rsidR="00000000" w:rsidRPr="001F1E7C" w:rsidP="001F1E7C">
      <w:pPr>
        <w:pStyle w:val="AllowPageBreak"/>
      </w:pPr>
    </w:p>
    <w:p w:rsidR="00000000" w:rsidRPr="001F1E7C" w:rsidP="001F1E7C">
      <w:pPr>
        <w:pStyle w:val="Heading1"/>
      </w:pPr>
      <w:bookmarkStart w:id="13" w:name="O_471201"/>
      <w:bookmarkEnd w:id="13"/>
      <w:r w:rsidRPr="001F1E7C">
        <w:t>Competency Field</w:t>
      </w:r>
    </w:p>
    <w:tbl>
      <w:tblPr>
        <w:tblW w:w="0" w:type="auto"/>
        <w:tblLayout w:type="fixed"/>
        <w:tblCellMar>
          <w:left w:w="62" w:type="dxa"/>
          <w:right w:w="62" w:type="dxa"/>
        </w:tblCellMar>
        <w:tblLook w:val="0000"/>
      </w:tblPr>
      <w:tblGrid>
        <w:gridCol w:w="2700"/>
        <w:gridCol w:w="5760"/>
      </w:tblGrid>
      <w:tr w:rsidTr="001D60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1E7C">
            <w:pPr>
              <w:pStyle w:val="BodyText"/>
              <w:rPr>
                <w:lang w:val="en-NZ"/>
              </w:rPr>
            </w:pPr>
            <w:r w:rsidRPr="001F1E7C">
              <w:rPr>
                <w:rStyle w:val="SpecialBold"/>
              </w:rPr>
              <w:t xml:space="preserve">11) </w:t>
            </w:r>
          </w:p>
        </w:tc>
      </w:tr>
      <w:tr w:rsidTr="001D60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1E7C" w:rsidP="001F1E7C">
            <w:pPr>
              <w:pStyle w:val="BodyText"/>
            </w:pPr>
            <w:r w:rsidRPr="001F1E7C">
              <w:t>Operations</w:t>
            </w:r>
          </w:p>
        </w:tc>
      </w:tr>
    </w:tbl>
    <w:p w:rsidR="00000000" w:rsidRPr="001F1E7C" w:rsidP="001F1E7C">
      <w:pPr>
        <w:pStyle w:val="BodyText"/>
      </w:pPr>
    </w:p>
    <w:p w:rsidR="00000000" w:rsidRPr="001F1E7C" w:rsidP="001F1E7C"/>
    <w:sectPr w:rsidSect="001F1E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080" w:rsidP="001D60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80" w:rsidP="001F1E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6080" w:rsidP="001F1E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D6080" w:rsidP="001F1E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7C" w:rsidRPr="001D6080" w:rsidP="001D60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80" w:rsidRPr="002D2AF8" w:rsidP="001F1E7C">
    <w:pPr>
      <w:pStyle w:val="Header"/>
      <w:framePr w:wrap="around"/>
    </w:pPr>
    <w:r>
      <w:fldChar w:fldCharType="begin"/>
    </w:r>
    <w:r>
      <w:instrText xml:space="preserve"> TITLE   \* MERGEFORMAT </w:instrText>
    </w:r>
    <w:r>
      <w:fldChar w:fldCharType="separate"/>
    </w:r>
    <w:r>
      <w:t>UEPOPS249B Liaise with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D6080" w:rsidP="001F1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84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6B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646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E7C"/>
    <w:pPr>
      <w:spacing w:before="360" w:after="60"/>
      <w:outlineLvl w:val="0"/>
    </w:pPr>
    <w:rPr>
      <w:sz w:val="32"/>
    </w:rPr>
  </w:style>
  <w:style w:type="paragraph" w:styleId="Heading2">
    <w:name w:val="heading 2"/>
    <w:basedOn w:val="HeadingBase"/>
    <w:next w:val="BodyText"/>
    <w:link w:val="Heading2Char"/>
    <w:qFormat/>
    <w:rsid w:val="001F1E7C"/>
    <w:pPr>
      <w:keepLines/>
      <w:spacing w:before="240" w:after="120"/>
      <w:outlineLvl w:val="1"/>
    </w:pPr>
    <w:rPr>
      <w:sz w:val="28"/>
      <w:szCs w:val="40"/>
    </w:rPr>
  </w:style>
  <w:style w:type="paragraph" w:styleId="Heading3">
    <w:name w:val="heading 3"/>
    <w:basedOn w:val="HeadingBase"/>
    <w:next w:val="BodyText"/>
    <w:link w:val="Heading3Char"/>
    <w:qFormat/>
    <w:rsid w:val="001F1E7C"/>
    <w:pPr>
      <w:spacing w:before="180" w:after="120"/>
      <w:outlineLvl w:val="2"/>
    </w:pPr>
    <w:rPr>
      <w:spacing w:val="-10"/>
      <w:kern w:val="32"/>
    </w:rPr>
  </w:style>
  <w:style w:type="paragraph" w:styleId="Heading4">
    <w:name w:val="heading 4"/>
    <w:basedOn w:val="HeadingBase"/>
    <w:next w:val="BodyText"/>
    <w:link w:val="Heading4Char"/>
    <w:qFormat/>
    <w:rsid w:val="001F1E7C"/>
    <w:pPr>
      <w:spacing w:before="160" w:after="120"/>
      <w:outlineLvl w:val="3"/>
    </w:pPr>
    <w:rPr>
      <w:sz w:val="22"/>
    </w:rPr>
  </w:style>
  <w:style w:type="paragraph" w:styleId="Heading5">
    <w:name w:val="heading 5"/>
    <w:basedOn w:val="HeadingBase"/>
    <w:next w:val="Normal"/>
    <w:link w:val="Heading5Char"/>
    <w:qFormat/>
    <w:rsid w:val="001F1E7C"/>
    <w:pPr>
      <w:spacing w:before="80"/>
      <w:outlineLvl w:val="4"/>
    </w:pPr>
    <w:rPr>
      <w:color w:val="918585"/>
      <w:sz w:val="20"/>
    </w:rPr>
  </w:style>
  <w:style w:type="paragraph" w:styleId="Heading6">
    <w:name w:val="heading 6"/>
    <w:basedOn w:val="HeadingBase"/>
    <w:next w:val="Normal"/>
    <w:link w:val="Heading6Char"/>
    <w:qFormat/>
    <w:rsid w:val="001F1E7C"/>
    <w:pPr>
      <w:spacing w:before="60"/>
      <w:outlineLvl w:val="5"/>
    </w:pPr>
    <w:rPr>
      <w:color w:val="918585"/>
      <w:sz w:val="20"/>
    </w:rPr>
  </w:style>
  <w:style w:type="paragraph" w:styleId="Heading7">
    <w:name w:val="heading 7"/>
    <w:basedOn w:val="Normal"/>
    <w:next w:val="Normal"/>
    <w:link w:val="Heading7Char"/>
    <w:qFormat/>
    <w:rsid w:val="001F1E7C"/>
    <w:pPr>
      <w:ind w:left="720"/>
      <w:outlineLvl w:val="6"/>
    </w:pPr>
    <w:rPr>
      <w:i/>
    </w:rPr>
  </w:style>
  <w:style w:type="paragraph" w:styleId="Heading8">
    <w:name w:val="heading 8"/>
    <w:basedOn w:val="Normal"/>
    <w:next w:val="Normal"/>
    <w:link w:val="Heading8Char"/>
    <w:qFormat/>
    <w:rsid w:val="001F1E7C"/>
    <w:pPr>
      <w:ind w:left="720"/>
      <w:outlineLvl w:val="7"/>
    </w:pPr>
    <w:rPr>
      <w:i/>
    </w:rPr>
  </w:style>
  <w:style w:type="paragraph" w:styleId="Heading9">
    <w:name w:val="heading 9"/>
    <w:basedOn w:val="Normal"/>
    <w:next w:val="Normal"/>
    <w:link w:val="Heading9Char"/>
    <w:qFormat/>
    <w:rsid w:val="001F1E7C"/>
    <w:pPr>
      <w:ind w:left="720"/>
      <w:outlineLvl w:val="8"/>
    </w:pPr>
    <w:rPr>
      <w:i/>
    </w:rPr>
  </w:style>
  <w:style w:type="character" w:default="1" w:styleId="DefaultParagraphFont">
    <w:name w:val="Default Paragraph Font"/>
    <w:uiPriority w:val="1"/>
    <w:unhideWhenUsed/>
    <w:rsid w:val="001F1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E7C"/>
  </w:style>
  <w:style w:type="character" w:customStyle="1" w:styleId="Heading1Char">
    <w:name w:val="Heading 1 Char"/>
    <w:basedOn w:val="DefaultParagraphFont"/>
    <w:link w:val="Heading1"/>
    <w:rsid w:val="001F1E7C"/>
    <w:rPr>
      <w:rFonts w:ascii="Times New Roman" w:eastAsia="Times New Roman" w:hAnsi="Times New Roman" w:cs="Times New Roman"/>
      <w:b/>
      <w:sz w:val="32"/>
      <w:szCs w:val="20"/>
      <w:lang w:eastAsia="en-US"/>
    </w:rPr>
  </w:style>
  <w:style w:type="paragraph" w:styleId="BodyText">
    <w:name w:val="Body Text"/>
    <w:basedOn w:val="Normal"/>
    <w:link w:val="BodyTextChar"/>
    <w:rsid w:val="001F1E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E7C"/>
    <w:rPr>
      <w:rFonts w:ascii="Times New Roman" w:eastAsia="Times New Roman" w:hAnsi="Times New Roman" w:cs="Times New Roman"/>
      <w:sz w:val="24"/>
      <w:lang w:eastAsia="en-US"/>
    </w:rPr>
  </w:style>
  <w:style w:type="paragraph" w:styleId="Footer">
    <w:name w:val="footer"/>
    <w:basedOn w:val="Normal"/>
    <w:link w:val="FooterChar"/>
    <w:rsid w:val="001F1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E7C"/>
    <w:rPr>
      <w:rFonts w:ascii="Times New Roman" w:eastAsia="Times New Roman" w:hAnsi="Times New Roman" w:cs="Times New Roman"/>
      <w:sz w:val="16"/>
      <w:lang w:eastAsia="en-US"/>
    </w:rPr>
  </w:style>
  <w:style w:type="paragraph" w:styleId="ListBullet">
    <w:name w:val="List Bullet"/>
    <w:basedOn w:val="List"/>
    <w:rsid w:val="001F1E7C"/>
    <w:pPr>
      <w:numPr>
        <w:numId w:val="13"/>
      </w:numPr>
      <w:tabs>
        <w:tab w:val="clear" w:pos="340"/>
      </w:tabs>
      <w:spacing w:before="40" w:after="40"/>
    </w:pPr>
  </w:style>
  <w:style w:type="character" w:customStyle="1" w:styleId="SpecialBold">
    <w:name w:val="Special Bold"/>
    <w:basedOn w:val="DefaultParagraphFont"/>
    <w:rsid w:val="001F1E7C"/>
    <w:rPr>
      <w:b/>
      <w:spacing w:val="0"/>
    </w:rPr>
  </w:style>
  <w:style w:type="paragraph" w:styleId="ListBullet2">
    <w:name w:val="List Bullet 2"/>
    <w:basedOn w:val="List2"/>
    <w:rsid w:val="001F1E7C"/>
    <w:pPr>
      <w:numPr>
        <w:numId w:val="14"/>
      </w:numPr>
      <w:tabs>
        <w:tab w:val="clear" w:pos="680"/>
      </w:tabs>
    </w:pPr>
  </w:style>
  <w:style w:type="paragraph" w:customStyle="1" w:styleId="SuperHeading">
    <w:name w:val="SuperHeading"/>
    <w:basedOn w:val="Normal"/>
    <w:rsid w:val="001F1E7C"/>
    <w:pPr>
      <w:spacing w:before="240" w:after="120"/>
      <w:outlineLvl w:val="0"/>
    </w:pPr>
    <w:rPr>
      <w:rFonts w:ascii="Times New Roman" w:hAnsi="Times New Roman"/>
      <w:b/>
      <w:sz w:val="28"/>
    </w:rPr>
  </w:style>
  <w:style w:type="paragraph" w:customStyle="1" w:styleId="AllowPageBreak">
    <w:name w:val="AllowPageBreak"/>
    <w:rsid w:val="001F1E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E7C"/>
    <w:rPr>
      <w:rFonts w:ascii="Courier New" w:eastAsia="Times New Roman" w:hAnsi="Courier New" w:cs="Times New Roman"/>
      <w:i/>
      <w:szCs w:val="20"/>
      <w:lang w:eastAsia="en-US"/>
    </w:rPr>
  </w:style>
  <w:style w:type="paragraph" w:customStyle="1" w:styleId="HeadingBase">
    <w:name w:val="Heading Base"/>
    <w:rsid w:val="001F1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E7C"/>
    <w:pPr>
      <w:tabs>
        <w:tab w:val="right" w:leader="dot" w:pos="9072"/>
      </w:tabs>
      <w:ind w:left="567"/>
    </w:pPr>
    <w:rPr>
      <w:szCs w:val="22"/>
    </w:rPr>
  </w:style>
  <w:style w:type="paragraph" w:customStyle="1" w:styleId="TOCBase">
    <w:name w:val="TOC Base"/>
    <w:rsid w:val="001F1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E7C"/>
    <w:pPr>
      <w:tabs>
        <w:tab w:val="right" w:leader="dot" w:pos="9072"/>
      </w:tabs>
      <w:spacing w:before="40" w:after="40"/>
      <w:ind w:left="284"/>
    </w:pPr>
    <w:rPr>
      <w:rFonts w:ascii="Times New Roman" w:hAnsi="Times New Roman"/>
    </w:rPr>
  </w:style>
  <w:style w:type="paragraph" w:styleId="TOC1">
    <w:name w:val="toc 1"/>
    <w:basedOn w:val="TOCBase"/>
    <w:next w:val="Normal"/>
    <w:rsid w:val="001F1E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1E7C"/>
    <w:pPr>
      <w:spacing w:before="5040"/>
      <w:jc w:val="center"/>
    </w:pPr>
    <w:rPr>
      <w:sz w:val="48"/>
      <w:szCs w:val="72"/>
      <w:lang w:val="en-US"/>
    </w:rPr>
  </w:style>
  <w:style w:type="character" w:customStyle="1" w:styleId="TitleChar">
    <w:name w:val="Title Char"/>
    <w:basedOn w:val="DefaultParagraphFont"/>
    <w:link w:val="Title"/>
    <w:rsid w:val="001F1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E7C"/>
    <w:pPr>
      <w:tabs>
        <w:tab w:val="left" w:pos="3600"/>
        <w:tab w:val="left" w:pos="3958"/>
      </w:tabs>
    </w:pPr>
  </w:style>
  <w:style w:type="paragraph" w:styleId="List">
    <w:name w:val="List"/>
    <w:basedOn w:val="BodyText"/>
    <w:next w:val="BodyText"/>
    <w:rsid w:val="001F1E7C"/>
    <w:pPr>
      <w:tabs>
        <w:tab w:val="left" w:pos="340"/>
      </w:tabs>
      <w:spacing w:before="60" w:after="60"/>
      <w:ind w:left="340" w:hanging="340"/>
    </w:pPr>
  </w:style>
  <w:style w:type="paragraph" w:customStyle="1" w:styleId="Note">
    <w:name w:val="Note"/>
    <w:basedOn w:val="BodyText"/>
    <w:rsid w:val="001F1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E7C"/>
    <w:pPr>
      <w:framePr w:wrap="auto" w:hAnchor="text" w:y="6049"/>
    </w:pPr>
    <w:rPr>
      <w:color w:val="000000"/>
      <w:sz w:val="40"/>
    </w:rPr>
  </w:style>
  <w:style w:type="paragraph" w:customStyle="1" w:styleId="TOCTitle">
    <w:name w:val="TOCTitle"/>
    <w:basedOn w:val="Heading1"/>
    <w:rsid w:val="001F1E7C"/>
    <w:pPr>
      <w:spacing w:after="240"/>
      <w:jc w:val="center"/>
      <w:outlineLvl w:val="9"/>
    </w:pPr>
    <w:rPr>
      <w:caps/>
    </w:rPr>
  </w:style>
  <w:style w:type="paragraph" w:customStyle="1" w:styleId="Version">
    <w:name w:val="Version"/>
    <w:rsid w:val="001F1E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E7C"/>
    <w:pPr>
      <w:keepNext w:val="0"/>
      <w:tabs>
        <w:tab w:val="right" w:pos="4176"/>
      </w:tabs>
      <w:ind w:left="198" w:hanging="198"/>
    </w:pPr>
    <w:rPr>
      <w:rFonts w:ascii="Garamond" w:hAnsi="Garamond"/>
    </w:rPr>
  </w:style>
  <w:style w:type="paragraph" w:styleId="IndexHeading">
    <w:name w:val="index heading"/>
    <w:basedOn w:val="Normal"/>
    <w:next w:val="Index1"/>
    <w:semiHidden/>
    <w:rsid w:val="001F1E7C"/>
    <w:pPr>
      <w:spacing w:before="120" w:after="120"/>
    </w:pPr>
    <w:rPr>
      <w:rFonts w:ascii="Arial" w:hAnsi="Arial"/>
      <w:b/>
      <w:color w:val="918585"/>
      <w:sz w:val="24"/>
    </w:rPr>
  </w:style>
  <w:style w:type="paragraph" w:styleId="Header">
    <w:name w:val="header"/>
    <w:basedOn w:val="Normal"/>
    <w:link w:val="HeaderChar"/>
    <w:rsid w:val="001F1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E7C"/>
    <w:rPr>
      <w:rFonts w:ascii="Times New Roman" w:eastAsia="Times New Roman" w:hAnsi="Times New Roman" w:cs="Times New Roman"/>
      <w:sz w:val="16"/>
      <w:szCs w:val="20"/>
      <w:lang w:val="en-GB" w:eastAsia="en-US"/>
    </w:rPr>
  </w:style>
  <w:style w:type="paragraph" w:customStyle="1" w:styleId="Chapter">
    <w:name w:val="Chapter"/>
    <w:basedOn w:val="Normal"/>
    <w:rsid w:val="001F1E7C"/>
    <w:pPr>
      <w:spacing w:before="240"/>
    </w:pPr>
    <w:rPr>
      <w:rFonts w:ascii="Times New Roman" w:hAnsi="Times New Roman"/>
      <w:smallCaps/>
      <w:spacing w:val="80"/>
      <w:sz w:val="28"/>
    </w:rPr>
  </w:style>
  <w:style w:type="paragraph" w:customStyle="1" w:styleId="InChapter">
    <w:name w:val="InChapter"/>
    <w:basedOn w:val="Heading3"/>
    <w:rsid w:val="001F1E7C"/>
    <w:pPr>
      <w:spacing w:after="240"/>
      <w:outlineLvl w:val="9"/>
    </w:pPr>
    <w:rPr>
      <w:noProof/>
    </w:rPr>
  </w:style>
  <w:style w:type="paragraph" w:styleId="Index2">
    <w:name w:val="index 2"/>
    <w:basedOn w:val="Normal"/>
    <w:next w:val="Normal"/>
    <w:semiHidden/>
    <w:rsid w:val="001F1E7C"/>
    <w:pPr>
      <w:tabs>
        <w:tab w:val="right" w:pos="4176"/>
      </w:tabs>
      <w:ind w:left="568" w:hanging="284"/>
    </w:pPr>
    <w:rPr>
      <w:rFonts w:ascii="Garamond" w:hAnsi="Garamond"/>
    </w:rPr>
  </w:style>
  <w:style w:type="paragraph" w:customStyle="1" w:styleId="Byline">
    <w:name w:val="Byline"/>
    <w:rsid w:val="001F1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E7C"/>
    <w:pPr>
      <w:tabs>
        <w:tab w:val="clear" w:pos="3600"/>
        <w:tab w:val="clear" w:pos="3958"/>
      </w:tabs>
      <w:jc w:val="right"/>
    </w:pPr>
  </w:style>
  <w:style w:type="character" w:styleId="Emphasis">
    <w:name w:val="Emphasis"/>
    <w:basedOn w:val="DefaultParagraphFont"/>
    <w:qFormat/>
    <w:rsid w:val="001F1E7C"/>
    <w:rPr>
      <w:i/>
    </w:rPr>
  </w:style>
  <w:style w:type="paragraph" w:styleId="Caption">
    <w:name w:val="caption"/>
    <w:basedOn w:val="BodyText"/>
    <w:next w:val="Normal"/>
    <w:qFormat/>
    <w:rsid w:val="001F1E7C"/>
    <w:pPr>
      <w:framePr w:w="2268" w:hSpace="181" w:vSpace="181" w:wrap="around" w:vAnchor="text" w:hAnchor="page" w:x="1135" w:y="285" w:anchorLock="1"/>
    </w:pPr>
    <w:rPr>
      <w:i/>
    </w:rPr>
  </w:style>
  <w:style w:type="paragraph" w:customStyle="1" w:styleId="MiniTOCTitle">
    <w:name w:val="MiniTOCTitle"/>
    <w:basedOn w:val="Heading4"/>
    <w:rsid w:val="001F1E7C"/>
    <w:pPr>
      <w:spacing w:before="240"/>
      <w:outlineLvl w:val="9"/>
    </w:pPr>
    <w:rPr>
      <w:noProof/>
      <w:sz w:val="24"/>
    </w:rPr>
  </w:style>
  <w:style w:type="paragraph" w:customStyle="1" w:styleId="MiniTOCItem">
    <w:name w:val="MiniTOCItem"/>
    <w:basedOn w:val="ListBullet"/>
    <w:rsid w:val="001F1E7C"/>
    <w:pPr>
      <w:numPr>
        <w:numId w:val="0"/>
      </w:numPr>
      <w:tabs>
        <w:tab w:val="right" w:leader="dot" w:pos="6521"/>
      </w:tabs>
      <w:spacing w:before="0" w:after="0"/>
    </w:pPr>
  </w:style>
  <w:style w:type="paragraph" w:customStyle="1" w:styleId="TOFTitle">
    <w:name w:val="TOFTitle"/>
    <w:basedOn w:val="TOCTitle"/>
    <w:rsid w:val="001F1E7C"/>
  </w:style>
  <w:style w:type="paragraph" w:styleId="TableofFigures">
    <w:name w:val="table of figures"/>
    <w:basedOn w:val="Normal"/>
    <w:next w:val="Normal"/>
    <w:semiHidden/>
    <w:rsid w:val="001F1E7C"/>
    <w:pPr>
      <w:tabs>
        <w:tab w:val="right" w:leader="dot" w:pos="9072"/>
      </w:tabs>
      <w:ind w:left="970" w:hanging="403"/>
    </w:pPr>
    <w:rPr>
      <w:rFonts w:ascii="Times New Roman" w:hAnsi="Times New Roman"/>
      <w:b/>
    </w:rPr>
  </w:style>
  <w:style w:type="paragraph" w:styleId="ListNumber">
    <w:name w:val="List Number"/>
    <w:basedOn w:val="List"/>
    <w:rsid w:val="001F1E7C"/>
    <w:pPr>
      <w:numPr>
        <w:numId w:val="11"/>
      </w:numPr>
    </w:pPr>
  </w:style>
  <w:style w:type="character" w:customStyle="1" w:styleId="WingdingSymbols">
    <w:name w:val="Wingding Symbols"/>
    <w:rsid w:val="001F1E7C"/>
    <w:rPr>
      <w:rFonts w:ascii="Wingdings" w:hAnsi="Wingdings"/>
    </w:rPr>
  </w:style>
  <w:style w:type="paragraph" w:customStyle="1" w:styleId="TableHeading">
    <w:name w:val="Table Heading"/>
    <w:basedOn w:val="HeadingBase"/>
    <w:rsid w:val="001F1E7C"/>
    <w:pPr>
      <w:keepLines/>
      <w:pBdr>
        <w:bottom w:val="single" w:sz="6" w:space="1" w:color="918585"/>
      </w:pBdr>
      <w:spacing w:before="240"/>
    </w:pPr>
  </w:style>
  <w:style w:type="character" w:customStyle="1" w:styleId="HotSpot">
    <w:name w:val="HotSpot"/>
    <w:rsid w:val="001F1E7C"/>
    <w:rPr>
      <w:color w:val="0033CC"/>
      <w:u w:val="none"/>
    </w:rPr>
  </w:style>
  <w:style w:type="paragraph" w:customStyle="1" w:styleId="BodyTextRight">
    <w:name w:val="Body Text Right"/>
    <w:basedOn w:val="BodyText"/>
    <w:rsid w:val="001F1E7C"/>
    <w:pPr>
      <w:spacing w:before="0" w:after="0"/>
      <w:jc w:val="right"/>
    </w:pPr>
  </w:style>
  <w:style w:type="paragraph" w:styleId="Index3">
    <w:name w:val="index 3"/>
    <w:basedOn w:val="ListNumber2"/>
    <w:next w:val="Normal"/>
    <w:semiHidden/>
    <w:rsid w:val="001F1E7C"/>
    <w:pPr>
      <w:numPr>
        <w:numId w:val="0"/>
      </w:numPr>
      <w:tabs>
        <w:tab w:val="right" w:leader="dot" w:pos="4176"/>
      </w:tabs>
    </w:pPr>
  </w:style>
  <w:style w:type="paragraph" w:styleId="ListNumber2">
    <w:name w:val="List Number 2"/>
    <w:basedOn w:val="List2"/>
    <w:rsid w:val="001F1E7C"/>
    <w:pPr>
      <w:numPr>
        <w:numId w:val="10"/>
      </w:numPr>
      <w:tabs>
        <w:tab w:val="clear" w:pos="1060"/>
      </w:tabs>
    </w:pPr>
  </w:style>
  <w:style w:type="paragraph" w:customStyle="1" w:styleId="MarginNote">
    <w:name w:val="Margin Note"/>
    <w:basedOn w:val="BodyText"/>
    <w:rsid w:val="001F1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E7C"/>
    <w:rPr>
      <w:sz w:val="32"/>
    </w:rPr>
  </w:style>
  <w:style w:type="paragraph" w:customStyle="1" w:styleId="HeadingProcedure">
    <w:name w:val="Heading Procedure"/>
    <w:basedOn w:val="HeadingBase"/>
    <w:next w:val="Normal"/>
    <w:rsid w:val="001F1E7C"/>
    <w:pPr>
      <w:tabs>
        <w:tab w:val="left" w:pos="0"/>
      </w:tabs>
      <w:spacing w:before="120" w:after="60"/>
    </w:pPr>
    <w:rPr>
      <w:i/>
      <w:color w:val="918585"/>
      <w:sz w:val="22"/>
    </w:rPr>
  </w:style>
  <w:style w:type="paragraph" w:customStyle="1" w:styleId="TableBodyText">
    <w:name w:val="Table Body Text"/>
    <w:basedOn w:val="BodyText"/>
    <w:rsid w:val="001F1E7C"/>
    <w:pPr>
      <w:spacing w:before="60" w:after="60"/>
    </w:pPr>
  </w:style>
  <w:style w:type="paragraph" w:styleId="ListContinue">
    <w:name w:val="List Continue"/>
    <w:basedOn w:val="List"/>
    <w:rsid w:val="001F1E7C"/>
    <w:pPr>
      <w:ind w:firstLine="0"/>
    </w:pPr>
  </w:style>
  <w:style w:type="paragraph" w:customStyle="1" w:styleId="ListNote">
    <w:name w:val="List Note"/>
    <w:basedOn w:val="List"/>
    <w:rsid w:val="001F1E7C"/>
    <w:pPr>
      <w:pBdr>
        <w:top w:val="single" w:sz="6" w:space="2" w:color="918585"/>
        <w:bottom w:val="single" w:sz="6" w:space="2" w:color="918585"/>
      </w:pBdr>
      <w:tabs>
        <w:tab w:val="left" w:pos="1021"/>
      </w:tabs>
      <w:ind w:firstLine="0"/>
    </w:pPr>
  </w:style>
  <w:style w:type="paragraph" w:customStyle="1" w:styleId="Warning">
    <w:name w:val="Warning"/>
    <w:basedOn w:val="BodyText"/>
    <w:rsid w:val="001F1E7C"/>
    <w:pPr>
      <w:shd w:val="clear" w:color="auto" w:fill="D9D9D9"/>
      <w:tabs>
        <w:tab w:val="left" w:pos="992"/>
      </w:tabs>
      <w:ind w:left="119" w:right="119"/>
    </w:pPr>
    <w:rPr>
      <w:sz w:val="20"/>
    </w:rPr>
  </w:style>
  <w:style w:type="paragraph" w:customStyle="1" w:styleId="MarginIcons">
    <w:name w:val="Margin Icons"/>
    <w:basedOn w:val="BodyText"/>
    <w:rsid w:val="001F1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E7C"/>
    <w:rPr>
      <w:rFonts w:ascii="Courier New" w:hAnsi="Courier New"/>
    </w:rPr>
  </w:style>
  <w:style w:type="paragraph" w:customStyle="1" w:styleId="NoteBullet">
    <w:name w:val="Note Bullet"/>
    <w:basedOn w:val="Note"/>
    <w:rsid w:val="001F1E7C"/>
    <w:pPr>
      <w:tabs>
        <w:tab w:val="clear" w:pos="680"/>
      </w:tabs>
      <w:spacing w:before="60" w:after="60"/>
    </w:pPr>
  </w:style>
  <w:style w:type="paragraph" w:customStyle="1" w:styleId="SubHeading2">
    <w:name w:val="SubHeading2"/>
    <w:basedOn w:val="HeadingBase"/>
    <w:rsid w:val="001F1E7C"/>
    <w:pPr>
      <w:spacing w:before="240" w:after="60"/>
    </w:pPr>
    <w:rPr>
      <w:sz w:val="20"/>
    </w:rPr>
  </w:style>
  <w:style w:type="paragraph" w:customStyle="1" w:styleId="SubHeading1">
    <w:name w:val="SubHeading1"/>
    <w:basedOn w:val="HeadingBase"/>
    <w:rsid w:val="001F1E7C"/>
    <w:pPr>
      <w:spacing w:before="240" w:after="60"/>
    </w:pPr>
    <w:rPr>
      <w:color w:val="918585"/>
      <w:sz w:val="22"/>
    </w:rPr>
  </w:style>
  <w:style w:type="paragraph" w:customStyle="1" w:styleId="SideHeading">
    <w:name w:val="Side Heading"/>
    <w:basedOn w:val="HeadingBase"/>
    <w:rsid w:val="001F1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E7C"/>
    <w:pPr>
      <w:numPr>
        <w:numId w:val="12"/>
      </w:numPr>
    </w:pPr>
  </w:style>
  <w:style w:type="paragraph" w:styleId="PlainText">
    <w:name w:val="Plain Text"/>
    <w:basedOn w:val="Normal"/>
    <w:link w:val="PlainTextChar"/>
    <w:rsid w:val="001F1E7C"/>
    <w:rPr>
      <w:sz w:val="20"/>
    </w:rPr>
  </w:style>
  <w:style w:type="character" w:customStyle="1" w:styleId="PlainTextChar">
    <w:name w:val="Plain Text Char"/>
    <w:basedOn w:val="DefaultParagraphFont"/>
    <w:link w:val="PlainText"/>
    <w:rsid w:val="001F1E7C"/>
    <w:rPr>
      <w:rFonts w:ascii="Courier New" w:eastAsia="Times New Roman" w:hAnsi="Courier New" w:cs="Times New Roman"/>
      <w:sz w:val="20"/>
      <w:szCs w:val="20"/>
      <w:lang w:eastAsia="en-US"/>
    </w:rPr>
  </w:style>
  <w:style w:type="character" w:customStyle="1" w:styleId="MenuOption">
    <w:name w:val="Menu Option"/>
    <w:basedOn w:val="DefaultParagraphFont"/>
    <w:rsid w:val="001F1E7C"/>
    <w:rPr>
      <w:b/>
      <w:smallCaps/>
    </w:rPr>
  </w:style>
  <w:style w:type="paragraph" w:customStyle="1" w:styleId="TableListNumber">
    <w:name w:val="Table List Number"/>
    <w:basedOn w:val="ListNumber"/>
    <w:rsid w:val="001F1E7C"/>
    <w:pPr>
      <w:numPr>
        <w:numId w:val="0"/>
      </w:numPr>
    </w:pPr>
  </w:style>
  <w:style w:type="paragraph" w:styleId="TOC4">
    <w:name w:val="toc 4"/>
    <w:basedOn w:val="TOCBase"/>
    <w:next w:val="Normal"/>
    <w:semiHidden/>
    <w:rsid w:val="001F1E7C"/>
    <w:pPr>
      <w:tabs>
        <w:tab w:val="right" w:leader="dot" w:pos="9071"/>
      </w:tabs>
      <w:ind w:left="1701"/>
    </w:pPr>
  </w:style>
  <w:style w:type="paragraph" w:customStyle="1" w:styleId="ListAlpha">
    <w:name w:val="List Alpha"/>
    <w:basedOn w:val="List"/>
    <w:rsid w:val="001F1E7C"/>
    <w:pPr>
      <w:numPr>
        <w:numId w:val="9"/>
      </w:numPr>
    </w:pPr>
  </w:style>
  <w:style w:type="paragraph" w:customStyle="1" w:styleId="ListAlpha2">
    <w:name w:val="List Alpha 2"/>
    <w:basedOn w:val="List2"/>
    <w:rsid w:val="001F1E7C"/>
    <w:pPr>
      <w:numPr>
        <w:numId w:val="8"/>
      </w:numPr>
    </w:pPr>
  </w:style>
  <w:style w:type="paragraph" w:styleId="List2">
    <w:name w:val="List 2"/>
    <w:basedOn w:val="BodyText"/>
    <w:rsid w:val="001F1E7C"/>
    <w:pPr>
      <w:tabs>
        <w:tab w:val="left" w:pos="680"/>
      </w:tabs>
      <w:spacing w:before="60" w:after="60"/>
      <w:ind w:left="680" w:hanging="340"/>
    </w:pPr>
  </w:style>
  <w:style w:type="paragraph" w:styleId="List3">
    <w:name w:val="List 3"/>
    <w:basedOn w:val="BodyText"/>
    <w:rsid w:val="001F1E7C"/>
    <w:pPr>
      <w:tabs>
        <w:tab w:val="left" w:pos="1021"/>
      </w:tabs>
      <w:spacing w:before="60" w:after="60"/>
      <w:ind w:left="1020" w:hanging="340"/>
    </w:pPr>
  </w:style>
  <w:style w:type="paragraph" w:styleId="List4">
    <w:name w:val="List 4"/>
    <w:basedOn w:val="BodyText"/>
    <w:rsid w:val="001F1E7C"/>
    <w:pPr>
      <w:tabs>
        <w:tab w:val="left" w:pos="1361"/>
      </w:tabs>
      <w:spacing w:before="60" w:after="60"/>
      <w:ind w:left="1361" w:hanging="340"/>
    </w:pPr>
  </w:style>
  <w:style w:type="paragraph" w:styleId="List5">
    <w:name w:val="List 5"/>
    <w:basedOn w:val="BodyText"/>
    <w:rsid w:val="001F1E7C"/>
    <w:pPr>
      <w:tabs>
        <w:tab w:val="left" w:pos="1701"/>
      </w:tabs>
      <w:spacing w:before="60" w:after="60"/>
      <w:ind w:left="1701" w:hanging="340"/>
    </w:pPr>
  </w:style>
  <w:style w:type="paragraph" w:styleId="ListBullet3">
    <w:name w:val="List Bullet 3"/>
    <w:basedOn w:val="List3"/>
    <w:rsid w:val="001F1E7C"/>
    <w:pPr>
      <w:numPr>
        <w:numId w:val="15"/>
      </w:numPr>
      <w:tabs>
        <w:tab w:val="clear" w:pos="1021"/>
      </w:tabs>
      <w:ind w:left="1037" w:hanging="357"/>
    </w:pPr>
  </w:style>
  <w:style w:type="paragraph" w:styleId="ListBullet4">
    <w:name w:val="List Bullet 4"/>
    <w:basedOn w:val="List4"/>
    <w:rsid w:val="001F1E7C"/>
    <w:pPr>
      <w:numPr>
        <w:numId w:val="3"/>
      </w:numPr>
    </w:pPr>
  </w:style>
  <w:style w:type="paragraph" w:styleId="ListBullet5">
    <w:name w:val="List Bullet 5"/>
    <w:basedOn w:val="List5"/>
    <w:rsid w:val="001F1E7C"/>
    <w:pPr>
      <w:numPr>
        <w:numId w:val="4"/>
      </w:numPr>
    </w:pPr>
  </w:style>
  <w:style w:type="paragraph" w:styleId="ListContinue2">
    <w:name w:val="List Continue 2"/>
    <w:basedOn w:val="List2"/>
    <w:rsid w:val="001F1E7C"/>
    <w:pPr>
      <w:ind w:firstLine="0"/>
    </w:pPr>
  </w:style>
  <w:style w:type="paragraph" w:styleId="ListContinue3">
    <w:name w:val="List Continue 3"/>
    <w:basedOn w:val="List3"/>
    <w:rsid w:val="001F1E7C"/>
    <w:pPr>
      <w:ind w:left="1021" w:firstLine="0"/>
    </w:pPr>
  </w:style>
  <w:style w:type="paragraph" w:styleId="ListContinue4">
    <w:name w:val="List Continue 4"/>
    <w:basedOn w:val="List4"/>
    <w:rsid w:val="001F1E7C"/>
    <w:pPr>
      <w:ind w:firstLine="0"/>
    </w:pPr>
  </w:style>
  <w:style w:type="paragraph" w:styleId="ListContinue5">
    <w:name w:val="List Continue 5"/>
    <w:basedOn w:val="List5"/>
    <w:rsid w:val="001F1E7C"/>
    <w:pPr>
      <w:ind w:firstLine="0"/>
    </w:pPr>
  </w:style>
  <w:style w:type="paragraph" w:styleId="ListNumber3">
    <w:name w:val="List Number 3"/>
    <w:basedOn w:val="List3"/>
    <w:rsid w:val="001F1E7C"/>
    <w:pPr>
      <w:numPr>
        <w:numId w:val="5"/>
      </w:numPr>
    </w:pPr>
  </w:style>
  <w:style w:type="paragraph" w:styleId="ListNumber4">
    <w:name w:val="List Number 4"/>
    <w:basedOn w:val="List4"/>
    <w:rsid w:val="001F1E7C"/>
    <w:pPr>
      <w:numPr>
        <w:numId w:val="6"/>
      </w:numPr>
    </w:pPr>
  </w:style>
  <w:style w:type="paragraph" w:styleId="ListNumber5">
    <w:name w:val="List Number 5"/>
    <w:basedOn w:val="List5"/>
    <w:rsid w:val="001F1E7C"/>
    <w:pPr>
      <w:numPr>
        <w:numId w:val="7"/>
      </w:numPr>
    </w:pPr>
  </w:style>
  <w:style w:type="paragraph" w:styleId="BlockText">
    <w:name w:val="Block Text"/>
    <w:basedOn w:val="Normal"/>
    <w:rsid w:val="001F1E7C"/>
    <w:pPr>
      <w:spacing w:after="120"/>
      <w:ind w:left="1440" w:right="1440"/>
    </w:pPr>
  </w:style>
  <w:style w:type="character" w:customStyle="1" w:styleId="Subscript">
    <w:name w:val="Subscript"/>
    <w:basedOn w:val="DefaultParagraphFont"/>
    <w:rsid w:val="001F1E7C"/>
    <w:rPr>
      <w:sz w:val="16"/>
      <w:vertAlign w:val="subscript"/>
    </w:rPr>
  </w:style>
  <w:style w:type="character" w:customStyle="1" w:styleId="Superscript">
    <w:name w:val="Superscript"/>
    <w:basedOn w:val="DefaultParagraphFont"/>
    <w:rsid w:val="001F1E7C"/>
    <w:rPr>
      <w:sz w:val="16"/>
      <w:vertAlign w:val="superscript"/>
    </w:rPr>
  </w:style>
  <w:style w:type="character" w:customStyle="1" w:styleId="Symbols">
    <w:name w:val="Symbols"/>
    <w:basedOn w:val="DefaultParagraphFont"/>
    <w:rsid w:val="001F1E7C"/>
    <w:rPr>
      <w:rFonts w:ascii="Symbol" w:hAnsi="Symbol"/>
    </w:rPr>
  </w:style>
  <w:style w:type="character" w:customStyle="1" w:styleId="MenuOptions">
    <w:name w:val="Menu Options"/>
    <w:basedOn w:val="DefaultParagraphFont"/>
    <w:rsid w:val="001F1E7C"/>
    <w:rPr>
      <w:rFonts w:ascii="Arial Narrow" w:hAnsi="Arial Narrow"/>
      <w:smallCaps/>
    </w:rPr>
  </w:style>
  <w:style w:type="character" w:customStyle="1" w:styleId="Buttons">
    <w:name w:val="Buttons"/>
    <w:basedOn w:val="DefaultParagraphFont"/>
    <w:rsid w:val="001F1E7C"/>
    <w:rPr>
      <w:b/>
    </w:rPr>
  </w:style>
  <w:style w:type="character" w:customStyle="1" w:styleId="Underlined">
    <w:name w:val="Underlined"/>
    <w:basedOn w:val="DefaultParagraphFont"/>
    <w:rsid w:val="001F1E7C"/>
    <w:rPr>
      <w:u w:val="single"/>
    </w:rPr>
  </w:style>
  <w:style w:type="paragraph" w:customStyle="1" w:styleId="TableBodyTextRight">
    <w:name w:val="Table Body Text Right"/>
    <w:basedOn w:val="TableBodyText"/>
    <w:rsid w:val="001F1E7C"/>
    <w:pPr>
      <w:widowControl w:val="0"/>
      <w:autoSpaceDE w:val="0"/>
      <w:autoSpaceDN w:val="0"/>
      <w:adjustRightInd w:val="0"/>
      <w:jc w:val="right"/>
    </w:pPr>
    <w:rPr>
      <w:rFonts w:cs="Arial"/>
      <w:szCs w:val="18"/>
    </w:rPr>
  </w:style>
  <w:style w:type="paragraph" w:customStyle="1" w:styleId="CopyrightText">
    <w:name w:val="Copyright Text"/>
    <w:basedOn w:val="BodyText"/>
    <w:rsid w:val="001F1E7C"/>
    <w:rPr>
      <w:sz w:val="18"/>
    </w:rPr>
  </w:style>
  <w:style w:type="paragraph" w:customStyle="1" w:styleId="BodySmallRight">
    <w:name w:val="Body Small Right"/>
    <w:basedOn w:val="BodyTextRight"/>
    <w:rsid w:val="001F1E7C"/>
    <w:rPr>
      <w:sz w:val="18"/>
      <w:szCs w:val="18"/>
    </w:rPr>
  </w:style>
  <w:style w:type="paragraph" w:customStyle="1" w:styleId="MarginEdition">
    <w:name w:val="Margin Edition"/>
    <w:basedOn w:val="MarginNote"/>
    <w:rsid w:val="001F1E7C"/>
    <w:pPr>
      <w:spacing w:before="0" w:after="0"/>
    </w:pPr>
    <w:rPr>
      <w:rFonts w:ascii="Times New Roman" w:hAnsi="Times New Roman"/>
      <w:color w:val="999999"/>
    </w:rPr>
  </w:style>
  <w:style w:type="paragraph" w:customStyle="1" w:styleId="Spacer">
    <w:name w:val="Spacer"/>
    <w:basedOn w:val="Normal"/>
    <w:rsid w:val="001F1E7C"/>
    <w:rPr>
      <w:sz w:val="2"/>
      <w:szCs w:val="2"/>
    </w:rPr>
  </w:style>
  <w:style w:type="character" w:customStyle="1" w:styleId="Small">
    <w:name w:val="Small"/>
    <w:basedOn w:val="DefaultParagraphFont"/>
    <w:rsid w:val="001F1E7C"/>
    <w:rPr>
      <w:sz w:val="16"/>
    </w:rPr>
  </w:style>
  <w:style w:type="paragraph" w:customStyle="1" w:styleId="WideTable">
    <w:name w:val="Wide Table"/>
    <w:basedOn w:val="Normal"/>
    <w:rsid w:val="001F1E7C"/>
    <w:pPr>
      <w:ind w:left="-1418"/>
    </w:pPr>
    <w:rPr>
      <w:sz w:val="2"/>
      <w:szCs w:val="2"/>
    </w:rPr>
  </w:style>
  <w:style w:type="character" w:styleId="PageNumber">
    <w:name w:val="page number"/>
    <w:basedOn w:val="DefaultParagraphFont"/>
    <w:rsid w:val="001F1E7C"/>
  </w:style>
  <w:style w:type="paragraph" w:styleId="Quote">
    <w:name w:val="Quote"/>
    <w:basedOn w:val="Heading1"/>
    <w:link w:val="QuoteChar"/>
    <w:qFormat/>
    <w:rsid w:val="001F1E7C"/>
    <w:rPr>
      <w:b w:val="0"/>
      <w:sz w:val="72"/>
      <w:szCs w:val="72"/>
      <w:lang w:val="en-NZ"/>
    </w:rPr>
  </w:style>
  <w:style w:type="character" w:customStyle="1" w:styleId="QuoteChar">
    <w:name w:val="Quote Char"/>
    <w:basedOn w:val="DefaultParagraphFont"/>
    <w:link w:val="Quote"/>
    <w:rsid w:val="001F1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E7C"/>
    <w:pPr>
      <w:pageBreakBefore/>
    </w:pPr>
  </w:style>
  <w:style w:type="paragraph" w:customStyle="1" w:styleId="Border">
    <w:name w:val="Border"/>
    <w:basedOn w:val="Normal"/>
    <w:qFormat/>
    <w:rsid w:val="001F1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E7C"/>
    <w:rPr>
      <w:b/>
      <w:bCs/>
      <w:i/>
      <w:iCs/>
      <w:color w:val="auto"/>
    </w:rPr>
  </w:style>
  <w:style w:type="paragraph" w:styleId="IntenseQuote">
    <w:name w:val="Intense Quote"/>
    <w:basedOn w:val="Normal"/>
    <w:next w:val="Normal"/>
    <w:link w:val="IntenseQuoteChar"/>
    <w:uiPriority w:val="30"/>
    <w:qFormat/>
    <w:rsid w:val="001F1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E7C"/>
    <w:rPr>
      <w:smallCaps/>
      <w:color w:val="auto"/>
      <w:u w:val="single"/>
    </w:rPr>
  </w:style>
  <w:style w:type="character" w:styleId="IntenseReference">
    <w:name w:val="Intense Reference"/>
    <w:basedOn w:val="DefaultParagraphFont"/>
    <w:uiPriority w:val="32"/>
    <w:qFormat/>
    <w:rsid w:val="001F1E7C"/>
    <w:rPr>
      <w:b/>
      <w:bCs/>
      <w:smallCaps/>
      <w:color w:val="auto"/>
      <w:spacing w:val="5"/>
      <w:u w:val="single"/>
    </w:rPr>
  </w:style>
  <w:style w:type="paragraph" w:customStyle="1" w:styleId="2ColumnHeading">
    <w:name w:val="2Column Heading"/>
    <w:basedOn w:val="BodyText"/>
    <w:qFormat/>
    <w:rsid w:val="001F1E7C"/>
    <w:pPr>
      <w:spacing w:after="60"/>
      <w:ind w:left="-2268"/>
    </w:pPr>
    <w:rPr>
      <w:b/>
    </w:rPr>
  </w:style>
  <w:style w:type="paragraph" w:customStyle="1" w:styleId="Heading1TOC">
    <w:name w:val="Heading1 TOC"/>
    <w:basedOn w:val="Normal"/>
    <w:qFormat/>
    <w:rsid w:val="001F1E7C"/>
    <w:pPr>
      <w:spacing w:before="240" w:after="120"/>
    </w:pPr>
    <w:rPr>
      <w:rFonts w:ascii="Times New Roman" w:hAnsi="Times New Roman"/>
      <w:b/>
      <w:sz w:val="32"/>
    </w:rPr>
  </w:style>
  <w:style w:type="paragraph" w:customStyle="1" w:styleId="Heading2TOC">
    <w:name w:val="Heading2 TOC"/>
    <w:basedOn w:val="Normal"/>
    <w:qFormat/>
    <w:rsid w:val="001F1E7C"/>
    <w:pPr>
      <w:spacing w:before="240" w:after="60"/>
    </w:pPr>
    <w:rPr>
      <w:rFonts w:ascii="Times New Roman" w:hAnsi="Times New Roman"/>
      <w:b/>
      <w:sz w:val="28"/>
    </w:rPr>
  </w:style>
  <w:style w:type="character" w:customStyle="1" w:styleId="Underline">
    <w:name w:val="Underline"/>
    <w:basedOn w:val="DefaultParagraphFont"/>
    <w:qFormat/>
    <w:rsid w:val="001F1E7C"/>
    <w:rPr>
      <w:u w:val="single"/>
    </w:rPr>
  </w:style>
  <w:style w:type="character" w:customStyle="1" w:styleId="BoldandItalics">
    <w:name w:val="Bold and Italics"/>
    <w:qFormat/>
    <w:rsid w:val="001F1E7C"/>
    <w:rPr>
      <w:b/>
      <w:i/>
      <w:u w:val="none"/>
    </w:rPr>
  </w:style>
  <w:style w:type="paragraph" w:styleId="BalloonText">
    <w:name w:val="Balloon Text"/>
    <w:basedOn w:val="Normal"/>
    <w:link w:val="BalloonTextChar"/>
    <w:rsid w:val="001F1E7C"/>
    <w:rPr>
      <w:rFonts w:ascii="Tahoma" w:hAnsi="Tahoma" w:cs="Tahoma"/>
      <w:sz w:val="16"/>
      <w:szCs w:val="16"/>
    </w:rPr>
  </w:style>
  <w:style w:type="character" w:customStyle="1" w:styleId="BalloonTextChar">
    <w:name w:val="Balloon Text Char"/>
    <w:basedOn w:val="DefaultParagraphFont"/>
    <w:link w:val="BalloonText"/>
    <w:rsid w:val="001F1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E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E7C"/>
    <w:rPr>
      <w:b/>
      <w:color w:val="660033"/>
      <w:spacing w:val="0"/>
    </w:rPr>
  </w:style>
  <w:style w:type="paragraph" w:customStyle="1" w:styleId="Nameditemlist">
    <w:name w:val="Named item list"/>
    <w:basedOn w:val="BodyText"/>
    <w:qFormat/>
    <w:rsid w:val="001F1E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1863</Words>
  <Characters>11624</Characters>
  <Application>Microsoft Office Word</Application>
  <DocSecurity>0</DocSecurity>
  <Lines>406</Lines>
  <Paragraphs>164</Paragraphs>
  <ScaleCrop>false</ScaleCrop>
  <Company>Author-it Software Corporation Ltd.</Company>
  <LinksUpToDate>false</LinksUpToDate>
  <CharactersWithSpaces>13351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UEPOPS249B Liaise with stakeholders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2012-07-25T17:08:00Z</dcterms:created>
  <dcterms:modified xsi:type="dcterms:W3CDTF">2012-07-25T17:08:00Z</dcterms:modified>
</cp:coreProperties>
</file>