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617" w:rsidP="00951617">
      <w:pPr>
        <w:pStyle w:val="Title"/>
      </w:pPr>
      <w:bookmarkStart w:id="0" w:name="_GoBack"/>
      <w:bookmarkEnd w:id="0"/>
      <w:r>
        <w:fldChar w:fldCharType="begin"/>
      </w:r>
      <w:r>
        <w:instrText xml:space="preserve"> TITLE   \* MERGEFORMAT </w:instrText>
      </w:r>
      <w:r>
        <w:fldChar w:fldCharType="separate"/>
      </w:r>
      <w:r>
        <w:t>UEPOPS232B Transport plant and equipment</w:t>
      </w:r>
      <w:r>
        <w:fldChar w:fldCharType="end"/>
      </w:r>
    </w:p>
    <w:p w:rsidR="00951617" w:rsidP="00951617">
      <w:pPr>
        <w:pStyle w:val="Version"/>
        <w:sectPr w:rsidSect="00A350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02E" w:rsidP="00A3502E">
      <w:pPr>
        <w:pStyle w:val="SuperHeading"/>
      </w:pPr>
      <w:r w:rsidRPr="00A3502E">
        <w:t>UEPOPS232B Transport plant and equipment</w:t>
      </w:r>
    </w:p>
    <w:p w:rsidR="00000000" w:rsidRPr="00A3502E" w:rsidP="00A3502E">
      <w:pPr>
        <w:pStyle w:val="Heading1"/>
      </w:pPr>
      <w:bookmarkStart w:id="1" w:name="O_471033"/>
      <w:bookmarkEnd w:id="1"/>
      <w:r w:rsidRPr="00A3502E">
        <w:t>Modification History</w:t>
      </w:r>
    </w:p>
    <w:p w:rsidR="00000000" w:rsidRPr="00A3502E" w:rsidP="00A3502E">
      <w:pPr>
        <w:pStyle w:val="BodyText"/>
      </w:pPr>
      <w:r w:rsidRPr="00A3502E">
        <w:t>Not applicable.</w:t>
      </w:r>
    </w:p>
    <w:p w:rsidR="00000000" w:rsidRPr="00A3502E" w:rsidP="00A3502E">
      <w:pPr>
        <w:pStyle w:val="AllowPageBreak"/>
      </w:pPr>
    </w:p>
    <w:p w:rsidR="00000000" w:rsidRPr="00A3502E" w:rsidP="00A3502E">
      <w:pPr>
        <w:pStyle w:val="Heading1"/>
      </w:pPr>
      <w:bookmarkStart w:id="2" w:name="O_471031"/>
      <w:bookmarkEnd w:id="2"/>
      <w:r w:rsidRPr="00A3502E">
        <w:t>Unit Descriptor</w:t>
      </w:r>
    </w:p>
    <w:tbl>
      <w:tblPr>
        <w:tblW w:w="0" w:type="auto"/>
        <w:tblLayout w:type="fixed"/>
        <w:tblCellMar>
          <w:left w:w="62" w:type="dxa"/>
          <w:right w:w="62" w:type="dxa"/>
        </w:tblCellMar>
        <w:tblLook w:val="0000"/>
      </w:tblPr>
      <w:tblGrid>
        <w:gridCol w:w="2700"/>
        <w:gridCol w:w="5760"/>
      </w:tblGrid>
      <w:tr w:rsidTr="009516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1)</w:t>
            </w:r>
            <w:r w:rsidRPr="00A3502E">
              <w:t xml:space="preserve"> </w:t>
            </w:r>
            <w:r w:rsidRPr="00A3502E">
              <w:rPr>
                <w:rStyle w:val="SpecialBold"/>
              </w:rPr>
              <w:t>Scope:</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502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1.1) Descriptor</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This unit deals with the skills and knowledge required to transport plant and equipment.</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3" w:name="O_471020"/>
      <w:bookmarkEnd w:id="3"/>
      <w:r w:rsidRPr="00A3502E">
        <w:t>Application of the Unit</w:t>
      </w:r>
    </w:p>
    <w:tbl>
      <w:tblPr>
        <w:tblW w:w="0" w:type="auto"/>
        <w:tblLayout w:type="fixed"/>
        <w:tblCellMar>
          <w:left w:w="62" w:type="dxa"/>
          <w:right w:w="62" w:type="dxa"/>
        </w:tblCellMar>
        <w:tblLook w:val="0000"/>
      </w:tblPr>
      <w:tblGrid>
        <w:gridCol w:w="2672"/>
        <w:gridCol w:w="5699"/>
      </w:tblGrid>
      <w:tr w:rsidTr="009516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2)</w:t>
            </w:r>
          </w:p>
        </w:tc>
      </w:tr>
      <w:tr w:rsidTr="00951617">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This unit is intended to augment formally acquired competencies. It is suitable for employment-based programs under an approved contract of training.</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4" w:name="O_471027"/>
      <w:bookmarkEnd w:id="4"/>
      <w:r w:rsidRPr="00A3502E">
        <w:t>Licensing/Regulatory Information</w:t>
      </w:r>
    </w:p>
    <w:tbl>
      <w:tblPr>
        <w:tblW w:w="0" w:type="auto"/>
        <w:tblLayout w:type="fixed"/>
        <w:tblCellMar>
          <w:left w:w="62" w:type="dxa"/>
          <w:right w:w="62" w:type="dxa"/>
        </w:tblCellMar>
        <w:tblLook w:val="0000"/>
      </w:tblPr>
      <w:tblGrid>
        <w:gridCol w:w="2700"/>
        <w:gridCol w:w="5760"/>
      </w:tblGrid>
      <w:tr w:rsidTr="009516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 xml:space="preserve">3) </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The skills and knowledge des</w:t>
            </w:r>
            <w:r w:rsidRPr="00A3502E">
              <w:t>cribed in this unit may require a licence to practise in the workplace in some States or Territories. There may also be additional assessment activities required by regulatory authorities for the issue of the licence to practise.</w:t>
            </w:r>
          </w:p>
          <w:p w:rsidR="00000000" w:rsidRPr="00A3502E" w:rsidP="00A3502E">
            <w:pPr>
              <w:pStyle w:val="BodyText"/>
            </w:pPr>
            <w:r w:rsidRPr="00A3502E">
              <w:t>Practice in this unit is s</w:t>
            </w:r>
            <w:r w:rsidRPr="00A3502E">
              <w:t>ubject to regulations directly related to Occupational Health and Safety and where applicable contracts of training such as apprenticeships and the like.</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5" w:name="O_471028"/>
      <w:bookmarkEnd w:id="5"/>
      <w:r w:rsidRPr="00A3502E">
        <w:t>Pre-Requisites</w:t>
      </w:r>
    </w:p>
    <w:tbl>
      <w:tblPr>
        <w:tblW w:w="0" w:type="auto"/>
        <w:tblLayout w:type="fixed"/>
        <w:tblCellMar>
          <w:left w:w="62" w:type="dxa"/>
          <w:right w:w="62" w:type="dxa"/>
        </w:tblCellMar>
        <w:tblLook w:val="0000"/>
      </w:tblPr>
      <w:tblGrid>
        <w:gridCol w:w="2700"/>
        <w:gridCol w:w="2068"/>
        <w:gridCol w:w="3696"/>
      </w:tblGrid>
      <w:tr w:rsidTr="009516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 xml:space="preserve">4) </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4.1)</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Granting of competency in this unit shall be made only after competency in the following unit(s) has/have been confirmed.</w:t>
            </w:r>
          </w:p>
          <w:p w:rsidR="00000000" w:rsidRPr="00A3502E" w:rsidP="00A3502E">
            <w:pPr>
              <w:pStyle w:val="BodyText"/>
            </w:pPr>
            <w:r w:rsidRPr="00A3502E">
              <w:t>Where pre-requisite pathways have been identified. All competencies in the Common Unit Group must be have been completed.</w:t>
            </w:r>
          </w:p>
          <w:p w:rsidR="00000000" w:rsidP="00A3502E">
            <w:pPr>
              <w:pStyle w:val="BodyText"/>
              <w:rPr>
                <w:lang w:val="en-NZ"/>
              </w:rPr>
            </w:pPr>
            <w:r w:rsidRPr="00A3502E">
              <w:t xml:space="preserve">Common Unit </w:t>
            </w:r>
            <w:r w:rsidRPr="00A3502E">
              <w:t>Group</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Unit Code</w:t>
            </w:r>
            <w:r w:rsidRPr="00A3502E">
              <w:tab/>
            </w:r>
          </w:p>
        </w:tc>
        <w:tc>
          <w:tcPr>
            <w:tcW w:w="3696"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Unit Title</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UEENEEE101A</w:t>
            </w:r>
          </w:p>
        </w:tc>
        <w:tc>
          <w:tcPr>
            <w:tcW w:w="3696"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 xml:space="preserve">Apply Occupational Health and Safety regulations, codes and practices in the workplace </w:t>
            </w:r>
          </w:p>
        </w:tc>
      </w:tr>
    </w:tbl>
    <w:p w:rsidR="00000000" w:rsidRPr="00A3502E" w:rsidP="00A3502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51617">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 xml:space="preserve">4.2) </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Participants are best equipped to achieve this unit if they have reading, writing and numeracy skills indicated by the following levels. A description of what each level entails is provided in Section 2.3.1 Language, Literacy and Numeracy.</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Reading</w:t>
            </w:r>
          </w:p>
        </w:tc>
        <w:tc>
          <w:tcPr>
            <w:tcW w:w="81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2</w:t>
            </w:r>
          </w:p>
        </w:tc>
        <w:tc>
          <w:tcPr>
            <w:tcW w:w="99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Writing</w:t>
            </w: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2</w:t>
            </w:r>
          </w:p>
        </w:tc>
        <w:tc>
          <w:tcPr>
            <w:tcW w:w="12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Numeracy</w:t>
            </w:r>
          </w:p>
        </w:tc>
        <w:tc>
          <w:tcPr>
            <w:tcW w:w="72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2</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6" w:name="O_471024"/>
      <w:bookmarkEnd w:id="6"/>
      <w:r w:rsidRPr="00A3502E">
        <w:t>Employability Skills Information</w:t>
      </w:r>
    </w:p>
    <w:tbl>
      <w:tblPr>
        <w:tblW w:w="0" w:type="auto"/>
        <w:tblLayout w:type="fixed"/>
        <w:tblCellMar>
          <w:left w:w="62" w:type="dxa"/>
          <w:right w:w="62" w:type="dxa"/>
        </w:tblCellMar>
        <w:tblLook w:val="0000"/>
      </w:tblPr>
      <w:tblGrid>
        <w:gridCol w:w="2700"/>
        <w:gridCol w:w="5760"/>
      </w:tblGrid>
      <w:tr w:rsidTr="009516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 xml:space="preserve">5) </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 xml:space="preserve">The required outcomes described in this unit of competency contain applicable facets of Employability Skills. The Employability Skills Summary </w:t>
            </w:r>
            <w:r w:rsidRPr="00A3502E">
              <w:t>of the qualification in which this unit of competency is packaged will assist in identifying Employability Skill requirements.</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7" w:name="O_471023"/>
      <w:bookmarkEnd w:id="7"/>
      <w:r w:rsidRPr="00A3502E">
        <w:t>Elements and Performance Criteria Pre-Content</w:t>
      </w:r>
    </w:p>
    <w:tbl>
      <w:tblPr>
        <w:tblW w:w="0" w:type="auto"/>
        <w:tblLayout w:type="fixed"/>
        <w:tblCellMar>
          <w:left w:w="62" w:type="dxa"/>
          <w:right w:w="62" w:type="dxa"/>
        </w:tblCellMar>
        <w:tblLook w:val="0000"/>
      </w:tblPr>
      <w:tblGrid>
        <w:gridCol w:w="2700"/>
        <w:gridCol w:w="5760"/>
      </w:tblGrid>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6)</w:t>
            </w:r>
            <w:r w:rsidRPr="00A3502E">
              <w:t xml:space="preserve"> Elements describe the essential outcomes of a competency stan</w:t>
            </w:r>
            <w:r w:rsidRPr="00A3502E">
              <w:t>dard unit</w:t>
            </w:r>
          </w:p>
        </w:tc>
        <w:tc>
          <w:tcPr>
            <w:tcW w:w="57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Performance Criteria describe the required performance needed to demonstrate achievement of the element. Assessment of performance is to be consistent with the Evidence Guide.</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8" w:name="O_471022"/>
      <w:bookmarkEnd w:id="8"/>
      <w:r w:rsidRPr="00A3502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5161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PERFORMANCE CRITERIA</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1</w:t>
            </w:r>
          </w:p>
        </w:tc>
        <w:tc>
          <w:tcPr>
            <w:tcW w:w="2296" w:type="dxa"/>
            <w:vMerge w:val="restart"/>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Plan and prepare for transport</w:t>
            </w: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1.1</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Safety requirements are identified in order to comply with enterprise/site transporting procedures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1.2</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Transport requirements are confirmed in accordance with work scheduling</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1.3</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Characteristics of the load are identified and considered to ensure that appropriate loading and unloading procedures are followed</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2</w:t>
            </w:r>
          </w:p>
        </w:tc>
        <w:tc>
          <w:tcPr>
            <w:tcW w:w="2296" w:type="dxa"/>
            <w:vMerge w:val="restart"/>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Obtain necessary permits</w:t>
            </w: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2.1</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Permit application forms are completed in accordance with requirements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2.2</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Load is assessed so as not to exceed safe working capacity of vehicle and in accordance with manufacturer’s specifications and regulatory authorities requirements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3</w:t>
            </w:r>
          </w:p>
        </w:tc>
        <w:tc>
          <w:tcPr>
            <w:tcW w:w="2296" w:type="dxa"/>
            <w:vMerge w:val="restart"/>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Load/unload plant and/or equipment</w:t>
            </w: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3.1</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Vehicle inspected and checked prior to loading</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3.2</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If required, start up, park up, shut down procedures are carried out in accordance with manufacturer’s and/or enterprise/site procedures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3.3</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Machine loaded and unloaded safely ensuring no injury to personnel or damage to property, equipment and load</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3.4</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Calculations on dimensions (height and width) of load and transport are made for over-sized loads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3.5</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Lashings are stored in accordance with storage procedures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4</w:t>
            </w:r>
          </w:p>
        </w:tc>
        <w:tc>
          <w:tcPr>
            <w:tcW w:w="2296"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Secure load</w:t>
            </w: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4.1</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Load is secured using appropriate securing equipment and lashed to anchorage points in accordance with securing systems and manufacturer’s specifications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4.2</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Lashing equipment is secured to vehicle to ensure integrity during transport</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5</w:t>
            </w:r>
          </w:p>
        </w:tc>
        <w:tc>
          <w:tcPr>
            <w:tcW w:w="2296"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Operate transport vehicle</w:t>
            </w: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5.1</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Pre-operational checks are carried out on plant in accordance with manufacturer’s recommendations and site requirements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5.2</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Attachments set at correct height/position, and machine driven in accordance with traffic regulatio</w:t>
            </w:r>
            <w:r w:rsidRPr="00A3502E">
              <w:t>ns and manufacturer’s instructions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5.3</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Start up, park up, shut down procedures are carried out in accordance with manufacturer’s and/or enterprise/site procedures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5.4</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Hazards are identified and avoided on public roads and work site</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5.5</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Traffic regulations are adhered to</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6</w:t>
            </w:r>
          </w:p>
        </w:tc>
        <w:tc>
          <w:tcPr>
            <w:tcW w:w="2296"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Complete documentation</w:t>
            </w: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6.1</w:t>
            </w:r>
          </w:p>
        </w:tc>
        <w:tc>
          <w:tcPr>
            <w:tcW w:w="48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Post operational checks and minor maintenance is carried out on machine and/or accessories in accordance with manufacturer’s recommendations and site requirements</w:t>
            </w:r>
          </w:p>
        </w:tc>
      </w:tr>
      <w:tr w:rsidTr="009516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t>6.2</w:t>
            </w:r>
          </w:p>
        </w:tc>
        <w:tc>
          <w:tcPr>
            <w:tcW w:w="48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Documentation is upda</w:t>
            </w:r>
            <w:r w:rsidRPr="00A3502E">
              <w:t>ted and plant problems, movements, abnormalities and status are reported and logged in accordance with enterprise/site procedures</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9" w:name="O_471030"/>
      <w:bookmarkEnd w:id="9"/>
      <w:r w:rsidRPr="00A3502E">
        <w:t>Required Skills and Knowledge</w:t>
      </w:r>
    </w:p>
    <w:tbl>
      <w:tblPr>
        <w:tblW w:w="0" w:type="auto"/>
        <w:tblLayout w:type="fixed"/>
        <w:tblCellMar>
          <w:left w:w="62" w:type="dxa"/>
          <w:right w:w="62" w:type="dxa"/>
        </w:tblCellMar>
        <w:tblLook w:val="0000"/>
      </w:tblPr>
      <w:tblGrid>
        <w:gridCol w:w="8460"/>
      </w:tblGrid>
      <w:tr w:rsidTr="009516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REQUIRED SKILLS AND KNOWLEDGE</w:t>
            </w:r>
          </w:p>
        </w:tc>
      </w:tr>
      <w:tr w:rsidTr="00951617">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8)</w:t>
            </w:r>
            <w:r w:rsidRPr="00A3502E">
              <w:t xml:space="preserve"> This describes the essential skills and knowledge and their level, required for this unit.</w:t>
            </w:r>
          </w:p>
          <w:p w:rsidR="00000000" w:rsidRPr="00A3502E" w:rsidP="00A3502E">
            <w:pPr>
              <w:pStyle w:val="BodyText"/>
            </w:pPr>
            <w:r w:rsidRPr="00A3502E">
              <w:t>Evidence shall show that knowledge has been acquired of transporting plant and equipment.</w:t>
            </w:r>
          </w:p>
          <w:p w:rsidR="00000000" w:rsidRPr="00A3502E" w:rsidP="00A3502E">
            <w:pPr>
              <w:pStyle w:val="BodyText"/>
            </w:pPr>
            <w:r w:rsidRPr="00A3502E">
              <w:t>All knowledge and skills detailed in this unit should be contextualised to</w:t>
            </w:r>
            <w:r w:rsidRPr="00A3502E">
              <w:t xml:space="preserve"> current industry practices and technologies.</w:t>
            </w:r>
          </w:p>
          <w:p w:rsidR="00000000" w:rsidRPr="00A3502E" w:rsidP="00A3502E">
            <w:pPr>
              <w:pStyle w:val="BodyText"/>
            </w:pPr>
            <w:r w:rsidRPr="00A3502E">
              <w:t>The extent of the Essential Knowledge and Associated Skills required follows:</w:t>
            </w:r>
          </w:p>
          <w:p w:rsidR="00000000" w:rsidRPr="00A3502E" w:rsidP="00A3502E">
            <w:pPr>
              <w:pStyle w:val="BodyText"/>
            </w:pPr>
            <w:r w:rsidRPr="00A3502E">
              <w:t>KS01- PO232B – Transport plant and equipment</w:t>
            </w:r>
          </w:p>
          <w:p w:rsidR="00000000" w:rsidRPr="00A3502E" w:rsidP="00A3502E">
            <w:pPr>
              <w:pStyle w:val="BodyText"/>
            </w:pPr>
            <w:r w:rsidRPr="00A3502E">
              <w:t>Evidence shall show that knowledge has been acquired for safe working practices of:</w:t>
            </w:r>
          </w:p>
          <w:p w:rsidR="00000000" w:rsidRPr="00A3502E" w:rsidP="00A3502E">
            <w:pPr>
              <w:pStyle w:val="BodyText"/>
            </w:pPr>
            <w:r w:rsidRPr="00A3502E">
              <w:t xml:space="preserve">T1 </w:t>
            </w:r>
            <w:r w:rsidRPr="00A3502E">
              <w:t>Relevant Environmental, Occupational Health and Safety legislation and  regulations</w:t>
            </w:r>
          </w:p>
          <w:p w:rsidR="00000000" w:rsidRPr="00A3502E" w:rsidP="00A3502E">
            <w:pPr>
              <w:pStyle w:val="BodyText"/>
            </w:pPr>
            <w:r w:rsidRPr="00A3502E">
              <w:t>T2 Relevant plant and equipment, its location and operation</w:t>
            </w:r>
          </w:p>
          <w:p w:rsidR="00000000" w:rsidRPr="00A3502E" w:rsidP="00A3502E">
            <w:pPr>
              <w:pStyle w:val="BodyText"/>
            </w:pPr>
            <w:r w:rsidRPr="00A3502E">
              <w:t>T3 Introduction to and typical arrangements of power production plant</w:t>
            </w:r>
          </w:p>
          <w:p w:rsidR="00000000" w:rsidRPr="00A3502E" w:rsidP="00A3502E">
            <w:pPr>
              <w:pStyle w:val="BodyText"/>
            </w:pPr>
            <w:r w:rsidRPr="00A3502E">
              <w:t>T4 Relevant state and territory regulation</w:t>
            </w:r>
            <w:r w:rsidRPr="00A3502E">
              <w:t>s</w:t>
            </w:r>
          </w:p>
          <w:p w:rsidR="00000000" w:rsidRPr="00A3502E" w:rsidP="00A3502E">
            <w:pPr>
              <w:pStyle w:val="BodyText"/>
            </w:pPr>
            <w:r w:rsidRPr="00A3502E">
              <w:t>T5 Operational and maintenance procedures</w:t>
            </w:r>
          </w:p>
          <w:p w:rsidR="00000000" w:rsidRPr="00A3502E" w:rsidP="00A3502E">
            <w:pPr>
              <w:pStyle w:val="BodyText"/>
            </w:pPr>
            <w:r w:rsidRPr="00A3502E">
              <w:t>T6 Equipment capabilities and limitations</w:t>
            </w:r>
          </w:p>
          <w:p w:rsidR="00000000" w:rsidRPr="00A3502E" w:rsidP="00A3502E">
            <w:pPr>
              <w:pStyle w:val="BodyText"/>
            </w:pPr>
            <w:r w:rsidRPr="00A3502E">
              <w:t>T7 Road transport and traffic authorities permits</w:t>
            </w:r>
          </w:p>
          <w:p w:rsidR="00000000" w:rsidRPr="00A3502E" w:rsidP="00A3502E">
            <w:pPr>
              <w:pStyle w:val="BodyText"/>
            </w:pPr>
            <w:r w:rsidRPr="00A3502E">
              <w:t>T8 Loading and off-loading procedures</w:t>
            </w:r>
          </w:p>
          <w:p w:rsidR="00000000" w:rsidRPr="00A3502E" w:rsidP="00A3502E">
            <w:pPr>
              <w:pStyle w:val="BodyText"/>
            </w:pPr>
            <w:r w:rsidRPr="00A3502E">
              <w:t>T9 Vehicle recording systems</w:t>
            </w:r>
          </w:p>
          <w:p w:rsidR="00000000" w:rsidRPr="00A3502E" w:rsidP="00A3502E">
            <w:pPr>
              <w:pStyle w:val="BodyText"/>
            </w:pPr>
            <w:r w:rsidRPr="00A3502E">
              <w:t>T10Warning and directional signals</w:t>
            </w:r>
          </w:p>
          <w:p w:rsidR="00000000" w:rsidRPr="00A3502E" w:rsidP="00A3502E">
            <w:pPr>
              <w:pStyle w:val="BodyText"/>
            </w:pPr>
            <w:r w:rsidRPr="00A3502E">
              <w:t>T11 Pre-start, sta</w:t>
            </w:r>
            <w:r w:rsidRPr="00A3502E">
              <w:t>rt up and shut down procedures</w:t>
            </w:r>
          </w:p>
          <w:p w:rsidR="00000000" w:rsidRPr="00A3502E" w:rsidP="00A3502E">
            <w:pPr>
              <w:pStyle w:val="BodyText"/>
            </w:pPr>
            <w:r w:rsidRPr="00A3502E">
              <w:t>T12 Enterprise recording procedures</w:t>
            </w:r>
          </w:p>
          <w:p w:rsidR="00000000" w:rsidRPr="00A3502E" w:rsidP="00A3502E">
            <w:pPr>
              <w:pStyle w:val="BodyText"/>
            </w:pPr>
            <w:r w:rsidRPr="00A3502E">
              <w:t>KS02- PO232B – Transport plant and equipment</w:t>
            </w:r>
          </w:p>
          <w:p w:rsidR="00000000" w:rsidRPr="00A3502E" w:rsidP="00A3502E">
            <w:pPr>
              <w:pStyle w:val="BodyText"/>
            </w:pPr>
            <w:r w:rsidRPr="00A3502E">
              <w:t>Specific skills needed to achieve the Performance Criteria:</w:t>
            </w:r>
          </w:p>
          <w:p w:rsidR="00000000" w:rsidRPr="00A3502E" w:rsidP="00A3502E">
            <w:pPr>
              <w:pStyle w:val="BodyText"/>
            </w:pPr>
            <w:r w:rsidRPr="00A3502E">
              <w:t>T1 Apply relevant state and territory regulations</w:t>
            </w:r>
          </w:p>
          <w:p w:rsidR="00000000" w:rsidRPr="00A3502E" w:rsidP="00A3502E">
            <w:pPr>
              <w:pStyle w:val="BodyText"/>
            </w:pPr>
            <w:r w:rsidRPr="00A3502E">
              <w:t>T2 Plan and organise resources</w:t>
            </w:r>
          </w:p>
          <w:p w:rsidR="00000000" w:rsidRPr="00A3502E" w:rsidP="00A3502E">
            <w:pPr>
              <w:pStyle w:val="BodyText"/>
            </w:pPr>
            <w:r w:rsidRPr="00A3502E">
              <w:t>T3 Prepare and operate transport vehicle</w:t>
            </w:r>
          </w:p>
          <w:p w:rsidR="00000000" w:rsidRPr="00A3502E" w:rsidP="00A3502E">
            <w:pPr>
              <w:pStyle w:val="BodyText"/>
            </w:pPr>
            <w:r w:rsidRPr="00A3502E">
              <w:t>T4 Use hand tools</w:t>
            </w:r>
          </w:p>
          <w:p w:rsidR="00000000" w:rsidRPr="00A3502E" w:rsidP="00A3502E">
            <w:pPr>
              <w:pStyle w:val="BodyText"/>
            </w:pPr>
            <w:r w:rsidRPr="00A3502E">
              <w:t>T5 Communicate effectively</w:t>
            </w:r>
          </w:p>
          <w:p w:rsidR="00000000" w:rsidRPr="00A3502E" w:rsidP="00A3502E">
            <w:pPr>
              <w:pStyle w:val="BodyText"/>
            </w:pPr>
            <w:r w:rsidRPr="00A3502E">
              <w:t>T6 Transport loads</w:t>
            </w:r>
          </w:p>
          <w:p w:rsidR="00000000" w:rsidRPr="00A3502E" w:rsidP="00A3502E">
            <w:pPr>
              <w:pStyle w:val="BodyText"/>
            </w:pPr>
            <w:r w:rsidRPr="00A3502E">
              <w:t>T7 Apply pre-start, start up and shut down procedures</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10" w:name="O_471025"/>
      <w:bookmarkEnd w:id="10"/>
      <w:r w:rsidRPr="00A3502E">
        <w:t>Evidence Guide</w:t>
      </w:r>
    </w:p>
    <w:tbl>
      <w:tblPr>
        <w:tblW w:w="0" w:type="auto"/>
        <w:tblLayout w:type="fixed"/>
        <w:tblCellMar>
          <w:left w:w="62" w:type="dxa"/>
          <w:right w:w="62" w:type="dxa"/>
        </w:tblCellMar>
        <w:tblLook w:val="0000"/>
      </w:tblPr>
      <w:tblGrid>
        <w:gridCol w:w="8460"/>
      </w:tblGrid>
      <w:tr w:rsidTr="009516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EVIDENCE GUIDE</w:t>
            </w:r>
          </w:p>
        </w:tc>
      </w:tr>
      <w:tr w:rsidTr="009516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9)</w:t>
            </w:r>
            <w:r w:rsidRPr="00A3502E">
              <w:t xml:space="preserve"> This provides essential advice for assessmen</w:t>
            </w:r>
            <w:r w:rsidRPr="00A3502E">
              <w:t>t of the competency standard unit and must be read in conjunction with the Performance Criteria and the Range Statement of the competency standard unit and the Training Package Assessment Guidelines.</w:t>
            </w:r>
          </w:p>
          <w:p w:rsidR="00000000" w:rsidRPr="00A3502E" w:rsidP="00A3502E">
            <w:pPr>
              <w:pStyle w:val="BodyText"/>
            </w:pPr>
            <w:r w:rsidRPr="00A3502E">
              <w:t>The Evidence Guide forms an integral part of this compet</w:t>
            </w:r>
            <w:r w:rsidRPr="00A3502E">
              <w:t>ency standard unit and shall be used in conjunction with all components parts of this unit and, performed in accordance with the Assessment Guidelines of this Training Package.</w:t>
            </w:r>
          </w:p>
        </w:tc>
      </w:tr>
    </w:tbl>
    <w:p w:rsidR="00000000" w:rsidRPr="00A3502E" w:rsidP="00A3502E">
      <w:pPr>
        <w:pStyle w:val="BodyText"/>
      </w:pPr>
    </w:p>
    <w:tbl>
      <w:tblPr>
        <w:tblW w:w="0" w:type="auto"/>
        <w:tblLayout w:type="fixed"/>
        <w:tblCellMar>
          <w:left w:w="62" w:type="dxa"/>
          <w:right w:w="62" w:type="dxa"/>
        </w:tblCellMar>
        <w:tblLook w:val="0000"/>
      </w:tblPr>
      <w:tblGrid>
        <w:gridCol w:w="1890"/>
        <w:gridCol w:w="6570"/>
      </w:tblGrid>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9.1)</w:t>
            </w:r>
          </w:p>
        </w:tc>
      </w:tr>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Longitudinal competency development approaches to assessment, such as Profiling, require data to be reliably gathered in a form that can be consistently interpreted over time. This approach is best utilised in Apprenticeship programs and reduces assessment</w:t>
            </w:r>
            <w:r w:rsidRPr="00A3502E">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3502E">
              <w:t>tency in a realistically simulated work environment. It is recognised that, in some circumstances, assessment in part or full can occur outside the workplace. However, it must be in accord with Industry and, Regulatory policy in this regard.</w:t>
            </w:r>
          </w:p>
          <w:p w:rsidR="00000000" w:rsidRPr="00A3502E" w:rsidP="00A3502E">
            <w:pPr>
              <w:pStyle w:val="BodyText"/>
            </w:pPr>
            <w:r w:rsidRPr="00A3502E">
              <w:t>Methods chosen</w:t>
            </w:r>
            <w:r w:rsidRPr="00A3502E">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3502E">
              <w:t>equired and the critical nature of the competencies being assessed.</w:t>
            </w:r>
          </w:p>
          <w:p w:rsidR="00000000" w:rsidRPr="00A3502E" w:rsidP="00A3502E">
            <w:pPr>
              <w:pStyle w:val="BodyText"/>
            </w:pPr>
            <w:r w:rsidRPr="00A3502E">
              <w:t>The critical safety nature of working with electricity, electrical equipment, gas or any other hazardous substance/material carries risk in deeming a person competent. Hence, sources of ev</w:t>
            </w:r>
            <w:r w:rsidRPr="00A3502E">
              <w:t>idence need to be ‘rich’ in nature to minimise error in judgment.</w:t>
            </w:r>
          </w:p>
          <w:p w:rsidR="00000000" w:rsidRPr="00A3502E" w:rsidP="00A3502E">
            <w:pPr>
              <w:pStyle w:val="BodyText"/>
            </w:pPr>
            <w:r w:rsidRPr="00A3502E">
              <w:t>Activities associated with normal every day work have a bearing on the decision as to how much and how detailed the data gathered will contribute to its ‘richness’. Some skills are more crit</w:t>
            </w:r>
            <w:r w:rsidRPr="00A3502E">
              <w:t>ical to safety and operational requirements while the same skills may be more or less frequently practised. These points are raised for the assessors to consider when choosing an assessment method and developing assessment instruments. Sample assessment in</w:t>
            </w:r>
            <w:r w:rsidRPr="00A3502E">
              <w:t>struments are included for Assessors in the Assessment Guidelines of this Training Package.</w:t>
            </w:r>
          </w:p>
        </w:tc>
      </w:tr>
    </w:tbl>
    <w:p w:rsidR="00000000" w:rsidRPr="00A3502E" w:rsidP="00A3502E">
      <w:pPr>
        <w:pStyle w:val="BodyText"/>
      </w:pPr>
    </w:p>
    <w:tbl>
      <w:tblPr>
        <w:tblW w:w="0" w:type="auto"/>
        <w:tblLayout w:type="fixed"/>
        <w:tblCellMar>
          <w:left w:w="62" w:type="dxa"/>
          <w:right w:w="62" w:type="dxa"/>
        </w:tblCellMar>
        <w:tblLook w:val="0000"/>
      </w:tblPr>
      <w:tblGrid>
        <w:gridCol w:w="1890"/>
        <w:gridCol w:w="6570"/>
      </w:tblGrid>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9.2)</w:t>
            </w:r>
          </w:p>
        </w:tc>
      </w:tr>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Before the critical aspects of evidence are considered all pre-requisites shal</w:t>
            </w:r>
            <w:r w:rsidRPr="00A3502E">
              <w:t>l be met.</w:t>
            </w:r>
          </w:p>
          <w:p w:rsidR="00000000" w:rsidRPr="00A3502E" w:rsidP="00A3502E">
            <w:pPr>
              <w:pStyle w:val="BodyText"/>
            </w:pPr>
            <w:r w:rsidRPr="00A3502E">
              <w:t xml:space="preserve">Evidence for competence in this unit shall be considered holistically.  Each Element and associated Performance Criteria shall be demonstrated on at least two occasions in accordance with the “Assessment Guidelines – UEP12”.  Evidence shall also </w:t>
            </w:r>
            <w:r w:rsidRPr="00A3502E">
              <w:t>comprise:</w:t>
            </w:r>
          </w:p>
          <w:p w:rsidR="00000000" w:rsidRPr="00A3502E" w:rsidP="00A3502E">
            <w:pPr>
              <w:pStyle w:val="ListBullet"/>
            </w:pPr>
            <w:r w:rsidRPr="00A3502E">
              <w:t>A representative body of work performance demonstrated within the timeframes typically expected of the discipline, work function and industrial environment. In particular this shall incorporate evidence that shows a candidate is able to:</w:t>
            </w:r>
          </w:p>
          <w:p w:rsidR="00000000" w:rsidRPr="00A3502E" w:rsidP="00A3502E">
            <w:pPr>
              <w:pStyle w:val="ListBullet2"/>
            </w:pPr>
            <w:r w:rsidRPr="00A3502E">
              <w:t>Implement Occupational Health and Safety workplace procedures and practices including the use of risk control measures as specified in the Performance Criteria and Range Statement</w:t>
            </w:r>
          </w:p>
          <w:p w:rsidR="00000000" w:rsidRPr="00A3502E" w:rsidP="00A3502E">
            <w:pPr>
              <w:pStyle w:val="ListBullet2"/>
            </w:pPr>
            <w:r w:rsidRPr="00A3502E">
              <w:t>Apply sustainable energy principles and practices as specified in the Perfor</w:t>
            </w:r>
            <w:r w:rsidRPr="00A3502E">
              <w:t>mance Criteria and Range Statement</w:t>
            </w:r>
          </w:p>
          <w:p w:rsidR="00000000" w:rsidRPr="00A3502E" w:rsidP="00A3502E">
            <w:pPr>
              <w:pStyle w:val="ListBullet2"/>
            </w:pPr>
            <w:r w:rsidRPr="00A3502E">
              <w:t>Demonstrate an understanding of the Essential Knowledge and Associated Skills as described in 6) Essential Knowledge and Associated Skills of this unit</w:t>
            </w:r>
          </w:p>
          <w:p w:rsidR="00000000" w:rsidRPr="00A3502E" w:rsidP="00A3502E">
            <w:pPr>
              <w:pStyle w:val="ListBullet2"/>
            </w:pPr>
            <w:r w:rsidRPr="00A3502E">
              <w:t>Demonstrate an appropriate level of employability skills</w:t>
            </w:r>
          </w:p>
          <w:p w:rsidR="00000000" w:rsidRPr="00A3502E" w:rsidP="00A3502E">
            <w:pPr>
              <w:pStyle w:val="ListBullet2"/>
            </w:pPr>
            <w:r w:rsidRPr="00A3502E">
              <w:t>Conduct work</w:t>
            </w:r>
            <w:r w:rsidRPr="00A3502E">
              <w:t xml:space="preserve"> observing the relevant Anti-Discrimination legislation, regulations, polices and workplace procedures</w:t>
            </w:r>
          </w:p>
          <w:p w:rsidR="00000000" w:rsidRPr="00A3502E" w:rsidP="00A3502E">
            <w:pPr>
              <w:pStyle w:val="ListBullet"/>
            </w:pPr>
            <w:r w:rsidRPr="00A3502E">
              <w:t>Demonstrated performance across a representative range of contexts from the prescribed items below:</w:t>
            </w:r>
          </w:p>
          <w:p w:rsidR="00000000" w:rsidRPr="00A3502E" w:rsidP="00A3502E">
            <w:pPr>
              <w:pStyle w:val="ListBullet2"/>
            </w:pPr>
            <w:r w:rsidRPr="00A3502E">
              <w:t>Knowledge and applications of relevant sections of:</w:t>
            </w:r>
            <w:r w:rsidRPr="00A3502E">
              <w:t xml:space="preserve"> Occupational Health and Safety; statutory legislation; enterprise/site safety procedures; enterprise/site emergency procedures</w:t>
            </w:r>
          </w:p>
          <w:p w:rsidR="00000000" w:rsidRPr="00A3502E" w:rsidP="00A3502E">
            <w:pPr>
              <w:pStyle w:val="ListBullet2"/>
            </w:pPr>
            <w:r w:rsidRPr="00A3502E">
              <w:t>Pre-start, start up and shut down procedures</w:t>
            </w:r>
          </w:p>
          <w:p w:rsidR="00000000" w:rsidRPr="00A3502E" w:rsidP="00A3502E">
            <w:pPr>
              <w:pStyle w:val="ListBullet2"/>
            </w:pPr>
            <w:r w:rsidRPr="00A3502E">
              <w:t>Operating and manoeuvring vehicles and attachments</w:t>
            </w:r>
          </w:p>
          <w:p w:rsidR="00000000" w:rsidRPr="00A3502E" w:rsidP="00A3502E">
            <w:pPr>
              <w:pStyle w:val="ListBullet2"/>
            </w:pPr>
            <w:r w:rsidRPr="00A3502E">
              <w:t xml:space="preserve">Applying for and following road </w:t>
            </w:r>
            <w:r w:rsidRPr="00A3502E">
              <w:t>transport and traffic authority permits</w:t>
            </w:r>
          </w:p>
          <w:p w:rsidR="00000000" w:rsidRPr="00A3502E" w:rsidP="00A3502E">
            <w:pPr>
              <w:pStyle w:val="ListBullet2"/>
            </w:pPr>
            <w:r w:rsidRPr="00A3502E">
              <w:t>Loading and off-loading procedures</w:t>
            </w:r>
          </w:p>
          <w:p w:rsidR="00000000" w:rsidRPr="00A3502E" w:rsidP="00A3502E">
            <w:pPr>
              <w:pStyle w:val="ListBullet2"/>
            </w:pPr>
            <w:r w:rsidRPr="00A3502E">
              <w:t>Dealing with an unplanned event by drawing on Essential Knowledge and Skills to provide appropriate solutions incorporated in the holistic assessment with the above listed items.</w:t>
            </w:r>
          </w:p>
        </w:tc>
      </w:tr>
    </w:tbl>
    <w:p w:rsidR="00000000" w:rsidRPr="00A3502E" w:rsidP="00A3502E">
      <w:pPr>
        <w:pStyle w:val="BodyText"/>
      </w:pPr>
    </w:p>
    <w:tbl>
      <w:tblPr>
        <w:tblW w:w="0" w:type="auto"/>
        <w:tblLayout w:type="fixed"/>
        <w:tblCellMar>
          <w:left w:w="62" w:type="dxa"/>
          <w:right w:w="62" w:type="dxa"/>
        </w:tblCellMar>
        <w:tblLook w:val="0000"/>
      </w:tblPr>
      <w:tblGrid>
        <w:gridCol w:w="1890"/>
        <w:gridCol w:w="6570"/>
      </w:tblGrid>
      <w:tr w:rsidTr="00951617">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9.3)</w:t>
            </w:r>
          </w:p>
        </w:tc>
      </w:tr>
      <w:tr w:rsidTr="00951617">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This unit should be assessed as it relates to normal work practice using procedures, information and resources typical of a workplace. This should include:</w:t>
            </w:r>
          </w:p>
          <w:p w:rsidR="00000000" w:rsidRPr="00A3502E" w:rsidP="00A3502E">
            <w:pPr>
              <w:pStyle w:val="ListBullet"/>
            </w:pPr>
            <w:r w:rsidRPr="00A3502E">
              <w:t>OHS policy and work procedures and instructions</w:t>
            </w:r>
          </w:p>
          <w:p w:rsidR="00000000" w:rsidRPr="00A3502E" w:rsidP="00A3502E">
            <w:pPr>
              <w:pStyle w:val="ListBullet"/>
            </w:pPr>
            <w:r w:rsidRPr="00A3502E">
              <w:t>Suitable work environment, facilities, equipment and materials to undertake actual work as prescribed by this competency standard unit</w:t>
            </w:r>
          </w:p>
          <w:p w:rsidR="00000000" w:rsidRPr="00A3502E" w:rsidP="00A3502E">
            <w:pPr>
              <w:pStyle w:val="BodyText"/>
            </w:pPr>
            <w:r w:rsidRPr="00A3502E">
              <w:t>Competency Standards should be assessed in the workplace or simulated wor</w:t>
            </w:r>
            <w:r w:rsidRPr="00A3502E">
              <w:t>kplace and under the normal range of workplace conditions.</w:t>
            </w:r>
          </w:p>
          <w:p w:rsidR="00000000" w:rsidRPr="00A3502E" w:rsidP="00A3502E">
            <w:pPr>
              <w:pStyle w:val="BodyText"/>
            </w:pPr>
            <w:r w:rsidRPr="00A3502E">
              <w:t>Assessment of this unit will be supported with documentary evidence, by means of endorsement stating type and application of work.</w:t>
            </w:r>
          </w:p>
          <w:p w:rsidR="00000000" w:rsidRPr="00A3502E" w:rsidP="00A3502E">
            <w:pPr>
              <w:pStyle w:val="BodyText"/>
            </w:pPr>
            <w:r w:rsidRPr="00A3502E">
              <w:t>In addition to the resources listed above in Context of assessment</w:t>
            </w:r>
            <w:r w:rsidRPr="00A3502E">
              <w:t>’, evidence should show competency working in limited spaces, with different structural/construction types and method and in a variety of environments.</w:t>
            </w:r>
          </w:p>
        </w:tc>
      </w:tr>
    </w:tbl>
    <w:p w:rsidR="00000000" w:rsidRPr="00A3502E" w:rsidP="00A3502E">
      <w:pPr>
        <w:pStyle w:val="BodyText"/>
      </w:pPr>
    </w:p>
    <w:tbl>
      <w:tblPr>
        <w:tblW w:w="0" w:type="auto"/>
        <w:tblLayout w:type="fixed"/>
        <w:tblCellMar>
          <w:left w:w="62" w:type="dxa"/>
          <w:right w:w="62" w:type="dxa"/>
        </w:tblCellMar>
        <w:tblLook w:val="0000"/>
      </w:tblPr>
      <w:tblGrid>
        <w:gridCol w:w="1890"/>
        <w:gridCol w:w="6570"/>
      </w:tblGrid>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9.4)</w:t>
            </w:r>
          </w:p>
        </w:tc>
      </w:tr>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This unit shall be assessed by methods given in Section 1.3.00 Assessment Guidelines.</w:t>
            </w:r>
          </w:p>
          <w:p w:rsidR="00000000" w:rsidRPr="00A3502E" w:rsidP="00A3502E">
            <w:pPr>
              <w:pStyle w:val="BodyText"/>
            </w:pPr>
            <w:r w:rsidRPr="00A3502E">
              <w:t xml:space="preserve">Note: </w:t>
            </w:r>
          </w:p>
          <w:p w:rsidR="00000000" w:rsidRPr="00A3502E" w:rsidP="00A3502E">
            <w:pPr>
              <w:pStyle w:val="BodyText"/>
            </w:pPr>
            <w:r w:rsidRPr="00A3502E">
              <w:t>Competent performance with inherent safe working practices is expected in the Industry to which this competency standard unit applies. This requires that the speci</w:t>
            </w:r>
            <w:r w:rsidRPr="00A3502E">
              <w:t>fied Essential Knowledge and Associated Skills be assessed in a structured environment, which is primarily intended for learning/assessment and incorporates all necessary equipment and facilities for learners to develop and demonstrate the Essential Knowle</w:t>
            </w:r>
            <w:r w:rsidRPr="00A3502E">
              <w:t>dge and Skills described in this unit.</w:t>
            </w:r>
          </w:p>
        </w:tc>
      </w:tr>
    </w:tbl>
    <w:p w:rsidR="00000000" w:rsidRPr="00A3502E" w:rsidP="00A3502E">
      <w:pPr>
        <w:pStyle w:val="BodyText"/>
      </w:pPr>
    </w:p>
    <w:tbl>
      <w:tblPr>
        <w:tblW w:w="0" w:type="auto"/>
        <w:tblLayout w:type="fixed"/>
        <w:tblCellMar>
          <w:left w:w="62" w:type="dxa"/>
          <w:right w:w="62" w:type="dxa"/>
        </w:tblCellMar>
        <w:tblLook w:val="0000"/>
      </w:tblPr>
      <w:tblGrid>
        <w:gridCol w:w="1890"/>
        <w:gridCol w:w="6570"/>
      </w:tblGrid>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9.5)</w:t>
            </w:r>
          </w:p>
        </w:tc>
      </w:tr>
      <w:tr w:rsidTr="00951617">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There are no recommended concurrent assessments with this unit, however in some cases efficiencies may be gained in terms of learning and assessment eff</w:t>
            </w:r>
            <w:r w:rsidRPr="00A3502E">
              <w:t>ort being concurrently managed with allied competency standard units where listed.</w:t>
            </w:r>
          </w:p>
          <w:p w:rsidR="00000000" w:rsidRPr="00A3502E" w:rsidP="00A3502E">
            <w:pPr>
              <w:pStyle w:val="BodyText"/>
            </w:pPr>
            <w:r w:rsidRPr="00A3502E">
              <w:t>Nil</w:t>
            </w:r>
            <w:r w:rsidRPr="00A3502E">
              <w:tab/>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11" w:name="O_471029"/>
      <w:bookmarkEnd w:id="11"/>
      <w:r w:rsidRPr="00A3502E">
        <w:t>Range Statement</w:t>
      </w:r>
    </w:p>
    <w:tbl>
      <w:tblPr>
        <w:tblW w:w="0" w:type="auto"/>
        <w:tblLayout w:type="fixed"/>
        <w:tblCellMar>
          <w:left w:w="62" w:type="dxa"/>
          <w:right w:w="62" w:type="dxa"/>
        </w:tblCellMar>
        <w:tblLook w:val="0000"/>
      </w:tblPr>
      <w:tblGrid>
        <w:gridCol w:w="8460"/>
      </w:tblGrid>
      <w:tr w:rsidTr="009516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RANGE STATEMENT</w:t>
            </w:r>
          </w:p>
        </w:tc>
      </w:tr>
      <w:tr w:rsidTr="009516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10)</w:t>
            </w:r>
            <w:r w:rsidRPr="00A3502E">
              <w:t xml:space="preserve"> This relates to the competency standard unit as a whole providing the range of contexts and </w:t>
            </w:r>
            <w:r w:rsidRPr="00A3502E">
              <w:t>conditions to which the Performance Criteria apply. It allows for different work environments and situations that will affect performance.</w:t>
            </w:r>
          </w:p>
          <w:p w:rsidR="00000000" w:rsidRPr="00A3502E" w:rsidP="00A3502E">
            <w:pPr>
              <w:pStyle w:val="BodyText"/>
            </w:pPr>
            <w:r w:rsidRPr="00A3502E">
              <w:t>Plant and equipment may include: backhoe; bobcat; bulldozer, clamshell; continuous bucket trencher; dragline; dump tr</w:t>
            </w:r>
            <w:r w:rsidRPr="00A3502E">
              <w:t>uck; excavator; forklift; front end loader; gradall; grader; material spreader; paver; pipelayer; profile planer; recycler; roller; scraper; skid steer loader; soil compactor; telescopic materials handler; tractor; water cart and related accessories/attach</w:t>
            </w:r>
            <w:r w:rsidRPr="00A3502E">
              <w:t>ments.</w:t>
            </w:r>
          </w:p>
          <w:p w:rsidR="00000000" w:rsidRPr="00A3502E" w:rsidP="00A3502E">
            <w:pPr>
              <w:pStyle w:val="BodyText"/>
            </w:pPr>
            <w:r w:rsidRPr="00A3502E">
              <w:t>Safety standards may include relevant sections of Occupational Health and Safety legislation, national standards for plant, enterprise safety rules and relevant state and federal legislation.</w:t>
            </w:r>
          </w:p>
          <w:p w:rsidR="00000000" w:rsidRPr="00A3502E" w:rsidP="00A3502E">
            <w:pPr>
              <w:pStyle w:val="BodyText"/>
            </w:pPr>
            <w:r w:rsidRPr="00A3502E">
              <w:t>Hazards may include: power lines; trees; overhead service</w:t>
            </w:r>
            <w:r w:rsidRPr="00A3502E">
              <w:t xml:space="preserve"> lines; surrounding buildings; other equipment; earthworks; obstructions; underground services; bridges; tunnels; facilities and dangerous materials.</w:t>
            </w:r>
          </w:p>
          <w:p w:rsidR="00000000" w:rsidRPr="00A3502E" w:rsidP="00A3502E">
            <w:pPr>
              <w:pStyle w:val="BodyText"/>
            </w:pPr>
            <w:r w:rsidRPr="00A3502E">
              <w:t>Information and documentation sources may include verbal and written communications; enterprise safety rul</w:t>
            </w:r>
            <w:r w:rsidRPr="00A3502E">
              <w:t>es documentation/form(s); equipment and alarm manuals; dedicated computer equipment; standing enterprise/site and operating instructions; enterprise/site log books and manufacturer’s operation and maintenance manuals.</w:t>
            </w:r>
          </w:p>
          <w:p w:rsidR="00000000" w:rsidRPr="00A3502E" w:rsidP="00A3502E">
            <w:pPr>
              <w:pStyle w:val="BodyText"/>
            </w:pPr>
            <w:r w:rsidRPr="00A3502E">
              <w:t>Technical and operational indicators m</w:t>
            </w:r>
            <w:r w:rsidRPr="00A3502E">
              <w:t>ay include stimuli (audio, smell, touch, visual), local indicators, recorders and alarms (visible and or audible).</w:t>
            </w:r>
          </w:p>
          <w:p w:rsidR="00000000" w:rsidRPr="00A3502E" w:rsidP="00A3502E">
            <w:pPr>
              <w:pStyle w:val="BodyText"/>
            </w:pPr>
            <w:r w:rsidRPr="00A3502E">
              <w:t>Communications mediums may include telephone, two way radio, pager, public address system, facsimile, computer (electronic mail), operating l</w:t>
            </w:r>
            <w:r w:rsidRPr="00A3502E">
              <w:t>ogs, written, verbal, whistle or hand signal.</w:t>
            </w:r>
          </w:p>
          <w:p w:rsidR="00000000" w:rsidRPr="00A3502E" w:rsidP="00A3502E">
            <w:pPr>
              <w:pStyle w:val="BodyText"/>
            </w:pPr>
            <w:r w:rsidRPr="00A3502E">
              <w:t>Tests may include performance, alarm and protection tests.</w:t>
            </w:r>
          </w:p>
          <w:p w:rsidR="00000000" w:rsidRPr="00A3502E" w:rsidP="00A3502E">
            <w:pPr>
              <w:pStyle w:val="BodyText"/>
            </w:pPr>
            <w:r w:rsidRPr="00A3502E">
              <w:t>Appropriate personnel for consultation or giving or receiving direction may include supervisor/team leader or equivalent, technical and engineering off</w:t>
            </w:r>
            <w:r w:rsidRPr="00A3502E">
              <w:t>icers or equivalent, contractor staff, other production staff and maintenance staff.</w:t>
            </w:r>
          </w:p>
          <w:p w:rsidR="00000000" w:rsidRPr="00A3502E" w:rsidP="00A3502E">
            <w:pPr>
              <w:pStyle w:val="BodyText"/>
            </w:pPr>
            <w:r w:rsidRPr="00A3502E">
              <w:t>Test fault finding and operating tools may include both power and hand tools.</w:t>
            </w:r>
          </w:p>
          <w:p w:rsidR="00000000" w:rsidRPr="00A3502E" w:rsidP="00A3502E">
            <w:pPr>
              <w:pStyle w:val="BodyText"/>
            </w:pPr>
            <w:r w:rsidRPr="00A3502E">
              <w:t>Operating environment may be during inclement or otherwise harsh weather conditions, in wet/n</w:t>
            </w:r>
            <w:r w:rsidRPr="00A3502E">
              <w:t>oise/dusty/hot areas or during night periods.</w:t>
            </w:r>
          </w:p>
          <w:p w:rsidR="00000000" w:rsidRPr="00A3502E" w:rsidP="00A3502E">
            <w:pPr>
              <w:pStyle w:val="BodyText"/>
            </w:pPr>
            <w:r w:rsidRPr="00A3502E">
              <w:t>Faults and abnormal operating conditions may include loss of hydraulic oil pressure, loss of motor oil pressure, electrical breakdowns, loss of cooling water and loss of tyre pressure.</w:t>
            </w:r>
          </w:p>
          <w:p w:rsidR="00000000" w:rsidRPr="00A3502E" w:rsidP="00A3502E">
            <w:pPr>
              <w:pStyle w:val="BodyText"/>
            </w:pPr>
            <w:r w:rsidRPr="00A3502E">
              <w:t>Minor maintenance may inc</w:t>
            </w:r>
            <w:r w:rsidRPr="00A3502E">
              <w:t>lude fuel check, water checks, oil checks, greasing, cleaning, tyre or track inspections and minor adjustments.</w:t>
            </w:r>
          </w:p>
          <w:p w:rsidR="00000000" w:rsidRPr="00A3502E" w:rsidP="00A3502E">
            <w:pPr>
              <w:pStyle w:val="BodyText"/>
            </w:pPr>
            <w:r w:rsidRPr="00A3502E">
              <w:t>Generic terms are used throughout this Training Package for vocational standard shall be regarded as part of the Range Statement in which compet</w:t>
            </w:r>
            <w:r w:rsidRPr="00A3502E">
              <w:t>ency is demonstrated. The definition of these and other terms are given in Section 2.1 Preliminary Information and Glossaries.</w:t>
            </w:r>
          </w:p>
        </w:tc>
      </w:tr>
    </w:tbl>
    <w:p w:rsidR="00000000" w:rsidRPr="00A3502E" w:rsidP="00A3502E">
      <w:pPr>
        <w:pStyle w:val="BodyText"/>
      </w:pPr>
    </w:p>
    <w:p w:rsidR="00000000" w:rsidRPr="00A3502E" w:rsidP="00A3502E">
      <w:pPr>
        <w:pStyle w:val="AllowPageBreak"/>
      </w:pPr>
    </w:p>
    <w:p w:rsidR="00000000" w:rsidRPr="00A3502E" w:rsidP="00A3502E">
      <w:pPr>
        <w:pStyle w:val="Heading1"/>
      </w:pPr>
      <w:bookmarkStart w:id="12" w:name="O_471032"/>
      <w:bookmarkEnd w:id="12"/>
      <w:r w:rsidRPr="00A3502E">
        <w:t>Unit Sector(s)</w:t>
      </w:r>
    </w:p>
    <w:p w:rsidR="00000000" w:rsidRPr="00A3502E" w:rsidP="00A3502E">
      <w:pPr>
        <w:pStyle w:val="BodyText"/>
      </w:pPr>
      <w:r w:rsidRPr="00A3502E">
        <w:t>Not applicable.</w:t>
      </w:r>
    </w:p>
    <w:p w:rsidR="00000000" w:rsidRPr="00A3502E" w:rsidP="00A3502E">
      <w:pPr>
        <w:pStyle w:val="AllowPageBreak"/>
      </w:pPr>
    </w:p>
    <w:p w:rsidR="00000000" w:rsidRPr="00A3502E" w:rsidP="00A3502E">
      <w:pPr>
        <w:pStyle w:val="Heading1"/>
      </w:pPr>
      <w:bookmarkStart w:id="13" w:name="O_471021"/>
      <w:bookmarkEnd w:id="13"/>
      <w:r w:rsidRPr="00A3502E">
        <w:t>Competency Field</w:t>
      </w:r>
    </w:p>
    <w:tbl>
      <w:tblPr>
        <w:tblW w:w="0" w:type="auto"/>
        <w:tblLayout w:type="fixed"/>
        <w:tblCellMar>
          <w:left w:w="62" w:type="dxa"/>
          <w:right w:w="62" w:type="dxa"/>
        </w:tblCellMar>
        <w:tblLook w:val="0000"/>
      </w:tblPr>
      <w:tblGrid>
        <w:gridCol w:w="2700"/>
        <w:gridCol w:w="5760"/>
      </w:tblGrid>
      <w:tr w:rsidTr="009516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3502E">
            <w:pPr>
              <w:pStyle w:val="BodyText"/>
              <w:rPr>
                <w:lang w:val="en-NZ"/>
              </w:rPr>
            </w:pPr>
            <w:r w:rsidRPr="00A3502E">
              <w:rPr>
                <w:rStyle w:val="SpecialBold"/>
              </w:rPr>
              <w:t xml:space="preserve">11) </w:t>
            </w:r>
          </w:p>
        </w:tc>
      </w:tr>
      <w:tr w:rsidTr="009516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3502E" w:rsidP="00A3502E">
            <w:pPr>
              <w:pStyle w:val="BodyText"/>
            </w:pPr>
            <w:r w:rsidRPr="00A3502E">
              <w:t>Operations</w:t>
            </w:r>
          </w:p>
        </w:tc>
      </w:tr>
    </w:tbl>
    <w:p w:rsidR="00000000" w:rsidRPr="00A3502E" w:rsidP="00A3502E">
      <w:pPr>
        <w:pStyle w:val="BodyText"/>
      </w:pPr>
    </w:p>
    <w:p w:rsidR="00000000" w:rsidRPr="00A3502E" w:rsidP="00A3502E"/>
    <w:sectPr w:rsidSect="00A350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1617" w:rsidP="009516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17" w:rsidP="00A350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51617" w:rsidP="00A3502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51617" w:rsidP="00A3502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2E" w:rsidRPr="00951617" w:rsidP="009516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617" w:rsidRPr="002D2AF8" w:rsidP="00A3502E">
    <w:pPr>
      <w:pStyle w:val="Header"/>
      <w:framePr w:wrap="around"/>
    </w:pPr>
    <w:r>
      <w:fldChar w:fldCharType="begin"/>
    </w:r>
    <w:r>
      <w:instrText xml:space="preserve"> TITLE   \* MERGEFORMAT </w:instrText>
    </w:r>
    <w:r>
      <w:fldChar w:fldCharType="separate"/>
    </w:r>
    <w:r>
      <w:t>UEPOPS232B Transport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51617" w:rsidP="00A35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FA5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6A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C2BA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02E"/>
    <w:pPr>
      <w:spacing w:before="360" w:after="60"/>
      <w:outlineLvl w:val="0"/>
    </w:pPr>
    <w:rPr>
      <w:sz w:val="32"/>
    </w:rPr>
  </w:style>
  <w:style w:type="paragraph" w:styleId="Heading2">
    <w:name w:val="heading 2"/>
    <w:basedOn w:val="HeadingBase"/>
    <w:next w:val="BodyText"/>
    <w:link w:val="Heading2Char"/>
    <w:qFormat/>
    <w:rsid w:val="00A3502E"/>
    <w:pPr>
      <w:keepLines/>
      <w:spacing w:before="240" w:after="120"/>
      <w:outlineLvl w:val="1"/>
    </w:pPr>
    <w:rPr>
      <w:sz w:val="28"/>
      <w:szCs w:val="40"/>
    </w:rPr>
  </w:style>
  <w:style w:type="paragraph" w:styleId="Heading3">
    <w:name w:val="heading 3"/>
    <w:basedOn w:val="HeadingBase"/>
    <w:next w:val="BodyText"/>
    <w:link w:val="Heading3Char"/>
    <w:qFormat/>
    <w:rsid w:val="00A3502E"/>
    <w:pPr>
      <w:spacing w:before="180" w:after="120"/>
      <w:outlineLvl w:val="2"/>
    </w:pPr>
    <w:rPr>
      <w:spacing w:val="-10"/>
      <w:kern w:val="32"/>
    </w:rPr>
  </w:style>
  <w:style w:type="paragraph" w:styleId="Heading4">
    <w:name w:val="heading 4"/>
    <w:basedOn w:val="HeadingBase"/>
    <w:next w:val="BodyText"/>
    <w:link w:val="Heading4Char"/>
    <w:qFormat/>
    <w:rsid w:val="00A3502E"/>
    <w:pPr>
      <w:spacing w:before="160" w:after="120"/>
      <w:outlineLvl w:val="3"/>
    </w:pPr>
    <w:rPr>
      <w:sz w:val="22"/>
    </w:rPr>
  </w:style>
  <w:style w:type="paragraph" w:styleId="Heading5">
    <w:name w:val="heading 5"/>
    <w:basedOn w:val="HeadingBase"/>
    <w:next w:val="Normal"/>
    <w:link w:val="Heading5Char"/>
    <w:qFormat/>
    <w:rsid w:val="00A3502E"/>
    <w:pPr>
      <w:spacing w:before="80"/>
      <w:outlineLvl w:val="4"/>
    </w:pPr>
    <w:rPr>
      <w:color w:val="918585"/>
      <w:sz w:val="20"/>
    </w:rPr>
  </w:style>
  <w:style w:type="paragraph" w:styleId="Heading6">
    <w:name w:val="heading 6"/>
    <w:basedOn w:val="HeadingBase"/>
    <w:next w:val="Normal"/>
    <w:link w:val="Heading6Char"/>
    <w:qFormat/>
    <w:rsid w:val="00A3502E"/>
    <w:pPr>
      <w:spacing w:before="60"/>
      <w:outlineLvl w:val="5"/>
    </w:pPr>
    <w:rPr>
      <w:color w:val="918585"/>
      <w:sz w:val="20"/>
    </w:rPr>
  </w:style>
  <w:style w:type="paragraph" w:styleId="Heading7">
    <w:name w:val="heading 7"/>
    <w:basedOn w:val="Normal"/>
    <w:next w:val="Normal"/>
    <w:link w:val="Heading7Char"/>
    <w:qFormat/>
    <w:rsid w:val="00A3502E"/>
    <w:pPr>
      <w:ind w:left="720"/>
      <w:outlineLvl w:val="6"/>
    </w:pPr>
    <w:rPr>
      <w:i/>
    </w:rPr>
  </w:style>
  <w:style w:type="paragraph" w:styleId="Heading8">
    <w:name w:val="heading 8"/>
    <w:basedOn w:val="Normal"/>
    <w:next w:val="Normal"/>
    <w:link w:val="Heading8Char"/>
    <w:qFormat/>
    <w:rsid w:val="00A3502E"/>
    <w:pPr>
      <w:ind w:left="720"/>
      <w:outlineLvl w:val="7"/>
    </w:pPr>
    <w:rPr>
      <w:i/>
    </w:rPr>
  </w:style>
  <w:style w:type="paragraph" w:styleId="Heading9">
    <w:name w:val="heading 9"/>
    <w:basedOn w:val="Normal"/>
    <w:next w:val="Normal"/>
    <w:link w:val="Heading9Char"/>
    <w:qFormat/>
    <w:rsid w:val="00A3502E"/>
    <w:pPr>
      <w:ind w:left="720"/>
      <w:outlineLvl w:val="8"/>
    </w:pPr>
    <w:rPr>
      <w:i/>
    </w:rPr>
  </w:style>
  <w:style w:type="character" w:default="1" w:styleId="DefaultParagraphFont">
    <w:name w:val="Default Paragraph Font"/>
    <w:uiPriority w:val="1"/>
    <w:unhideWhenUsed/>
    <w:rsid w:val="00A35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02E"/>
  </w:style>
  <w:style w:type="character" w:customStyle="1" w:styleId="Heading1Char">
    <w:name w:val="Heading 1 Char"/>
    <w:basedOn w:val="DefaultParagraphFont"/>
    <w:link w:val="Heading1"/>
    <w:rsid w:val="00A3502E"/>
    <w:rPr>
      <w:rFonts w:ascii="Times New Roman" w:eastAsia="Times New Roman" w:hAnsi="Times New Roman" w:cs="Times New Roman"/>
      <w:b/>
      <w:sz w:val="32"/>
      <w:szCs w:val="20"/>
      <w:lang w:eastAsia="en-US"/>
    </w:rPr>
  </w:style>
  <w:style w:type="paragraph" w:styleId="BodyText">
    <w:name w:val="Body Text"/>
    <w:basedOn w:val="Normal"/>
    <w:link w:val="BodyTextChar"/>
    <w:rsid w:val="00A350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02E"/>
    <w:rPr>
      <w:rFonts w:ascii="Times New Roman" w:eastAsia="Times New Roman" w:hAnsi="Times New Roman" w:cs="Times New Roman"/>
      <w:sz w:val="24"/>
      <w:lang w:eastAsia="en-US"/>
    </w:rPr>
  </w:style>
  <w:style w:type="paragraph" w:styleId="Footer">
    <w:name w:val="footer"/>
    <w:basedOn w:val="Normal"/>
    <w:link w:val="FooterChar"/>
    <w:rsid w:val="00A35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02E"/>
    <w:rPr>
      <w:rFonts w:ascii="Times New Roman" w:eastAsia="Times New Roman" w:hAnsi="Times New Roman" w:cs="Times New Roman"/>
      <w:sz w:val="16"/>
      <w:lang w:eastAsia="en-US"/>
    </w:rPr>
  </w:style>
  <w:style w:type="paragraph" w:styleId="ListBullet">
    <w:name w:val="List Bullet"/>
    <w:basedOn w:val="List"/>
    <w:rsid w:val="00A3502E"/>
    <w:pPr>
      <w:numPr>
        <w:numId w:val="13"/>
      </w:numPr>
      <w:tabs>
        <w:tab w:val="clear" w:pos="340"/>
      </w:tabs>
      <w:spacing w:before="40" w:after="40"/>
    </w:pPr>
  </w:style>
  <w:style w:type="character" w:customStyle="1" w:styleId="SpecialBold">
    <w:name w:val="Special Bold"/>
    <w:basedOn w:val="DefaultParagraphFont"/>
    <w:rsid w:val="00A3502E"/>
    <w:rPr>
      <w:b/>
      <w:spacing w:val="0"/>
    </w:rPr>
  </w:style>
  <w:style w:type="paragraph" w:styleId="ListBullet2">
    <w:name w:val="List Bullet 2"/>
    <w:basedOn w:val="List2"/>
    <w:rsid w:val="00A3502E"/>
    <w:pPr>
      <w:numPr>
        <w:numId w:val="14"/>
      </w:numPr>
      <w:tabs>
        <w:tab w:val="clear" w:pos="680"/>
      </w:tabs>
    </w:pPr>
  </w:style>
  <w:style w:type="paragraph" w:customStyle="1" w:styleId="SuperHeading">
    <w:name w:val="SuperHeading"/>
    <w:basedOn w:val="Normal"/>
    <w:rsid w:val="00A3502E"/>
    <w:pPr>
      <w:spacing w:before="240" w:after="120"/>
      <w:outlineLvl w:val="0"/>
    </w:pPr>
    <w:rPr>
      <w:rFonts w:ascii="Times New Roman" w:hAnsi="Times New Roman"/>
      <w:b/>
      <w:sz w:val="28"/>
    </w:rPr>
  </w:style>
  <w:style w:type="paragraph" w:customStyle="1" w:styleId="AllowPageBreak">
    <w:name w:val="AllowPageBreak"/>
    <w:rsid w:val="00A350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02E"/>
    <w:rPr>
      <w:rFonts w:ascii="Courier New" w:eastAsia="Times New Roman" w:hAnsi="Courier New" w:cs="Times New Roman"/>
      <w:i/>
      <w:szCs w:val="20"/>
      <w:lang w:eastAsia="en-US"/>
    </w:rPr>
  </w:style>
  <w:style w:type="paragraph" w:customStyle="1" w:styleId="HeadingBase">
    <w:name w:val="Heading Base"/>
    <w:rsid w:val="00A35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02E"/>
    <w:pPr>
      <w:tabs>
        <w:tab w:val="right" w:leader="dot" w:pos="9072"/>
      </w:tabs>
      <w:ind w:left="567"/>
    </w:pPr>
    <w:rPr>
      <w:szCs w:val="22"/>
    </w:rPr>
  </w:style>
  <w:style w:type="paragraph" w:customStyle="1" w:styleId="TOCBase">
    <w:name w:val="TOC Base"/>
    <w:rsid w:val="00A35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02E"/>
    <w:pPr>
      <w:tabs>
        <w:tab w:val="right" w:leader="dot" w:pos="9072"/>
      </w:tabs>
      <w:spacing w:before="40" w:after="40"/>
      <w:ind w:left="284"/>
    </w:pPr>
    <w:rPr>
      <w:rFonts w:ascii="Times New Roman" w:hAnsi="Times New Roman"/>
    </w:rPr>
  </w:style>
  <w:style w:type="paragraph" w:styleId="TOC1">
    <w:name w:val="toc 1"/>
    <w:basedOn w:val="TOCBase"/>
    <w:next w:val="Normal"/>
    <w:rsid w:val="00A3502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02E"/>
    <w:pPr>
      <w:spacing w:before="5040"/>
      <w:jc w:val="center"/>
    </w:pPr>
    <w:rPr>
      <w:sz w:val="48"/>
      <w:szCs w:val="72"/>
      <w:lang w:val="en-US"/>
    </w:rPr>
  </w:style>
  <w:style w:type="character" w:customStyle="1" w:styleId="TitleChar">
    <w:name w:val="Title Char"/>
    <w:basedOn w:val="DefaultParagraphFont"/>
    <w:link w:val="Title"/>
    <w:rsid w:val="00A35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02E"/>
    <w:pPr>
      <w:tabs>
        <w:tab w:val="left" w:pos="3600"/>
        <w:tab w:val="left" w:pos="3958"/>
      </w:tabs>
    </w:pPr>
  </w:style>
  <w:style w:type="paragraph" w:styleId="List">
    <w:name w:val="List"/>
    <w:basedOn w:val="BodyText"/>
    <w:next w:val="BodyText"/>
    <w:rsid w:val="00A3502E"/>
    <w:pPr>
      <w:tabs>
        <w:tab w:val="left" w:pos="340"/>
      </w:tabs>
      <w:spacing w:before="60" w:after="60"/>
      <w:ind w:left="340" w:hanging="340"/>
    </w:pPr>
  </w:style>
  <w:style w:type="paragraph" w:customStyle="1" w:styleId="Note">
    <w:name w:val="Note"/>
    <w:basedOn w:val="BodyText"/>
    <w:rsid w:val="00A35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02E"/>
    <w:pPr>
      <w:framePr w:wrap="auto" w:hAnchor="text" w:y="6049"/>
    </w:pPr>
    <w:rPr>
      <w:color w:val="000000"/>
      <w:sz w:val="40"/>
    </w:rPr>
  </w:style>
  <w:style w:type="paragraph" w:customStyle="1" w:styleId="TOCTitle">
    <w:name w:val="TOCTitle"/>
    <w:basedOn w:val="Heading1"/>
    <w:rsid w:val="00A3502E"/>
    <w:pPr>
      <w:spacing w:after="240"/>
      <w:jc w:val="center"/>
      <w:outlineLvl w:val="9"/>
    </w:pPr>
    <w:rPr>
      <w:caps/>
    </w:rPr>
  </w:style>
  <w:style w:type="paragraph" w:customStyle="1" w:styleId="Version">
    <w:name w:val="Version"/>
    <w:rsid w:val="00A35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02E"/>
    <w:pPr>
      <w:keepNext w:val="0"/>
      <w:tabs>
        <w:tab w:val="right" w:pos="4176"/>
      </w:tabs>
      <w:ind w:left="198" w:hanging="198"/>
    </w:pPr>
    <w:rPr>
      <w:rFonts w:ascii="Garamond" w:hAnsi="Garamond"/>
    </w:rPr>
  </w:style>
  <w:style w:type="paragraph" w:styleId="IndexHeading">
    <w:name w:val="index heading"/>
    <w:basedOn w:val="Normal"/>
    <w:next w:val="Index1"/>
    <w:semiHidden/>
    <w:rsid w:val="00A3502E"/>
    <w:pPr>
      <w:spacing w:before="120" w:after="120"/>
    </w:pPr>
    <w:rPr>
      <w:rFonts w:ascii="Arial" w:hAnsi="Arial"/>
      <w:b/>
      <w:color w:val="918585"/>
      <w:sz w:val="24"/>
    </w:rPr>
  </w:style>
  <w:style w:type="paragraph" w:styleId="Header">
    <w:name w:val="header"/>
    <w:basedOn w:val="Normal"/>
    <w:link w:val="HeaderChar"/>
    <w:rsid w:val="00A35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02E"/>
    <w:rPr>
      <w:rFonts w:ascii="Times New Roman" w:eastAsia="Times New Roman" w:hAnsi="Times New Roman" w:cs="Times New Roman"/>
      <w:sz w:val="16"/>
      <w:szCs w:val="20"/>
      <w:lang w:val="en-GB" w:eastAsia="en-US"/>
    </w:rPr>
  </w:style>
  <w:style w:type="paragraph" w:customStyle="1" w:styleId="Chapter">
    <w:name w:val="Chapter"/>
    <w:basedOn w:val="Normal"/>
    <w:rsid w:val="00A3502E"/>
    <w:pPr>
      <w:spacing w:before="240"/>
    </w:pPr>
    <w:rPr>
      <w:rFonts w:ascii="Times New Roman" w:hAnsi="Times New Roman"/>
      <w:smallCaps/>
      <w:spacing w:val="80"/>
      <w:sz w:val="28"/>
    </w:rPr>
  </w:style>
  <w:style w:type="paragraph" w:customStyle="1" w:styleId="InChapter">
    <w:name w:val="InChapter"/>
    <w:basedOn w:val="Heading3"/>
    <w:rsid w:val="00A3502E"/>
    <w:pPr>
      <w:spacing w:after="240"/>
      <w:outlineLvl w:val="9"/>
    </w:pPr>
    <w:rPr>
      <w:noProof/>
    </w:rPr>
  </w:style>
  <w:style w:type="paragraph" w:styleId="Index2">
    <w:name w:val="index 2"/>
    <w:basedOn w:val="Normal"/>
    <w:next w:val="Normal"/>
    <w:semiHidden/>
    <w:rsid w:val="00A3502E"/>
    <w:pPr>
      <w:tabs>
        <w:tab w:val="right" w:pos="4176"/>
      </w:tabs>
      <w:ind w:left="568" w:hanging="284"/>
    </w:pPr>
    <w:rPr>
      <w:rFonts w:ascii="Garamond" w:hAnsi="Garamond"/>
    </w:rPr>
  </w:style>
  <w:style w:type="paragraph" w:customStyle="1" w:styleId="Byline">
    <w:name w:val="Byline"/>
    <w:rsid w:val="00A35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02E"/>
    <w:pPr>
      <w:tabs>
        <w:tab w:val="clear" w:pos="3600"/>
        <w:tab w:val="clear" w:pos="3958"/>
      </w:tabs>
      <w:jc w:val="right"/>
    </w:pPr>
  </w:style>
  <w:style w:type="character" w:styleId="Emphasis">
    <w:name w:val="Emphasis"/>
    <w:basedOn w:val="DefaultParagraphFont"/>
    <w:qFormat/>
    <w:rsid w:val="00A3502E"/>
    <w:rPr>
      <w:i/>
    </w:rPr>
  </w:style>
  <w:style w:type="paragraph" w:styleId="Caption">
    <w:name w:val="caption"/>
    <w:basedOn w:val="BodyText"/>
    <w:next w:val="Normal"/>
    <w:qFormat/>
    <w:rsid w:val="00A3502E"/>
    <w:pPr>
      <w:framePr w:w="2268" w:hSpace="181" w:vSpace="181" w:wrap="around" w:vAnchor="text" w:hAnchor="page" w:x="1135" w:y="285" w:anchorLock="1"/>
    </w:pPr>
    <w:rPr>
      <w:i/>
    </w:rPr>
  </w:style>
  <w:style w:type="paragraph" w:customStyle="1" w:styleId="MiniTOCTitle">
    <w:name w:val="MiniTOCTitle"/>
    <w:basedOn w:val="Heading4"/>
    <w:rsid w:val="00A3502E"/>
    <w:pPr>
      <w:spacing w:before="240"/>
      <w:outlineLvl w:val="9"/>
    </w:pPr>
    <w:rPr>
      <w:noProof/>
      <w:sz w:val="24"/>
    </w:rPr>
  </w:style>
  <w:style w:type="paragraph" w:customStyle="1" w:styleId="MiniTOCItem">
    <w:name w:val="MiniTOCItem"/>
    <w:basedOn w:val="ListBullet"/>
    <w:rsid w:val="00A3502E"/>
    <w:pPr>
      <w:numPr>
        <w:numId w:val="0"/>
      </w:numPr>
      <w:tabs>
        <w:tab w:val="right" w:leader="dot" w:pos="6521"/>
      </w:tabs>
      <w:spacing w:before="0" w:after="0"/>
    </w:pPr>
  </w:style>
  <w:style w:type="paragraph" w:customStyle="1" w:styleId="TOFTitle">
    <w:name w:val="TOFTitle"/>
    <w:basedOn w:val="TOCTitle"/>
    <w:rsid w:val="00A3502E"/>
  </w:style>
  <w:style w:type="paragraph" w:styleId="TableofFigures">
    <w:name w:val="table of figures"/>
    <w:basedOn w:val="Normal"/>
    <w:next w:val="Normal"/>
    <w:semiHidden/>
    <w:rsid w:val="00A3502E"/>
    <w:pPr>
      <w:tabs>
        <w:tab w:val="right" w:leader="dot" w:pos="9072"/>
      </w:tabs>
      <w:ind w:left="970" w:hanging="403"/>
    </w:pPr>
    <w:rPr>
      <w:rFonts w:ascii="Times New Roman" w:hAnsi="Times New Roman"/>
      <w:b/>
    </w:rPr>
  </w:style>
  <w:style w:type="paragraph" w:styleId="ListNumber">
    <w:name w:val="List Number"/>
    <w:basedOn w:val="List"/>
    <w:rsid w:val="00A3502E"/>
    <w:pPr>
      <w:numPr>
        <w:numId w:val="11"/>
      </w:numPr>
    </w:pPr>
  </w:style>
  <w:style w:type="character" w:customStyle="1" w:styleId="WingdingSymbols">
    <w:name w:val="Wingding Symbols"/>
    <w:rsid w:val="00A3502E"/>
    <w:rPr>
      <w:rFonts w:ascii="Wingdings" w:hAnsi="Wingdings"/>
    </w:rPr>
  </w:style>
  <w:style w:type="paragraph" w:customStyle="1" w:styleId="TableHeading">
    <w:name w:val="Table Heading"/>
    <w:basedOn w:val="HeadingBase"/>
    <w:rsid w:val="00A3502E"/>
    <w:pPr>
      <w:keepLines/>
      <w:pBdr>
        <w:bottom w:val="single" w:sz="6" w:space="1" w:color="918585"/>
      </w:pBdr>
      <w:spacing w:before="240"/>
    </w:pPr>
  </w:style>
  <w:style w:type="character" w:customStyle="1" w:styleId="HotSpot">
    <w:name w:val="HotSpot"/>
    <w:rsid w:val="00A3502E"/>
    <w:rPr>
      <w:color w:val="0033CC"/>
      <w:u w:val="none"/>
    </w:rPr>
  </w:style>
  <w:style w:type="paragraph" w:customStyle="1" w:styleId="BodyTextRight">
    <w:name w:val="Body Text Right"/>
    <w:basedOn w:val="BodyText"/>
    <w:rsid w:val="00A3502E"/>
    <w:pPr>
      <w:spacing w:before="0" w:after="0"/>
      <w:jc w:val="right"/>
    </w:pPr>
  </w:style>
  <w:style w:type="paragraph" w:styleId="Index3">
    <w:name w:val="index 3"/>
    <w:basedOn w:val="ListNumber2"/>
    <w:next w:val="Normal"/>
    <w:semiHidden/>
    <w:rsid w:val="00A3502E"/>
    <w:pPr>
      <w:numPr>
        <w:numId w:val="0"/>
      </w:numPr>
      <w:tabs>
        <w:tab w:val="right" w:leader="dot" w:pos="4176"/>
      </w:tabs>
    </w:pPr>
  </w:style>
  <w:style w:type="paragraph" w:styleId="ListNumber2">
    <w:name w:val="List Number 2"/>
    <w:basedOn w:val="List2"/>
    <w:rsid w:val="00A3502E"/>
    <w:pPr>
      <w:numPr>
        <w:numId w:val="10"/>
      </w:numPr>
      <w:tabs>
        <w:tab w:val="clear" w:pos="1060"/>
      </w:tabs>
    </w:pPr>
  </w:style>
  <w:style w:type="paragraph" w:customStyle="1" w:styleId="MarginNote">
    <w:name w:val="Margin Note"/>
    <w:basedOn w:val="BodyText"/>
    <w:rsid w:val="00A35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02E"/>
    <w:rPr>
      <w:sz w:val="32"/>
    </w:rPr>
  </w:style>
  <w:style w:type="paragraph" w:customStyle="1" w:styleId="HeadingProcedure">
    <w:name w:val="Heading Procedure"/>
    <w:basedOn w:val="HeadingBase"/>
    <w:next w:val="Normal"/>
    <w:rsid w:val="00A3502E"/>
    <w:pPr>
      <w:tabs>
        <w:tab w:val="left" w:pos="0"/>
      </w:tabs>
      <w:spacing w:before="120" w:after="60"/>
    </w:pPr>
    <w:rPr>
      <w:i/>
      <w:color w:val="918585"/>
      <w:sz w:val="22"/>
    </w:rPr>
  </w:style>
  <w:style w:type="paragraph" w:customStyle="1" w:styleId="TableBodyText">
    <w:name w:val="Table Body Text"/>
    <w:basedOn w:val="BodyText"/>
    <w:rsid w:val="00A3502E"/>
    <w:pPr>
      <w:spacing w:before="60" w:after="60"/>
    </w:pPr>
  </w:style>
  <w:style w:type="paragraph" w:styleId="ListContinue">
    <w:name w:val="List Continue"/>
    <w:basedOn w:val="List"/>
    <w:rsid w:val="00A3502E"/>
    <w:pPr>
      <w:ind w:firstLine="0"/>
    </w:pPr>
  </w:style>
  <w:style w:type="paragraph" w:customStyle="1" w:styleId="ListNote">
    <w:name w:val="List Note"/>
    <w:basedOn w:val="List"/>
    <w:rsid w:val="00A3502E"/>
    <w:pPr>
      <w:pBdr>
        <w:top w:val="single" w:sz="6" w:space="2" w:color="918585"/>
        <w:bottom w:val="single" w:sz="6" w:space="2" w:color="918585"/>
      </w:pBdr>
      <w:tabs>
        <w:tab w:val="left" w:pos="1021"/>
      </w:tabs>
      <w:ind w:firstLine="0"/>
    </w:pPr>
  </w:style>
  <w:style w:type="paragraph" w:customStyle="1" w:styleId="Warning">
    <w:name w:val="Warning"/>
    <w:basedOn w:val="BodyText"/>
    <w:rsid w:val="00A3502E"/>
    <w:pPr>
      <w:shd w:val="clear" w:color="auto" w:fill="D9D9D9"/>
      <w:tabs>
        <w:tab w:val="left" w:pos="992"/>
      </w:tabs>
      <w:ind w:left="119" w:right="119"/>
    </w:pPr>
    <w:rPr>
      <w:sz w:val="20"/>
    </w:rPr>
  </w:style>
  <w:style w:type="paragraph" w:customStyle="1" w:styleId="MarginIcons">
    <w:name w:val="Margin Icons"/>
    <w:basedOn w:val="BodyText"/>
    <w:rsid w:val="00A35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02E"/>
    <w:rPr>
      <w:rFonts w:ascii="Courier New" w:hAnsi="Courier New"/>
    </w:rPr>
  </w:style>
  <w:style w:type="paragraph" w:customStyle="1" w:styleId="NoteBullet">
    <w:name w:val="Note Bullet"/>
    <w:basedOn w:val="Note"/>
    <w:rsid w:val="00A3502E"/>
    <w:pPr>
      <w:tabs>
        <w:tab w:val="clear" w:pos="680"/>
      </w:tabs>
      <w:spacing w:before="60" w:after="60"/>
    </w:pPr>
  </w:style>
  <w:style w:type="paragraph" w:customStyle="1" w:styleId="SubHeading2">
    <w:name w:val="SubHeading2"/>
    <w:basedOn w:val="HeadingBase"/>
    <w:rsid w:val="00A3502E"/>
    <w:pPr>
      <w:spacing w:before="240" w:after="60"/>
    </w:pPr>
    <w:rPr>
      <w:sz w:val="20"/>
    </w:rPr>
  </w:style>
  <w:style w:type="paragraph" w:customStyle="1" w:styleId="SubHeading1">
    <w:name w:val="SubHeading1"/>
    <w:basedOn w:val="HeadingBase"/>
    <w:rsid w:val="00A3502E"/>
    <w:pPr>
      <w:spacing w:before="240" w:after="60"/>
    </w:pPr>
    <w:rPr>
      <w:color w:val="918585"/>
      <w:sz w:val="22"/>
    </w:rPr>
  </w:style>
  <w:style w:type="paragraph" w:customStyle="1" w:styleId="SideHeading">
    <w:name w:val="Side Heading"/>
    <w:basedOn w:val="HeadingBase"/>
    <w:rsid w:val="00A35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02E"/>
    <w:pPr>
      <w:numPr>
        <w:numId w:val="12"/>
      </w:numPr>
    </w:pPr>
  </w:style>
  <w:style w:type="paragraph" w:styleId="PlainText">
    <w:name w:val="Plain Text"/>
    <w:basedOn w:val="Normal"/>
    <w:link w:val="PlainTextChar"/>
    <w:rsid w:val="00A3502E"/>
    <w:rPr>
      <w:sz w:val="20"/>
    </w:rPr>
  </w:style>
  <w:style w:type="character" w:customStyle="1" w:styleId="PlainTextChar">
    <w:name w:val="Plain Text Char"/>
    <w:basedOn w:val="DefaultParagraphFont"/>
    <w:link w:val="PlainText"/>
    <w:rsid w:val="00A3502E"/>
    <w:rPr>
      <w:rFonts w:ascii="Courier New" w:eastAsia="Times New Roman" w:hAnsi="Courier New" w:cs="Times New Roman"/>
      <w:sz w:val="20"/>
      <w:szCs w:val="20"/>
      <w:lang w:eastAsia="en-US"/>
    </w:rPr>
  </w:style>
  <w:style w:type="character" w:customStyle="1" w:styleId="MenuOption">
    <w:name w:val="Menu Option"/>
    <w:basedOn w:val="DefaultParagraphFont"/>
    <w:rsid w:val="00A3502E"/>
    <w:rPr>
      <w:b/>
      <w:smallCaps/>
    </w:rPr>
  </w:style>
  <w:style w:type="paragraph" w:customStyle="1" w:styleId="TableListNumber">
    <w:name w:val="Table List Number"/>
    <w:basedOn w:val="ListNumber"/>
    <w:rsid w:val="00A3502E"/>
    <w:pPr>
      <w:numPr>
        <w:numId w:val="0"/>
      </w:numPr>
    </w:pPr>
  </w:style>
  <w:style w:type="paragraph" w:styleId="TOC4">
    <w:name w:val="toc 4"/>
    <w:basedOn w:val="TOCBase"/>
    <w:next w:val="Normal"/>
    <w:semiHidden/>
    <w:rsid w:val="00A3502E"/>
    <w:pPr>
      <w:tabs>
        <w:tab w:val="right" w:leader="dot" w:pos="9071"/>
      </w:tabs>
      <w:ind w:left="1701"/>
    </w:pPr>
  </w:style>
  <w:style w:type="paragraph" w:customStyle="1" w:styleId="ListAlpha">
    <w:name w:val="List Alpha"/>
    <w:basedOn w:val="List"/>
    <w:rsid w:val="00A3502E"/>
    <w:pPr>
      <w:numPr>
        <w:numId w:val="9"/>
      </w:numPr>
    </w:pPr>
  </w:style>
  <w:style w:type="paragraph" w:customStyle="1" w:styleId="ListAlpha2">
    <w:name w:val="List Alpha 2"/>
    <w:basedOn w:val="List2"/>
    <w:rsid w:val="00A3502E"/>
    <w:pPr>
      <w:numPr>
        <w:numId w:val="8"/>
      </w:numPr>
    </w:pPr>
  </w:style>
  <w:style w:type="paragraph" w:styleId="List2">
    <w:name w:val="List 2"/>
    <w:basedOn w:val="BodyText"/>
    <w:rsid w:val="00A3502E"/>
    <w:pPr>
      <w:tabs>
        <w:tab w:val="left" w:pos="680"/>
      </w:tabs>
      <w:spacing w:before="60" w:after="60"/>
      <w:ind w:left="680" w:hanging="340"/>
    </w:pPr>
  </w:style>
  <w:style w:type="paragraph" w:styleId="List3">
    <w:name w:val="List 3"/>
    <w:basedOn w:val="BodyText"/>
    <w:rsid w:val="00A3502E"/>
    <w:pPr>
      <w:tabs>
        <w:tab w:val="left" w:pos="1021"/>
      </w:tabs>
      <w:spacing w:before="60" w:after="60"/>
      <w:ind w:left="1020" w:hanging="340"/>
    </w:pPr>
  </w:style>
  <w:style w:type="paragraph" w:styleId="List4">
    <w:name w:val="List 4"/>
    <w:basedOn w:val="BodyText"/>
    <w:rsid w:val="00A3502E"/>
    <w:pPr>
      <w:tabs>
        <w:tab w:val="left" w:pos="1361"/>
      </w:tabs>
      <w:spacing w:before="60" w:after="60"/>
      <w:ind w:left="1361" w:hanging="340"/>
    </w:pPr>
  </w:style>
  <w:style w:type="paragraph" w:styleId="List5">
    <w:name w:val="List 5"/>
    <w:basedOn w:val="BodyText"/>
    <w:rsid w:val="00A3502E"/>
    <w:pPr>
      <w:tabs>
        <w:tab w:val="left" w:pos="1701"/>
      </w:tabs>
      <w:spacing w:before="60" w:after="60"/>
      <w:ind w:left="1701" w:hanging="340"/>
    </w:pPr>
  </w:style>
  <w:style w:type="paragraph" w:styleId="ListBullet3">
    <w:name w:val="List Bullet 3"/>
    <w:basedOn w:val="List3"/>
    <w:rsid w:val="00A3502E"/>
    <w:pPr>
      <w:numPr>
        <w:numId w:val="15"/>
      </w:numPr>
      <w:tabs>
        <w:tab w:val="clear" w:pos="1021"/>
      </w:tabs>
      <w:ind w:left="1037" w:hanging="357"/>
    </w:pPr>
  </w:style>
  <w:style w:type="paragraph" w:styleId="ListBullet4">
    <w:name w:val="List Bullet 4"/>
    <w:basedOn w:val="List4"/>
    <w:rsid w:val="00A3502E"/>
    <w:pPr>
      <w:numPr>
        <w:numId w:val="3"/>
      </w:numPr>
    </w:pPr>
  </w:style>
  <w:style w:type="paragraph" w:styleId="ListBullet5">
    <w:name w:val="List Bullet 5"/>
    <w:basedOn w:val="List5"/>
    <w:rsid w:val="00A3502E"/>
    <w:pPr>
      <w:numPr>
        <w:numId w:val="4"/>
      </w:numPr>
    </w:pPr>
  </w:style>
  <w:style w:type="paragraph" w:styleId="ListContinue2">
    <w:name w:val="List Continue 2"/>
    <w:basedOn w:val="List2"/>
    <w:rsid w:val="00A3502E"/>
    <w:pPr>
      <w:ind w:firstLine="0"/>
    </w:pPr>
  </w:style>
  <w:style w:type="paragraph" w:styleId="ListContinue3">
    <w:name w:val="List Continue 3"/>
    <w:basedOn w:val="List3"/>
    <w:rsid w:val="00A3502E"/>
    <w:pPr>
      <w:ind w:left="1021" w:firstLine="0"/>
    </w:pPr>
  </w:style>
  <w:style w:type="paragraph" w:styleId="ListContinue4">
    <w:name w:val="List Continue 4"/>
    <w:basedOn w:val="List4"/>
    <w:rsid w:val="00A3502E"/>
    <w:pPr>
      <w:ind w:firstLine="0"/>
    </w:pPr>
  </w:style>
  <w:style w:type="paragraph" w:styleId="ListContinue5">
    <w:name w:val="List Continue 5"/>
    <w:basedOn w:val="List5"/>
    <w:rsid w:val="00A3502E"/>
    <w:pPr>
      <w:ind w:firstLine="0"/>
    </w:pPr>
  </w:style>
  <w:style w:type="paragraph" w:styleId="ListNumber3">
    <w:name w:val="List Number 3"/>
    <w:basedOn w:val="List3"/>
    <w:rsid w:val="00A3502E"/>
    <w:pPr>
      <w:numPr>
        <w:numId w:val="5"/>
      </w:numPr>
    </w:pPr>
  </w:style>
  <w:style w:type="paragraph" w:styleId="ListNumber4">
    <w:name w:val="List Number 4"/>
    <w:basedOn w:val="List4"/>
    <w:rsid w:val="00A3502E"/>
    <w:pPr>
      <w:numPr>
        <w:numId w:val="6"/>
      </w:numPr>
    </w:pPr>
  </w:style>
  <w:style w:type="paragraph" w:styleId="ListNumber5">
    <w:name w:val="List Number 5"/>
    <w:basedOn w:val="List5"/>
    <w:rsid w:val="00A3502E"/>
    <w:pPr>
      <w:numPr>
        <w:numId w:val="7"/>
      </w:numPr>
    </w:pPr>
  </w:style>
  <w:style w:type="paragraph" w:styleId="BlockText">
    <w:name w:val="Block Text"/>
    <w:basedOn w:val="Normal"/>
    <w:rsid w:val="00A3502E"/>
    <w:pPr>
      <w:spacing w:after="120"/>
      <w:ind w:left="1440" w:right="1440"/>
    </w:pPr>
  </w:style>
  <w:style w:type="character" w:customStyle="1" w:styleId="Subscript">
    <w:name w:val="Subscript"/>
    <w:basedOn w:val="DefaultParagraphFont"/>
    <w:rsid w:val="00A3502E"/>
    <w:rPr>
      <w:sz w:val="16"/>
      <w:vertAlign w:val="subscript"/>
    </w:rPr>
  </w:style>
  <w:style w:type="character" w:customStyle="1" w:styleId="Superscript">
    <w:name w:val="Superscript"/>
    <w:basedOn w:val="DefaultParagraphFont"/>
    <w:rsid w:val="00A3502E"/>
    <w:rPr>
      <w:sz w:val="16"/>
      <w:vertAlign w:val="superscript"/>
    </w:rPr>
  </w:style>
  <w:style w:type="character" w:customStyle="1" w:styleId="Symbols">
    <w:name w:val="Symbols"/>
    <w:basedOn w:val="DefaultParagraphFont"/>
    <w:rsid w:val="00A3502E"/>
    <w:rPr>
      <w:rFonts w:ascii="Symbol" w:hAnsi="Symbol"/>
    </w:rPr>
  </w:style>
  <w:style w:type="character" w:customStyle="1" w:styleId="MenuOptions">
    <w:name w:val="Menu Options"/>
    <w:basedOn w:val="DefaultParagraphFont"/>
    <w:rsid w:val="00A3502E"/>
    <w:rPr>
      <w:rFonts w:ascii="Arial Narrow" w:hAnsi="Arial Narrow"/>
      <w:smallCaps/>
    </w:rPr>
  </w:style>
  <w:style w:type="character" w:customStyle="1" w:styleId="Buttons">
    <w:name w:val="Buttons"/>
    <w:basedOn w:val="DefaultParagraphFont"/>
    <w:rsid w:val="00A3502E"/>
    <w:rPr>
      <w:b/>
    </w:rPr>
  </w:style>
  <w:style w:type="character" w:customStyle="1" w:styleId="Underlined">
    <w:name w:val="Underlined"/>
    <w:basedOn w:val="DefaultParagraphFont"/>
    <w:rsid w:val="00A3502E"/>
    <w:rPr>
      <w:u w:val="single"/>
    </w:rPr>
  </w:style>
  <w:style w:type="paragraph" w:customStyle="1" w:styleId="TableBodyTextRight">
    <w:name w:val="Table Body Text Right"/>
    <w:basedOn w:val="TableBodyText"/>
    <w:rsid w:val="00A3502E"/>
    <w:pPr>
      <w:widowControl w:val="0"/>
      <w:autoSpaceDE w:val="0"/>
      <w:autoSpaceDN w:val="0"/>
      <w:adjustRightInd w:val="0"/>
      <w:jc w:val="right"/>
    </w:pPr>
    <w:rPr>
      <w:rFonts w:cs="Arial"/>
      <w:szCs w:val="18"/>
    </w:rPr>
  </w:style>
  <w:style w:type="paragraph" w:customStyle="1" w:styleId="CopyrightText">
    <w:name w:val="Copyright Text"/>
    <w:basedOn w:val="BodyText"/>
    <w:rsid w:val="00A3502E"/>
    <w:rPr>
      <w:sz w:val="18"/>
    </w:rPr>
  </w:style>
  <w:style w:type="paragraph" w:customStyle="1" w:styleId="BodySmallRight">
    <w:name w:val="Body Small Right"/>
    <w:basedOn w:val="BodyTextRight"/>
    <w:rsid w:val="00A3502E"/>
    <w:rPr>
      <w:sz w:val="18"/>
      <w:szCs w:val="18"/>
    </w:rPr>
  </w:style>
  <w:style w:type="paragraph" w:customStyle="1" w:styleId="MarginEdition">
    <w:name w:val="Margin Edition"/>
    <w:basedOn w:val="MarginNote"/>
    <w:rsid w:val="00A3502E"/>
    <w:pPr>
      <w:spacing w:before="0" w:after="0"/>
    </w:pPr>
    <w:rPr>
      <w:rFonts w:ascii="Times New Roman" w:hAnsi="Times New Roman"/>
      <w:color w:val="999999"/>
    </w:rPr>
  </w:style>
  <w:style w:type="paragraph" w:customStyle="1" w:styleId="Spacer">
    <w:name w:val="Spacer"/>
    <w:basedOn w:val="Normal"/>
    <w:rsid w:val="00A3502E"/>
    <w:rPr>
      <w:sz w:val="2"/>
      <w:szCs w:val="2"/>
    </w:rPr>
  </w:style>
  <w:style w:type="character" w:customStyle="1" w:styleId="Small">
    <w:name w:val="Small"/>
    <w:basedOn w:val="DefaultParagraphFont"/>
    <w:rsid w:val="00A3502E"/>
    <w:rPr>
      <w:sz w:val="16"/>
    </w:rPr>
  </w:style>
  <w:style w:type="paragraph" w:customStyle="1" w:styleId="WideTable">
    <w:name w:val="Wide Table"/>
    <w:basedOn w:val="Normal"/>
    <w:rsid w:val="00A3502E"/>
    <w:pPr>
      <w:ind w:left="-1418"/>
    </w:pPr>
    <w:rPr>
      <w:sz w:val="2"/>
      <w:szCs w:val="2"/>
    </w:rPr>
  </w:style>
  <w:style w:type="character" w:styleId="PageNumber">
    <w:name w:val="page number"/>
    <w:basedOn w:val="DefaultParagraphFont"/>
    <w:rsid w:val="00A3502E"/>
  </w:style>
  <w:style w:type="paragraph" w:styleId="Quote">
    <w:name w:val="Quote"/>
    <w:basedOn w:val="Heading1"/>
    <w:link w:val="QuoteChar"/>
    <w:qFormat/>
    <w:rsid w:val="00A3502E"/>
    <w:rPr>
      <w:b w:val="0"/>
      <w:sz w:val="72"/>
      <w:szCs w:val="72"/>
      <w:lang w:val="en-NZ"/>
    </w:rPr>
  </w:style>
  <w:style w:type="character" w:customStyle="1" w:styleId="QuoteChar">
    <w:name w:val="Quote Char"/>
    <w:basedOn w:val="DefaultParagraphFont"/>
    <w:link w:val="Quote"/>
    <w:rsid w:val="00A35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02E"/>
    <w:pPr>
      <w:pageBreakBefore/>
    </w:pPr>
  </w:style>
  <w:style w:type="paragraph" w:customStyle="1" w:styleId="Border">
    <w:name w:val="Border"/>
    <w:basedOn w:val="Normal"/>
    <w:qFormat/>
    <w:rsid w:val="00A35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02E"/>
    <w:rPr>
      <w:b/>
      <w:bCs/>
      <w:i/>
      <w:iCs/>
      <w:color w:val="auto"/>
    </w:rPr>
  </w:style>
  <w:style w:type="paragraph" w:styleId="IntenseQuote">
    <w:name w:val="Intense Quote"/>
    <w:basedOn w:val="Normal"/>
    <w:next w:val="Normal"/>
    <w:link w:val="IntenseQuoteChar"/>
    <w:uiPriority w:val="30"/>
    <w:qFormat/>
    <w:rsid w:val="00A35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02E"/>
    <w:rPr>
      <w:smallCaps/>
      <w:color w:val="auto"/>
      <w:u w:val="single"/>
    </w:rPr>
  </w:style>
  <w:style w:type="character" w:styleId="IntenseReference">
    <w:name w:val="Intense Reference"/>
    <w:basedOn w:val="DefaultParagraphFont"/>
    <w:uiPriority w:val="32"/>
    <w:qFormat/>
    <w:rsid w:val="00A3502E"/>
    <w:rPr>
      <w:b/>
      <w:bCs/>
      <w:smallCaps/>
      <w:color w:val="auto"/>
      <w:spacing w:val="5"/>
      <w:u w:val="single"/>
    </w:rPr>
  </w:style>
  <w:style w:type="paragraph" w:customStyle="1" w:styleId="2ColumnHeading">
    <w:name w:val="2Column Heading"/>
    <w:basedOn w:val="BodyText"/>
    <w:qFormat/>
    <w:rsid w:val="00A3502E"/>
    <w:pPr>
      <w:spacing w:after="60"/>
      <w:ind w:left="-2268"/>
    </w:pPr>
    <w:rPr>
      <w:b/>
    </w:rPr>
  </w:style>
  <w:style w:type="paragraph" w:customStyle="1" w:styleId="Heading1TOC">
    <w:name w:val="Heading1 TOC"/>
    <w:basedOn w:val="Normal"/>
    <w:qFormat/>
    <w:rsid w:val="00A3502E"/>
    <w:pPr>
      <w:spacing w:before="240" w:after="120"/>
    </w:pPr>
    <w:rPr>
      <w:rFonts w:ascii="Times New Roman" w:hAnsi="Times New Roman"/>
      <w:b/>
      <w:sz w:val="32"/>
    </w:rPr>
  </w:style>
  <w:style w:type="paragraph" w:customStyle="1" w:styleId="Heading2TOC">
    <w:name w:val="Heading2 TOC"/>
    <w:basedOn w:val="Normal"/>
    <w:qFormat/>
    <w:rsid w:val="00A3502E"/>
    <w:pPr>
      <w:spacing w:before="240" w:after="60"/>
    </w:pPr>
    <w:rPr>
      <w:rFonts w:ascii="Times New Roman" w:hAnsi="Times New Roman"/>
      <w:b/>
      <w:sz w:val="28"/>
    </w:rPr>
  </w:style>
  <w:style w:type="character" w:customStyle="1" w:styleId="Underline">
    <w:name w:val="Underline"/>
    <w:basedOn w:val="DefaultParagraphFont"/>
    <w:qFormat/>
    <w:rsid w:val="00A3502E"/>
    <w:rPr>
      <w:u w:val="single"/>
    </w:rPr>
  </w:style>
  <w:style w:type="character" w:customStyle="1" w:styleId="BoldandItalics">
    <w:name w:val="Bold and Italics"/>
    <w:qFormat/>
    <w:rsid w:val="00A3502E"/>
    <w:rPr>
      <w:b/>
      <w:i/>
      <w:u w:val="none"/>
    </w:rPr>
  </w:style>
  <w:style w:type="paragraph" w:styleId="BalloonText">
    <w:name w:val="Balloon Text"/>
    <w:basedOn w:val="Normal"/>
    <w:link w:val="BalloonTextChar"/>
    <w:rsid w:val="00A3502E"/>
    <w:rPr>
      <w:rFonts w:ascii="Tahoma" w:hAnsi="Tahoma" w:cs="Tahoma"/>
      <w:sz w:val="16"/>
      <w:szCs w:val="16"/>
    </w:rPr>
  </w:style>
  <w:style w:type="character" w:customStyle="1" w:styleId="BalloonTextChar">
    <w:name w:val="Balloon Text Char"/>
    <w:basedOn w:val="DefaultParagraphFont"/>
    <w:link w:val="BalloonText"/>
    <w:rsid w:val="00A35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0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02E"/>
    <w:rPr>
      <w:b/>
      <w:color w:val="660033"/>
      <w:spacing w:val="0"/>
    </w:rPr>
  </w:style>
  <w:style w:type="paragraph" w:customStyle="1" w:styleId="Nameditemlist">
    <w:name w:val="Named item list"/>
    <w:basedOn w:val="BodyText"/>
    <w:qFormat/>
    <w:rsid w:val="00A350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2123</Words>
  <Characters>13041</Characters>
  <Application>Microsoft Office Word</Application>
  <DocSecurity>0</DocSecurity>
  <Lines>455</Lines>
  <Paragraphs>195</Paragraphs>
  <ScaleCrop>false</ScaleCrop>
  <Company>Author-it Software Corporation Ltd.</Company>
  <LinksUpToDate>false</LinksUpToDate>
  <CharactersWithSpaces>14998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UEPOPS232B Transport plant and equipment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2012-07-25T17:07:00Z</dcterms:created>
  <dcterms:modified xsi:type="dcterms:W3CDTF">2012-07-25T17:07:00Z</dcterms:modified>
</cp:coreProperties>
</file>