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E70" w:rsidP="00F54E70">
      <w:pPr>
        <w:pStyle w:val="Title"/>
      </w:pPr>
      <w:bookmarkStart w:id="0" w:name="_GoBack"/>
      <w:bookmarkEnd w:id="0"/>
      <w:r>
        <w:fldChar w:fldCharType="begin"/>
      </w:r>
      <w:r>
        <w:instrText xml:space="preserve"> TITLE   \* MERGEFORMAT </w:instrText>
      </w:r>
      <w:r>
        <w:fldChar w:fldCharType="separate"/>
      </w:r>
      <w:r>
        <w:t>UEPOPS211B Clean plant and equipment</w:t>
      </w:r>
      <w:r>
        <w:fldChar w:fldCharType="end"/>
      </w:r>
    </w:p>
    <w:p w:rsidR="00F54E70" w:rsidP="00F54E70">
      <w:pPr>
        <w:pStyle w:val="Version"/>
        <w:sectPr w:rsidSect="00075A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A15" w:rsidP="00075A15">
      <w:pPr>
        <w:pStyle w:val="SuperHeading"/>
      </w:pPr>
      <w:r w:rsidRPr="00075A15">
        <w:t>UEPOPS211B Clean plant and equipment</w:t>
      </w:r>
    </w:p>
    <w:p w:rsidR="00000000" w:rsidRPr="00075A15" w:rsidP="00075A15">
      <w:pPr>
        <w:pStyle w:val="Heading1"/>
      </w:pPr>
      <w:bookmarkStart w:id="1" w:name="O_471018"/>
      <w:bookmarkEnd w:id="1"/>
      <w:r w:rsidRPr="00075A15">
        <w:t>Modification History</w:t>
      </w:r>
    </w:p>
    <w:p w:rsidR="00000000" w:rsidRPr="00075A15" w:rsidP="00075A15">
      <w:pPr>
        <w:pStyle w:val="BodyText"/>
      </w:pPr>
      <w:r w:rsidRPr="00075A15">
        <w:t>Not applicable.</w:t>
      </w:r>
    </w:p>
    <w:p w:rsidR="00000000" w:rsidRPr="00075A15" w:rsidP="00075A15">
      <w:pPr>
        <w:pStyle w:val="AllowPageBreak"/>
      </w:pPr>
    </w:p>
    <w:p w:rsidR="00000000" w:rsidRPr="00075A15" w:rsidP="00075A15">
      <w:pPr>
        <w:pStyle w:val="Heading1"/>
      </w:pPr>
      <w:bookmarkStart w:id="2" w:name="O_471016"/>
      <w:bookmarkEnd w:id="2"/>
      <w:r w:rsidRPr="00075A15">
        <w:t>Unit Descriptor</w:t>
      </w:r>
    </w:p>
    <w:tbl>
      <w:tblPr>
        <w:tblW w:w="0" w:type="auto"/>
        <w:tblLayout w:type="fixed"/>
        <w:tblCellMar>
          <w:left w:w="62" w:type="dxa"/>
          <w:right w:w="62" w:type="dxa"/>
        </w:tblCellMar>
        <w:tblLook w:val="0000"/>
      </w:tblPr>
      <w:tblGrid>
        <w:gridCol w:w="2700"/>
        <w:gridCol w:w="5760"/>
      </w:tblGrid>
      <w:tr w:rsidTr="00F54E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1)</w:t>
            </w:r>
            <w:r w:rsidRPr="00075A15">
              <w:t xml:space="preserve"> </w:t>
            </w:r>
            <w:r w:rsidRPr="00075A15">
              <w:rPr>
                <w:rStyle w:val="SpecialBold"/>
              </w:rPr>
              <w:t>Scope:</w:t>
            </w:r>
          </w:p>
        </w:tc>
      </w:tr>
      <w:tr w:rsidTr="00F54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5A1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1.1) Descriptor</w:t>
            </w:r>
          </w:p>
        </w:tc>
      </w:tr>
      <w:tr w:rsidTr="00F54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t>This unit deals with the skills and knowledge required to clean industrial plant, machinery and surrounds associated with Electricity Generation stations and related surroundings that may include the appropriate removal of excess or oil based soil.</w:t>
            </w:r>
          </w:p>
        </w:tc>
      </w:tr>
    </w:tbl>
    <w:p w:rsidR="00000000" w:rsidRPr="00075A15" w:rsidP="00075A15">
      <w:pPr>
        <w:pStyle w:val="BodyText"/>
      </w:pPr>
    </w:p>
    <w:p w:rsidR="00000000" w:rsidRPr="00075A15" w:rsidP="00075A15">
      <w:pPr>
        <w:pStyle w:val="AllowPageBreak"/>
      </w:pPr>
    </w:p>
    <w:p w:rsidR="00000000" w:rsidRPr="00075A15" w:rsidP="00075A15">
      <w:pPr>
        <w:pStyle w:val="Heading1"/>
      </w:pPr>
      <w:bookmarkStart w:id="3" w:name="O_471005"/>
      <w:bookmarkEnd w:id="3"/>
      <w:r w:rsidRPr="00075A15">
        <w:t>Application of the Unit</w:t>
      </w:r>
    </w:p>
    <w:tbl>
      <w:tblPr>
        <w:tblW w:w="0" w:type="auto"/>
        <w:tblLayout w:type="fixed"/>
        <w:tblCellMar>
          <w:left w:w="62" w:type="dxa"/>
          <w:right w:w="62" w:type="dxa"/>
        </w:tblCellMar>
        <w:tblLook w:val="0000"/>
      </w:tblPr>
      <w:tblGrid>
        <w:gridCol w:w="2672"/>
        <w:gridCol w:w="5699"/>
      </w:tblGrid>
      <w:tr w:rsidTr="00F54E7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2)</w:t>
            </w:r>
          </w:p>
        </w:tc>
      </w:tr>
      <w:tr w:rsidTr="00F54E7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t>This unit is intended to augment formally acquired competencies. It is suitable for employment-based programs under an approved contract of training.</w:t>
            </w:r>
          </w:p>
        </w:tc>
      </w:tr>
    </w:tbl>
    <w:p w:rsidR="00000000" w:rsidRPr="00075A15" w:rsidP="00075A15">
      <w:pPr>
        <w:pStyle w:val="BodyText"/>
      </w:pPr>
    </w:p>
    <w:p w:rsidR="00000000" w:rsidRPr="00075A15" w:rsidP="00075A15">
      <w:pPr>
        <w:pStyle w:val="AllowPageBreak"/>
      </w:pPr>
    </w:p>
    <w:p w:rsidR="00000000" w:rsidRPr="00075A15" w:rsidP="00075A15">
      <w:pPr>
        <w:pStyle w:val="Heading1"/>
      </w:pPr>
      <w:bookmarkStart w:id="4" w:name="O_471012"/>
      <w:bookmarkEnd w:id="4"/>
      <w:r w:rsidRPr="00075A15">
        <w:t>Licensing/Regulatory Information</w:t>
      </w:r>
    </w:p>
    <w:tbl>
      <w:tblPr>
        <w:tblW w:w="0" w:type="auto"/>
        <w:tblLayout w:type="fixed"/>
        <w:tblCellMar>
          <w:left w:w="62" w:type="dxa"/>
          <w:right w:w="62" w:type="dxa"/>
        </w:tblCellMar>
        <w:tblLook w:val="0000"/>
      </w:tblPr>
      <w:tblGrid>
        <w:gridCol w:w="2700"/>
        <w:gridCol w:w="5760"/>
      </w:tblGrid>
      <w:tr w:rsidTr="00F54E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 xml:space="preserve">3) </w:t>
            </w:r>
          </w:p>
        </w:tc>
      </w:tr>
      <w:tr w:rsidTr="00F54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t>The skills and knowledge described in this unit do not require a licence to practise in the workplace. However, practice in this unit is subject to regulations directly related to Occupational Heal</w:t>
            </w:r>
            <w:r w:rsidRPr="00075A15">
              <w:t>th and Safety and where applicable contracts of training such as apprenticeships and the like.</w:t>
            </w:r>
          </w:p>
        </w:tc>
      </w:tr>
    </w:tbl>
    <w:p w:rsidR="00000000" w:rsidRPr="00075A15" w:rsidP="00075A15">
      <w:pPr>
        <w:pStyle w:val="BodyText"/>
      </w:pPr>
    </w:p>
    <w:p w:rsidR="00000000" w:rsidRPr="00075A15" w:rsidP="00075A15">
      <w:pPr>
        <w:pStyle w:val="AllowPageBreak"/>
      </w:pPr>
    </w:p>
    <w:p w:rsidR="00000000" w:rsidRPr="00075A15" w:rsidP="00075A15">
      <w:pPr>
        <w:pStyle w:val="Heading1"/>
      </w:pPr>
      <w:bookmarkStart w:id="5" w:name="O_471013"/>
      <w:bookmarkEnd w:id="5"/>
      <w:r w:rsidRPr="00075A15">
        <w:t>Pre-Requisites</w:t>
      </w:r>
    </w:p>
    <w:tbl>
      <w:tblPr>
        <w:tblW w:w="0" w:type="auto"/>
        <w:tblLayout w:type="fixed"/>
        <w:tblCellMar>
          <w:left w:w="62" w:type="dxa"/>
          <w:right w:w="62" w:type="dxa"/>
        </w:tblCellMar>
        <w:tblLook w:val="0000"/>
      </w:tblPr>
      <w:tblGrid>
        <w:gridCol w:w="2700"/>
        <w:gridCol w:w="5764"/>
      </w:tblGrid>
      <w:tr w:rsidTr="00F54E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 xml:space="preserve">4) </w:t>
            </w:r>
          </w:p>
        </w:tc>
      </w:tr>
      <w:tr w:rsidTr="00F54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4.1)</w:t>
            </w:r>
          </w:p>
        </w:tc>
      </w:tr>
      <w:tr w:rsidTr="00F54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t>Granting of competency in this unit shall be made only after competency in the following unit(s) has/have been confirmed.</w:t>
            </w:r>
          </w:p>
          <w:p w:rsidR="00000000" w:rsidRPr="00075A15" w:rsidP="00075A15">
            <w:pPr>
              <w:pStyle w:val="BodyText"/>
            </w:pPr>
            <w:r w:rsidRPr="00075A15">
              <w:t>Where pre-requisite pathways have been identified. All competencies in the Common Unit Group must be have been completed.</w:t>
            </w:r>
          </w:p>
          <w:p w:rsidR="00000000" w:rsidRPr="00075A15" w:rsidP="00075A15">
            <w:pPr>
              <w:pStyle w:val="BodyText"/>
            </w:pPr>
            <w:r w:rsidRPr="00075A15">
              <w:t>There are no</w:t>
            </w:r>
            <w:r w:rsidRPr="00075A15">
              <w:t xml:space="preserve"> pre-requisite units.</w:t>
            </w:r>
          </w:p>
        </w:tc>
      </w:tr>
    </w:tbl>
    <w:p w:rsidR="00000000" w:rsidRPr="00075A15" w:rsidP="00075A1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54E7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 xml:space="preserve">4.2) </w:t>
            </w:r>
          </w:p>
        </w:tc>
      </w:tr>
      <w:tr w:rsidTr="00F54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 xml:space="preserve">Participants are best equipped to achieve this unit if they have reading, writing and numeracy skills indicated by the following levels. A </w:t>
            </w:r>
            <w:r w:rsidRPr="00075A15">
              <w:t>description of what each level entails is provided in Section 2.3.1 Language, Literacy and Numeracy.</w:t>
            </w:r>
          </w:p>
        </w:tc>
      </w:tr>
      <w:tr w:rsidTr="00F54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Reading</w:t>
            </w:r>
          </w:p>
        </w:tc>
        <w:tc>
          <w:tcPr>
            <w:tcW w:w="81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2</w:t>
            </w:r>
          </w:p>
        </w:tc>
        <w:tc>
          <w:tcPr>
            <w:tcW w:w="99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Writing</w:t>
            </w: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2</w:t>
            </w:r>
          </w:p>
        </w:tc>
        <w:tc>
          <w:tcPr>
            <w:tcW w:w="12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Numeracy</w:t>
            </w:r>
          </w:p>
        </w:tc>
        <w:tc>
          <w:tcPr>
            <w:tcW w:w="72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t>2</w:t>
            </w:r>
          </w:p>
        </w:tc>
      </w:tr>
    </w:tbl>
    <w:p w:rsidR="00000000" w:rsidRPr="00075A15" w:rsidP="00075A15">
      <w:pPr>
        <w:pStyle w:val="BodyText"/>
      </w:pPr>
    </w:p>
    <w:p w:rsidR="00000000" w:rsidRPr="00075A15" w:rsidP="00075A15">
      <w:pPr>
        <w:pStyle w:val="AllowPageBreak"/>
      </w:pPr>
    </w:p>
    <w:p w:rsidR="00000000" w:rsidRPr="00075A15" w:rsidP="00075A15">
      <w:pPr>
        <w:pStyle w:val="Heading1"/>
      </w:pPr>
      <w:bookmarkStart w:id="6" w:name="O_471009"/>
      <w:bookmarkEnd w:id="6"/>
      <w:r w:rsidRPr="00075A15">
        <w:t>Employability Skills Information</w:t>
      </w:r>
    </w:p>
    <w:tbl>
      <w:tblPr>
        <w:tblW w:w="0" w:type="auto"/>
        <w:tblLayout w:type="fixed"/>
        <w:tblCellMar>
          <w:left w:w="62" w:type="dxa"/>
          <w:right w:w="62" w:type="dxa"/>
        </w:tblCellMar>
        <w:tblLook w:val="0000"/>
      </w:tblPr>
      <w:tblGrid>
        <w:gridCol w:w="2700"/>
        <w:gridCol w:w="5760"/>
      </w:tblGrid>
      <w:tr w:rsidTr="00F54E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 xml:space="preserve">5) </w:t>
            </w:r>
          </w:p>
        </w:tc>
      </w:tr>
      <w:tr w:rsidTr="00F54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t>The required outcomes described in</w:t>
            </w:r>
            <w:r w:rsidRPr="00075A15">
              <w:t xml:space="preserve">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075A15" w:rsidP="00075A15">
      <w:pPr>
        <w:pStyle w:val="BodyText"/>
      </w:pPr>
    </w:p>
    <w:p w:rsidR="00000000" w:rsidRPr="00075A15" w:rsidP="00075A15">
      <w:pPr>
        <w:pStyle w:val="AllowPageBreak"/>
      </w:pPr>
    </w:p>
    <w:p w:rsidR="00000000" w:rsidRPr="00075A15" w:rsidP="00075A15">
      <w:pPr>
        <w:pStyle w:val="Heading1"/>
      </w:pPr>
      <w:bookmarkStart w:id="7" w:name="O_471008"/>
      <w:bookmarkEnd w:id="7"/>
      <w:r w:rsidRPr="00075A15">
        <w:t>E</w:t>
      </w:r>
      <w:r w:rsidRPr="00075A15">
        <w:t>lements and Performance Criteria Pre-Content</w:t>
      </w:r>
    </w:p>
    <w:tbl>
      <w:tblPr>
        <w:tblW w:w="0" w:type="auto"/>
        <w:tblLayout w:type="fixed"/>
        <w:tblCellMar>
          <w:left w:w="62" w:type="dxa"/>
          <w:right w:w="62" w:type="dxa"/>
        </w:tblCellMar>
        <w:tblLook w:val="0000"/>
      </w:tblPr>
      <w:tblGrid>
        <w:gridCol w:w="2700"/>
        <w:gridCol w:w="5760"/>
      </w:tblGrid>
      <w:tr w:rsidTr="00F54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6)</w:t>
            </w:r>
            <w:r w:rsidRPr="00075A1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t xml:space="preserve">Performance Criteria describe the required performance needed to demonstrate achievement of the element. Assessment of performance is to </w:t>
            </w:r>
            <w:r w:rsidRPr="00075A15">
              <w:t>be consistent with the Evidence Guide.</w:t>
            </w:r>
          </w:p>
        </w:tc>
      </w:tr>
    </w:tbl>
    <w:p w:rsidR="00000000" w:rsidRPr="00075A15" w:rsidP="00075A15">
      <w:pPr>
        <w:pStyle w:val="BodyText"/>
      </w:pPr>
    </w:p>
    <w:p w:rsidR="00000000" w:rsidRPr="00075A15" w:rsidP="00075A15">
      <w:pPr>
        <w:pStyle w:val="AllowPageBreak"/>
      </w:pPr>
    </w:p>
    <w:p w:rsidR="00000000" w:rsidRPr="00075A15" w:rsidP="00075A15">
      <w:pPr>
        <w:pStyle w:val="Heading1"/>
      </w:pPr>
      <w:bookmarkStart w:id="8" w:name="O_471007"/>
      <w:bookmarkEnd w:id="8"/>
      <w:r w:rsidRPr="00075A1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54E7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PERFORMANCE CRITERIA</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1</w:t>
            </w:r>
          </w:p>
        </w:tc>
        <w:tc>
          <w:tcPr>
            <w:tcW w:w="2296" w:type="dxa"/>
            <w:vMerge w:val="restart"/>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1.1</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Work requirements are identified from request/work orders or equivalent and clarified/confirmed with appropriate parties or by site inspection</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1.2</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 xml:space="preserve">Occupational Health and Safety standards, statutory requirements, relevant Australian Standards, Codes of </w:t>
            </w:r>
            <w:r w:rsidRPr="00075A15">
              <w:t>Practice, manufacturers’ specifications, environmental requirements and enterprise procedures are identified, applied and monitored throughout the work procedure</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1.3</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Resources required to satisfy the work plan are identified, obta</w:t>
            </w:r>
            <w:r w:rsidRPr="00075A15">
              <w:t>ined and inspected for compliance with the job specifications</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1.4</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Resources required to satisfy the work plan are identified, obtained and inspected for compliance with the job specifications</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1.5</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Correct size, type and quantity of materials/component</w:t>
            </w:r>
            <w:r w:rsidRPr="00075A15">
              <w:t>s are determined, obtained and inspected for compliance with the job specifications</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1.6</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 xml:space="preserve">Work is planned in detail including sequencing and prioritising and considerations made where appropriate for the maintenance of plant security </w:t>
            </w:r>
            <w:r w:rsidRPr="00075A15">
              <w:t>and capacity in accordance with system/site requirements</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1.7</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Co-ordination requirements, including requests for isolations where appropriate, are resolved with others involved, affected or required by the work</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1.8</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Potential hazards are identified and</w:t>
            </w:r>
            <w:r w:rsidRPr="00075A15">
              <w:t xml:space="preserve"> prevention and/or control measures are selected in accordance with the work plan and site procedures</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1.9</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Work area is prepared in accordance with work requirements and site procedures</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1.10</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Where appropriate, the teams and individuals roles and responsibilities within the team are identified and, where required, assist in the provision of on-the-job training</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2</w:t>
            </w:r>
          </w:p>
        </w:tc>
        <w:tc>
          <w:tcPr>
            <w:tcW w:w="2296" w:type="dxa"/>
            <w:vMerge w:val="restart"/>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Clean plant and equipment</w:t>
            </w: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2.1</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Required isolations are confirmed, where appropriate</w:t>
            </w:r>
            <w:r w:rsidRPr="00075A15">
              <w:t>, in accordance with site requirements</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2.2</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Surfaces are pre-applied, where required, with suitable agent to assist in release of soil in accordance with manufacturer’s instructions</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2.3</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 xml:space="preserve">Cleaning equipment and </w:t>
            </w:r>
            <w:r w:rsidRPr="00075A15">
              <w:t>accessories are operated in accordance with manufacturer’s instructions and work requirements</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2.4</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Plant and equipment is cleaned with due regard being paid to nearby plant security and capacity in accordance with the work plan</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2.5</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Plant and equipment</w:t>
            </w:r>
            <w:r w:rsidRPr="00075A15">
              <w:t xml:space="preserve"> is cleaned in conjunction with others involved in, or affected by, the work in accordance with the work plan</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2.6</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Residual waste is directed to suitable disposal points in accordance with relevant environmental procedures or legislation</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2.7</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Final job inspection is carried out in accordance with the work plan</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3</w:t>
            </w:r>
          </w:p>
        </w:tc>
        <w:tc>
          <w:tcPr>
            <w:tcW w:w="2296" w:type="dxa"/>
            <w:vMerge w:val="restart"/>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Complete the work</w:t>
            </w: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3.1</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Work is completed and appropriate personnel notified in accordance with site/enterprise requirements</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3.2</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Work area is cleared of waste, cleaned, re</w:t>
            </w:r>
            <w:r w:rsidRPr="00075A15">
              <w:t>stored and secured in accordance with site/enterprise procedures</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3.3</w:t>
            </w:r>
          </w:p>
        </w:tc>
        <w:tc>
          <w:tcPr>
            <w:tcW w:w="48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Plant, tools and equipment are maintained and stored in accordance with site/enterprise procedures</w:t>
            </w:r>
          </w:p>
        </w:tc>
      </w:tr>
      <w:tr w:rsidTr="00F54E7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t>3.4</w:t>
            </w:r>
          </w:p>
        </w:tc>
        <w:tc>
          <w:tcPr>
            <w:tcW w:w="486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t>Work completion details are finalised in accordance with site/enterprise proce</w:t>
            </w:r>
            <w:r w:rsidRPr="00075A15">
              <w:t>dures</w:t>
            </w:r>
          </w:p>
        </w:tc>
      </w:tr>
    </w:tbl>
    <w:p w:rsidR="00000000" w:rsidRPr="00075A15" w:rsidP="00075A15">
      <w:pPr>
        <w:pStyle w:val="BodyText"/>
      </w:pPr>
    </w:p>
    <w:p w:rsidR="00000000" w:rsidRPr="00075A15" w:rsidP="00075A15">
      <w:pPr>
        <w:pStyle w:val="AllowPageBreak"/>
      </w:pPr>
    </w:p>
    <w:p w:rsidR="00000000" w:rsidRPr="00075A15" w:rsidP="00075A15">
      <w:pPr>
        <w:pStyle w:val="Heading1"/>
      </w:pPr>
      <w:bookmarkStart w:id="9" w:name="O_471015"/>
      <w:bookmarkEnd w:id="9"/>
      <w:r w:rsidRPr="00075A15">
        <w:t>Required Skills and Knowledge</w:t>
      </w:r>
    </w:p>
    <w:tbl>
      <w:tblPr>
        <w:tblW w:w="0" w:type="auto"/>
        <w:tblLayout w:type="fixed"/>
        <w:tblCellMar>
          <w:left w:w="62" w:type="dxa"/>
          <w:right w:w="62" w:type="dxa"/>
        </w:tblCellMar>
        <w:tblLook w:val="0000"/>
      </w:tblPr>
      <w:tblGrid>
        <w:gridCol w:w="8460"/>
      </w:tblGrid>
      <w:tr w:rsidTr="00F54E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REQUIRED SKILLS AND KNOWLEDGE</w:t>
            </w:r>
          </w:p>
        </w:tc>
      </w:tr>
      <w:tr w:rsidTr="00F54E7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rPr>
                <w:rStyle w:val="SpecialBold"/>
              </w:rPr>
              <w:t>8)</w:t>
            </w:r>
            <w:r w:rsidRPr="00075A15">
              <w:t xml:space="preserve"> This describes the essential skills and knowledge and their level, required for this unit.</w:t>
            </w:r>
          </w:p>
          <w:p w:rsidR="00000000" w:rsidRPr="00075A15" w:rsidP="00075A15">
            <w:pPr>
              <w:pStyle w:val="BodyText"/>
            </w:pPr>
            <w:r w:rsidRPr="00075A15">
              <w:t>Evidence shall show that knowledge has been acquired of cleaning plant and equipment.</w:t>
            </w:r>
          </w:p>
          <w:p w:rsidR="00000000" w:rsidRPr="00075A15" w:rsidP="00075A15">
            <w:pPr>
              <w:pStyle w:val="BodyText"/>
            </w:pPr>
            <w:r w:rsidRPr="00075A15">
              <w:t>All knowledge and skills detailed in this unit should be contextualised to current industry practices and technologies.</w:t>
            </w:r>
          </w:p>
          <w:p w:rsidR="00000000" w:rsidRPr="00075A15" w:rsidP="00075A15">
            <w:pPr>
              <w:pStyle w:val="BodyText"/>
            </w:pPr>
            <w:r w:rsidRPr="00075A15">
              <w:t>The extent of the Essential Knowledge and Associat</w:t>
            </w:r>
            <w:r w:rsidRPr="00075A15">
              <w:t>ed Skills required follows:</w:t>
            </w:r>
          </w:p>
          <w:p w:rsidR="00000000" w:rsidRPr="00075A15" w:rsidP="00075A15">
            <w:pPr>
              <w:pStyle w:val="BodyText"/>
            </w:pPr>
            <w:r w:rsidRPr="00075A15">
              <w:t>KS01-PO211B – Plant and Equipment</w:t>
            </w:r>
          </w:p>
          <w:p w:rsidR="00000000" w:rsidRPr="00075A15" w:rsidP="00075A15">
            <w:pPr>
              <w:pStyle w:val="BodyText"/>
            </w:pPr>
            <w:r w:rsidRPr="00075A15">
              <w:t>Evidence shall show that knowledge has been acquired for safe working practices of:</w:t>
            </w:r>
          </w:p>
          <w:p w:rsidR="00000000" w:rsidRPr="00075A15" w:rsidP="00075A15">
            <w:pPr>
              <w:pStyle w:val="BodyText"/>
            </w:pPr>
            <w:r w:rsidRPr="00075A15">
              <w:t>T1 Relevant Environmental, Occupational Health and Safety legislation and  regulations</w:t>
            </w:r>
          </w:p>
          <w:p w:rsidR="00000000" w:rsidRPr="00075A15" w:rsidP="00075A15">
            <w:pPr>
              <w:pStyle w:val="BodyText"/>
            </w:pPr>
            <w:r w:rsidRPr="00075A15">
              <w:t>T2 Enterprise procedure</w:t>
            </w:r>
            <w:r w:rsidRPr="00075A15">
              <w:t>s</w:t>
            </w:r>
          </w:p>
          <w:p w:rsidR="00000000" w:rsidRPr="00075A15" w:rsidP="00075A15">
            <w:pPr>
              <w:pStyle w:val="BodyText"/>
            </w:pPr>
            <w:r w:rsidRPr="00075A15">
              <w:t>T3 Introduction to and typical arrangements of power production plant</w:t>
            </w:r>
          </w:p>
          <w:p w:rsidR="00000000" w:rsidRPr="00075A15" w:rsidP="00075A15">
            <w:pPr>
              <w:pStyle w:val="BodyText"/>
            </w:pPr>
            <w:r w:rsidRPr="00075A15">
              <w:t>T4 Relevant plant and equipment, its location parameters</w:t>
            </w:r>
          </w:p>
          <w:p w:rsidR="00000000" w:rsidRPr="00075A15" w:rsidP="00075A15">
            <w:pPr>
              <w:pStyle w:val="BodyText"/>
            </w:pPr>
            <w:r w:rsidRPr="00075A15">
              <w:t>T5 Cleaning agents, and their properties</w:t>
            </w:r>
          </w:p>
          <w:p w:rsidR="00000000" w:rsidRPr="00075A15" w:rsidP="00075A15">
            <w:pPr>
              <w:pStyle w:val="BodyText"/>
            </w:pPr>
            <w:r w:rsidRPr="00075A15">
              <w:t>T6 Protection of nearby plant or equipment from cleaning</w:t>
            </w:r>
          </w:p>
          <w:p w:rsidR="00000000" w:rsidRPr="00075A15" w:rsidP="00075A15">
            <w:pPr>
              <w:pStyle w:val="BodyText"/>
            </w:pPr>
            <w:r w:rsidRPr="00075A15">
              <w:t>T7 Cleaning equipment and their accessories</w:t>
            </w:r>
          </w:p>
          <w:p w:rsidR="00000000" w:rsidRPr="00075A15" w:rsidP="00075A15">
            <w:pPr>
              <w:pStyle w:val="BodyText"/>
            </w:pPr>
            <w:r w:rsidRPr="00075A15">
              <w:t>T8 Hazardous materials</w:t>
            </w:r>
          </w:p>
          <w:p w:rsidR="00000000" w:rsidRPr="00075A15" w:rsidP="00075A15">
            <w:pPr>
              <w:pStyle w:val="BodyText"/>
            </w:pPr>
            <w:r w:rsidRPr="00075A15">
              <w:t>T9 Cleaning techniques and procedures</w:t>
            </w:r>
          </w:p>
          <w:p w:rsidR="00000000" w:rsidRPr="00075A15" w:rsidP="00075A15">
            <w:pPr>
              <w:pStyle w:val="BodyText"/>
            </w:pPr>
            <w:r w:rsidRPr="00075A15">
              <w:t>T10 Hand and portable power tools</w:t>
            </w:r>
          </w:p>
          <w:p w:rsidR="00000000" w:rsidRPr="00075A15" w:rsidP="00075A15">
            <w:pPr>
              <w:pStyle w:val="BodyText"/>
            </w:pPr>
            <w:r w:rsidRPr="00075A15">
              <w:t>KS02-PO211B – Plant and Equipment</w:t>
            </w:r>
          </w:p>
          <w:p w:rsidR="00000000" w:rsidRPr="00075A15" w:rsidP="00075A15">
            <w:pPr>
              <w:pStyle w:val="BodyText"/>
            </w:pPr>
            <w:r w:rsidRPr="00075A15">
              <w:t>Specific skills needed to achieve the Performance Criteria:</w:t>
            </w:r>
          </w:p>
          <w:p w:rsidR="00000000" w:rsidRPr="00075A15" w:rsidP="00075A15">
            <w:pPr>
              <w:pStyle w:val="BodyText"/>
            </w:pPr>
            <w:r w:rsidRPr="00075A15">
              <w:t>T1 Interpret plant draw</w:t>
            </w:r>
            <w:r w:rsidRPr="00075A15">
              <w:t>ings and manufacturers manuals</w:t>
            </w:r>
          </w:p>
          <w:p w:rsidR="00000000" w:rsidRPr="00075A15" w:rsidP="00075A15">
            <w:pPr>
              <w:pStyle w:val="BodyText"/>
            </w:pPr>
            <w:r w:rsidRPr="00075A15">
              <w:t>T2 Identify and select appropriate cleaning methods</w:t>
            </w:r>
          </w:p>
          <w:p w:rsidR="00000000" w:rsidRPr="00075A15" w:rsidP="00075A15">
            <w:pPr>
              <w:pStyle w:val="BodyText"/>
            </w:pPr>
            <w:r w:rsidRPr="00075A15">
              <w:t>T3 Identify and operate appropriate cleaning equipment</w:t>
            </w:r>
          </w:p>
          <w:p w:rsidR="00000000" w:rsidRPr="00075A15" w:rsidP="00075A15">
            <w:pPr>
              <w:pStyle w:val="BodyText"/>
            </w:pPr>
            <w:r w:rsidRPr="00075A15">
              <w:t>T4 Protect nearby plant or equipment from cleaning</w:t>
            </w:r>
          </w:p>
          <w:p w:rsidR="00000000" w:rsidRPr="00075A15" w:rsidP="00075A15">
            <w:pPr>
              <w:pStyle w:val="BodyText"/>
            </w:pPr>
            <w:r w:rsidRPr="00075A15">
              <w:t>T5 Handle hazardous materials</w:t>
            </w:r>
          </w:p>
          <w:p w:rsidR="00000000" w:rsidRPr="00075A15" w:rsidP="00075A15">
            <w:pPr>
              <w:pStyle w:val="BodyText"/>
            </w:pPr>
            <w:r w:rsidRPr="00075A15">
              <w:t>T6 Apply cleaning techniques and proc</w:t>
            </w:r>
            <w:r w:rsidRPr="00075A15">
              <w:t>edures</w:t>
            </w:r>
          </w:p>
          <w:p w:rsidR="00000000" w:rsidRPr="00075A15" w:rsidP="00075A15">
            <w:pPr>
              <w:pStyle w:val="BodyText"/>
            </w:pPr>
            <w:r w:rsidRPr="00075A15">
              <w:t>T7 Use hand and portable power tools</w:t>
            </w:r>
          </w:p>
          <w:p w:rsidR="00000000" w:rsidRPr="00075A15" w:rsidP="00075A15">
            <w:pPr>
              <w:pStyle w:val="BodyText"/>
            </w:pPr>
            <w:r w:rsidRPr="00075A15">
              <w:t>T8 Communicate effectively.</w:t>
            </w:r>
          </w:p>
        </w:tc>
      </w:tr>
    </w:tbl>
    <w:p w:rsidR="00000000" w:rsidRPr="00075A15" w:rsidP="00075A15">
      <w:pPr>
        <w:pStyle w:val="BodyText"/>
      </w:pPr>
    </w:p>
    <w:p w:rsidR="00000000" w:rsidRPr="00075A15" w:rsidP="00075A15">
      <w:pPr>
        <w:pStyle w:val="AllowPageBreak"/>
      </w:pPr>
    </w:p>
    <w:p w:rsidR="00000000" w:rsidRPr="00075A15" w:rsidP="00075A15">
      <w:pPr>
        <w:pStyle w:val="Heading1"/>
      </w:pPr>
      <w:bookmarkStart w:id="10" w:name="O_471010"/>
      <w:bookmarkEnd w:id="10"/>
      <w:r w:rsidRPr="00075A15">
        <w:t>Evidence Guide</w:t>
      </w:r>
    </w:p>
    <w:tbl>
      <w:tblPr>
        <w:tblW w:w="0" w:type="auto"/>
        <w:tblLayout w:type="fixed"/>
        <w:tblCellMar>
          <w:left w:w="62" w:type="dxa"/>
          <w:right w:w="62" w:type="dxa"/>
        </w:tblCellMar>
        <w:tblLook w:val="0000"/>
      </w:tblPr>
      <w:tblGrid>
        <w:gridCol w:w="8460"/>
      </w:tblGrid>
      <w:tr w:rsidTr="00F54E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EVIDENCE GUIDE</w:t>
            </w:r>
          </w:p>
        </w:tc>
      </w:tr>
      <w:tr w:rsidTr="00F54E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rPr>
                <w:rStyle w:val="SpecialBold"/>
              </w:rPr>
              <w:t>9)</w:t>
            </w:r>
            <w:r w:rsidRPr="00075A15">
              <w:t xml:space="preserve"> This provides essential advice for assessment of the competency standard unit and must be read </w:t>
            </w:r>
            <w:r w:rsidRPr="00075A15">
              <w:t>in conjunction with the Performance Criteria and the Range Statement of the competency standard unit and the Training Package Assessment Guidelines.</w:t>
            </w:r>
          </w:p>
          <w:p w:rsidR="00000000" w:rsidRPr="00075A15" w:rsidP="00075A15">
            <w:pPr>
              <w:pStyle w:val="BodyText"/>
            </w:pPr>
            <w:r w:rsidRPr="00075A15">
              <w:t>The Evidence Guide forms an integral part of this competency standard unit and shall be used in conjunction</w:t>
            </w:r>
            <w:r w:rsidRPr="00075A15">
              <w:t xml:space="preserve"> with all components parts of this unit and, performed in accordance with the Assessment Guidelines of this Training Package.</w:t>
            </w:r>
          </w:p>
        </w:tc>
      </w:tr>
    </w:tbl>
    <w:p w:rsidR="00000000" w:rsidRPr="00075A15" w:rsidP="00075A15">
      <w:pPr>
        <w:pStyle w:val="BodyText"/>
      </w:pPr>
    </w:p>
    <w:tbl>
      <w:tblPr>
        <w:tblW w:w="0" w:type="auto"/>
        <w:tblLayout w:type="fixed"/>
        <w:tblCellMar>
          <w:left w:w="62" w:type="dxa"/>
          <w:right w:w="62" w:type="dxa"/>
        </w:tblCellMar>
        <w:tblLook w:val="0000"/>
      </w:tblPr>
      <w:tblGrid>
        <w:gridCol w:w="1890"/>
        <w:gridCol w:w="6570"/>
      </w:tblGrid>
      <w:tr w:rsidTr="00F54E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9.1)</w:t>
            </w:r>
          </w:p>
        </w:tc>
      </w:tr>
      <w:tr w:rsidTr="00F54E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t>Longitudinal competency development approaches to assessment, such as Profiling, require data to b</w:t>
            </w:r>
            <w:r w:rsidRPr="00075A15">
              <w:t xml:space="preserve">e reliably gathered in a form that can be consistently interpreted over time. This approach is best utilised in Apprenticeship programs and reduces assessment intervention. It is the Industry’s preferred model for apprenticeships. However, where summative </w:t>
            </w:r>
            <w:r w:rsidRPr="00075A15">
              <w:t>(or final) assessment is used it is to include the application of the competency in the normal work environment or, at a minimum, the application of the competency in a realistically simulated work environment. It is recognised that, in some circumstances,</w:t>
            </w:r>
            <w:r w:rsidRPr="00075A15">
              <w:t xml:space="preserve"> assessment in part or full can occur outside the workplace. However, it must be in accord with Industry and, Regulatory policy in this regard.</w:t>
            </w:r>
          </w:p>
          <w:p w:rsidR="00000000" w:rsidRPr="00075A15" w:rsidP="00075A15">
            <w:pPr>
              <w:pStyle w:val="BodyText"/>
            </w:pPr>
            <w:r w:rsidRPr="00075A15">
              <w:t>Methods chosen for a particular assessment will be influenced by various factors. These include the extent of th</w:t>
            </w:r>
            <w:r w:rsidRPr="00075A15">
              <w:t>e assessment, the most effective locations for the assessment activities to take place, access to physical resources, additional safety measures that may be required and the critical nature of the competencies being assessed.</w:t>
            </w:r>
          </w:p>
          <w:p w:rsidR="00000000" w:rsidRPr="00075A15" w:rsidP="00075A15">
            <w:pPr>
              <w:pStyle w:val="BodyText"/>
            </w:pPr>
            <w:r w:rsidRPr="00075A15">
              <w:t>The critical safety nature of working with electricity, electrical equipment, gas or any other hazardous substance/material carries risk in deeming a person competent. Hence, sources of evidence need to be ‘rich’ in nature to minimise error in judgment.</w:t>
            </w:r>
          </w:p>
          <w:p w:rsidR="00000000" w:rsidRPr="00075A15" w:rsidP="00075A15">
            <w:pPr>
              <w:pStyle w:val="BodyText"/>
            </w:pPr>
            <w:r w:rsidRPr="00075A15">
              <w:t>Ac</w:t>
            </w:r>
            <w:r w:rsidRPr="00075A15">
              <w:t>tivities associated with normal every day work have a bearing on the decision as to how much and how detailed the data gathered will contribute to its ‘richness’. Some skills are more critical to safety and operational requirements while the same skills ma</w:t>
            </w:r>
            <w:r w:rsidRPr="00075A15">
              <w:t>y be more or less frequently practised. These points are raised for the assessors to consider when choosing an assessment method and developing assessment instruments. Sample assessment instruments are included for Assessors in the Assessment Guidelines of</w:t>
            </w:r>
            <w:r w:rsidRPr="00075A15">
              <w:t xml:space="preserve"> this Training Package.</w:t>
            </w:r>
          </w:p>
        </w:tc>
      </w:tr>
    </w:tbl>
    <w:p w:rsidR="00000000" w:rsidRPr="00075A15" w:rsidP="00075A15">
      <w:pPr>
        <w:pStyle w:val="BodyText"/>
      </w:pPr>
    </w:p>
    <w:tbl>
      <w:tblPr>
        <w:tblW w:w="0" w:type="auto"/>
        <w:tblLayout w:type="fixed"/>
        <w:tblCellMar>
          <w:left w:w="62" w:type="dxa"/>
          <w:right w:w="62" w:type="dxa"/>
        </w:tblCellMar>
        <w:tblLook w:val="0000"/>
      </w:tblPr>
      <w:tblGrid>
        <w:gridCol w:w="1890"/>
        <w:gridCol w:w="6570"/>
      </w:tblGrid>
      <w:tr w:rsidTr="00F54E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9.2)</w:t>
            </w:r>
          </w:p>
        </w:tc>
      </w:tr>
      <w:tr w:rsidTr="00F54E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t>Before the critical aspects of evidence are considered all pre-requisites shall be met.</w:t>
            </w:r>
          </w:p>
          <w:p w:rsidR="00000000" w:rsidRPr="00075A15" w:rsidP="00075A15">
            <w:pPr>
              <w:pStyle w:val="BodyText"/>
            </w:pPr>
            <w:r w:rsidRPr="00075A15">
              <w:t>Evidence for competence in this unit shall be considered h</w:t>
            </w:r>
            <w:r w:rsidRPr="00075A15">
              <w:t>olistically.  Each Element and associated Performance Criteria shall be demonstrated on at least two occasions in accordance with the “Assessment Guidelines – UEP12”.  Evidence shall also comprise:</w:t>
            </w:r>
          </w:p>
          <w:p w:rsidR="00000000" w:rsidRPr="00075A15" w:rsidP="00075A15">
            <w:pPr>
              <w:pStyle w:val="ListBullet"/>
            </w:pPr>
            <w:r w:rsidRPr="00075A15">
              <w:t>A representative body of work performance demonstrated wi</w:t>
            </w:r>
            <w:r w:rsidRPr="00075A15">
              <w:t>thin the timeframes typically expected of the discipline, work function and industrial environment. In particular this shall incorporate evidence that shows a candidate is able to:</w:t>
            </w:r>
          </w:p>
          <w:p w:rsidR="00000000" w:rsidRPr="00075A15" w:rsidP="00075A15">
            <w:pPr>
              <w:pStyle w:val="ListBullet2"/>
            </w:pPr>
            <w:r w:rsidRPr="00075A15">
              <w:t>Implement Occupational Health and Safety workplace procedures and practice</w:t>
            </w:r>
            <w:r w:rsidRPr="00075A15">
              <w:t>s including the use of risk control measures as specified in the Performance Criteria and Range Statement</w:t>
            </w:r>
          </w:p>
          <w:p w:rsidR="00000000" w:rsidRPr="00075A15" w:rsidP="00075A15">
            <w:pPr>
              <w:pStyle w:val="ListBullet2"/>
            </w:pPr>
            <w:r w:rsidRPr="00075A15">
              <w:t>Apply sustainable energy principles and practices as specified in the Performance Criteria and Range Statement</w:t>
            </w:r>
          </w:p>
          <w:p w:rsidR="00000000" w:rsidRPr="00075A15" w:rsidP="00075A15">
            <w:pPr>
              <w:pStyle w:val="ListBullet2"/>
            </w:pPr>
            <w:r w:rsidRPr="00075A15">
              <w:t>Demonstrate an understanding of the Essential Knowledge and Associated Skills as described in 6) Essential Knowledge and Associated Skills of this unit</w:t>
            </w:r>
          </w:p>
          <w:p w:rsidR="00000000" w:rsidRPr="00075A15" w:rsidP="00075A15">
            <w:pPr>
              <w:pStyle w:val="ListBullet2"/>
            </w:pPr>
            <w:r w:rsidRPr="00075A15">
              <w:t>Demonstrate an appropriate level of employability skills</w:t>
            </w:r>
          </w:p>
          <w:p w:rsidR="00000000" w:rsidRPr="00075A15" w:rsidP="00075A15">
            <w:pPr>
              <w:pStyle w:val="ListBullet2"/>
            </w:pPr>
            <w:r w:rsidRPr="00075A15">
              <w:t>Conduct work observing the relevant Anti-Discri</w:t>
            </w:r>
            <w:r w:rsidRPr="00075A15">
              <w:t>mination legislation, regulations, polices and workplace procedures</w:t>
            </w:r>
          </w:p>
          <w:p w:rsidR="00000000" w:rsidRPr="00075A15" w:rsidP="00075A15">
            <w:pPr>
              <w:pStyle w:val="ListBullet"/>
            </w:pPr>
            <w:r w:rsidRPr="00075A15">
              <w:t>Demonstrated performance across a representative range of contexts from the prescribed items below:</w:t>
            </w:r>
          </w:p>
          <w:p w:rsidR="00000000" w:rsidRPr="00075A15" w:rsidP="00075A15">
            <w:pPr>
              <w:pStyle w:val="ListBullet2"/>
            </w:pPr>
            <w:r w:rsidRPr="00075A15">
              <w:t>Knowledge and application of relevant sections of: Occupational, health and safety leg</w:t>
            </w:r>
            <w:r w:rsidRPr="00075A15">
              <w:t>islation; Statutory legislation; Enterprise/site safety procedures; Enterprise/site emergency procedures</w:t>
            </w:r>
          </w:p>
          <w:p w:rsidR="00000000" w:rsidRPr="00075A15" w:rsidP="00075A15">
            <w:pPr>
              <w:pStyle w:val="ListBullet2"/>
            </w:pPr>
            <w:r w:rsidRPr="00075A15">
              <w:t>Applying cleaning techniques and procedures</w:t>
            </w:r>
          </w:p>
          <w:p w:rsidR="00000000" w:rsidRPr="00075A15" w:rsidP="00075A15">
            <w:pPr>
              <w:pStyle w:val="ListBullet2"/>
            </w:pPr>
            <w:r w:rsidRPr="00075A15">
              <w:t>Identifying and operating appropriate cleaning equipment</w:t>
            </w:r>
          </w:p>
          <w:p w:rsidR="00000000" w:rsidRPr="00075A15" w:rsidP="00075A15">
            <w:pPr>
              <w:pStyle w:val="ListBullet2"/>
            </w:pPr>
            <w:r w:rsidRPr="00075A15">
              <w:t>Identifying and selecting appropriate cleaning met</w:t>
            </w:r>
            <w:r w:rsidRPr="00075A15">
              <w:t>hods</w:t>
            </w:r>
          </w:p>
          <w:p w:rsidR="00000000" w:rsidRPr="00075A15" w:rsidP="00075A15">
            <w:pPr>
              <w:pStyle w:val="ListBullet2"/>
            </w:pPr>
            <w:r w:rsidRPr="00075A15">
              <w:t>Dealing with an unplanned event by drawing on Essential Knowledge and Skills to provide appropriate solutions incorporated in the holistic assessment with the above listed items.</w:t>
            </w:r>
          </w:p>
        </w:tc>
      </w:tr>
    </w:tbl>
    <w:p w:rsidR="00000000" w:rsidRPr="00075A15" w:rsidP="00075A15">
      <w:pPr>
        <w:pStyle w:val="BodyText"/>
      </w:pPr>
    </w:p>
    <w:tbl>
      <w:tblPr>
        <w:tblW w:w="0" w:type="auto"/>
        <w:tblLayout w:type="fixed"/>
        <w:tblCellMar>
          <w:left w:w="62" w:type="dxa"/>
          <w:right w:w="62" w:type="dxa"/>
        </w:tblCellMar>
        <w:tblLook w:val="0000"/>
      </w:tblPr>
      <w:tblGrid>
        <w:gridCol w:w="1890"/>
        <w:gridCol w:w="6570"/>
      </w:tblGrid>
      <w:tr w:rsidTr="00F54E7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9.3)</w:t>
            </w:r>
          </w:p>
        </w:tc>
      </w:tr>
      <w:tr w:rsidTr="00F54E7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t>This unit should be assessed as it relates to normal work practice using procedures, information and resources typical of a workplace. This should include:</w:t>
            </w:r>
          </w:p>
          <w:p w:rsidR="00000000" w:rsidRPr="00075A15" w:rsidP="00075A15">
            <w:pPr>
              <w:pStyle w:val="ListBullet"/>
            </w:pPr>
            <w:r w:rsidRPr="00075A15">
              <w:t>OHS policy and work procedures and instructions</w:t>
            </w:r>
          </w:p>
          <w:p w:rsidR="00000000" w:rsidRPr="00075A15" w:rsidP="00075A15">
            <w:pPr>
              <w:pStyle w:val="ListBullet"/>
            </w:pPr>
            <w:r w:rsidRPr="00075A15">
              <w:t>Suitable work environment, facilities, equipment an</w:t>
            </w:r>
            <w:r w:rsidRPr="00075A15">
              <w:t>d materials to undertake actual work as prescribed by this competency standard unit</w:t>
            </w:r>
          </w:p>
          <w:p w:rsidR="00000000" w:rsidRPr="00075A15" w:rsidP="00075A15">
            <w:pPr>
              <w:pStyle w:val="BodyText"/>
            </w:pPr>
            <w:r w:rsidRPr="00075A15">
              <w:t>Competency Standards should be assessed in the workplace or simulated workplace and under the normal range of workplace conditions.</w:t>
            </w:r>
          </w:p>
          <w:p w:rsidR="00000000" w:rsidRPr="00075A15" w:rsidP="00075A15">
            <w:pPr>
              <w:pStyle w:val="BodyText"/>
            </w:pPr>
            <w:r w:rsidRPr="00075A15">
              <w:t>Assessment of this unit will be supported with documentary evidence, by means of endorsement stating type and application of work.</w:t>
            </w:r>
          </w:p>
          <w:p w:rsidR="00000000" w:rsidRPr="00075A15" w:rsidP="00075A15">
            <w:pPr>
              <w:pStyle w:val="BodyText"/>
            </w:pPr>
            <w:r w:rsidRPr="00075A15">
              <w:t>In addition to the resources listed above in Context of assessment’, evidence should show competency working in confined spac</w:t>
            </w:r>
            <w:r w:rsidRPr="00075A15">
              <w:t>es, with different structural/construction types and method and in a variety of environments.</w:t>
            </w:r>
          </w:p>
        </w:tc>
      </w:tr>
    </w:tbl>
    <w:p w:rsidR="00000000" w:rsidRPr="00075A15" w:rsidP="00075A15">
      <w:pPr>
        <w:pStyle w:val="BodyText"/>
      </w:pPr>
    </w:p>
    <w:tbl>
      <w:tblPr>
        <w:tblW w:w="0" w:type="auto"/>
        <w:tblLayout w:type="fixed"/>
        <w:tblCellMar>
          <w:left w:w="62" w:type="dxa"/>
          <w:right w:w="62" w:type="dxa"/>
        </w:tblCellMar>
        <w:tblLook w:val="0000"/>
      </w:tblPr>
      <w:tblGrid>
        <w:gridCol w:w="1890"/>
        <w:gridCol w:w="6570"/>
      </w:tblGrid>
      <w:tr w:rsidTr="00F54E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9.4)</w:t>
            </w:r>
          </w:p>
        </w:tc>
      </w:tr>
      <w:tr w:rsidTr="00F54E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t>This unit shall be assessed by methods given in Section 1.3.00 Assessment Guidelines.</w:t>
            </w:r>
          </w:p>
          <w:p w:rsidR="00000000" w:rsidRPr="00075A15" w:rsidP="00075A15">
            <w:pPr>
              <w:pStyle w:val="BodyText"/>
            </w:pPr>
            <w:r w:rsidRPr="00075A15">
              <w:t xml:space="preserve">Note: </w:t>
            </w:r>
          </w:p>
          <w:p w:rsidR="00000000" w:rsidRPr="00075A15" w:rsidP="00075A15">
            <w:pPr>
              <w:pStyle w:val="BodyText"/>
            </w:pPr>
            <w:r w:rsidRPr="00075A15">
              <w:t>Competent performance with inherent safe working practices is expected in the Industry to which this competency standard unit applies. This requires that the specified Essential Knowledge and Associated Skills be assessed in a structured environment, which</w:t>
            </w:r>
            <w:r w:rsidRPr="00075A15">
              <w:t xml:space="preserve"> is primarily intended for learning/assessment and incorporates all necessary equipment and facilities for learners to develop and demonstrate the Essential Knowledge and Skills described in this unit.</w:t>
            </w:r>
          </w:p>
        </w:tc>
      </w:tr>
    </w:tbl>
    <w:p w:rsidR="00000000" w:rsidRPr="00075A15" w:rsidP="00075A15">
      <w:pPr>
        <w:pStyle w:val="BodyText"/>
      </w:pPr>
    </w:p>
    <w:tbl>
      <w:tblPr>
        <w:tblW w:w="0" w:type="auto"/>
        <w:tblLayout w:type="fixed"/>
        <w:tblCellMar>
          <w:left w:w="62" w:type="dxa"/>
          <w:right w:w="62" w:type="dxa"/>
        </w:tblCellMar>
        <w:tblLook w:val="0000"/>
      </w:tblPr>
      <w:tblGrid>
        <w:gridCol w:w="1890"/>
        <w:gridCol w:w="6570"/>
      </w:tblGrid>
      <w:tr w:rsidTr="00F54E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rPr>
                <w:rStyle w:val="SpecialBold"/>
              </w:rPr>
              <w:t>Concurrent assessment and relationship with other un</w:t>
            </w:r>
            <w:r w:rsidRPr="00075A15">
              <w:rPr>
                <w:rStyle w:val="SpecialBold"/>
              </w:rPr>
              <w:t>its</w:t>
            </w:r>
          </w:p>
        </w:tc>
        <w:tc>
          <w:tcPr>
            <w:tcW w:w="657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9.5)</w:t>
            </w:r>
          </w:p>
        </w:tc>
      </w:tr>
      <w:tr w:rsidTr="00F54E7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t>There are no recommended concurrent assessments with this unit, however in some cases efficiencies may be gained in terms of learning and assessment effort being concurrently managed with allied competency standard units where listed.</w:t>
            </w:r>
          </w:p>
          <w:p w:rsidR="00000000" w:rsidRPr="00075A15" w:rsidP="00075A15">
            <w:pPr>
              <w:pStyle w:val="BodyText"/>
            </w:pPr>
            <w:r w:rsidRPr="00075A15">
              <w:t>Nil</w:t>
            </w:r>
            <w:r w:rsidRPr="00075A15">
              <w:tab/>
            </w:r>
          </w:p>
        </w:tc>
      </w:tr>
    </w:tbl>
    <w:p w:rsidR="00000000" w:rsidRPr="00075A15" w:rsidP="00075A15">
      <w:pPr>
        <w:pStyle w:val="BodyText"/>
      </w:pPr>
    </w:p>
    <w:p w:rsidR="00000000" w:rsidRPr="00075A15" w:rsidP="00075A15">
      <w:pPr>
        <w:pStyle w:val="AllowPageBreak"/>
      </w:pPr>
    </w:p>
    <w:p w:rsidR="00000000" w:rsidRPr="00075A15" w:rsidP="00075A15">
      <w:pPr>
        <w:pStyle w:val="Heading1"/>
      </w:pPr>
      <w:bookmarkStart w:id="11" w:name="O_471014"/>
      <w:bookmarkEnd w:id="11"/>
      <w:r w:rsidRPr="00075A15">
        <w:t>Range Statement</w:t>
      </w:r>
    </w:p>
    <w:tbl>
      <w:tblPr>
        <w:tblW w:w="0" w:type="auto"/>
        <w:tblLayout w:type="fixed"/>
        <w:tblCellMar>
          <w:left w:w="62" w:type="dxa"/>
          <w:right w:w="62" w:type="dxa"/>
        </w:tblCellMar>
        <w:tblLook w:val="0000"/>
      </w:tblPr>
      <w:tblGrid>
        <w:gridCol w:w="8460"/>
      </w:tblGrid>
      <w:tr w:rsidTr="00F54E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RANGE STATEMENT</w:t>
            </w:r>
          </w:p>
        </w:tc>
      </w:tr>
      <w:tr w:rsidTr="00F54E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rPr>
                <w:rStyle w:val="SpecialBold"/>
              </w:rPr>
              <w:t>10)</w:t>
            </w:r>
            <w:r w:rsidRPr="00075A15">
              <w:t xml:space="preserve"> This relates to the competency standard unit as a whole providing the range of contexts and </w:t>
            </w:r>
            <w:r w:rsidRPr="00075A15">
              <w:t>conditions to which the Performance Criteria apply. It allows for different work environments and situations that will affect performance.</w:t>
            </w:r>
          </w:p>
          <w:p w:rsidR="00000000" w:rsidRPr="00075A15" w:rsidP="00075A15">
            <w:pPr>
              <w:pStyle w:val="BodyText"/>
            </w:pPr>
            <w:r w:rsidRPr="00075A15">
              <w:t>Inspection should be planned with the appropriate parties to determine access, conditions and work requirements.</w:t>
            </w:r>
          </w:p>
          <w:p w:rsidR="00000000" w:rsidRPr="00075A15" w:rsidP="00075A15">
            <w:pPr>
              <w:pStyle w:val="BodyText"/>
            </w:pPr>
            <w:r w:rsidRPr="00075A15">
              <w:t>Envi</w:t>
            </w:r>
            <w:r w:rsidRPr="00075A15">
              <w:t>ronmental requirements may refer to the provision of an area to be used for collection and disposal of soil residue or suitable drainage of residues.</w:t>
            </w:r>
          </w:p>
          <w:p w:rsidR="00000000" w:rsidRPr="00075A15" w:rsidP="00075A15">
            <w:pPr>
              <w:pStyle w:val="BodyText"/>
            </w:pPr>
            <w:r w:rsidRPr="00075A15">
              <w:t xml:space="preserve">Resources may include ladders, scaffolding, work platforms, personal protective equipment, barricades and </w:t>
            </w:r>
            <w:r w:rsidRPr="00075A15">
              <w:t>signs.</w:t>
            </w:r>
          </w:p>
          <w:p w:rsidR="00000000" w:rsidRPr="00075A15" w:rsidP="00075A15">
            <w:pPr>
              <w:pStyle w:val="BodyText"/>
            </w:pPr>
            <w:r w:rsidRPr="00075A15">
              <w:t>Materials may include cleaning agents, strippers, polishes, degreasers, disinfectant and appropriate chemicals/solvents.</w:t>
            </w:r>
          </w:p>
          <w:p w:rsidR="00000000" w:rsidRPr="00075A15" w:rsidP="00075A15">
            <w:pPr>
              <w:pStyle w:val="BodyText"/>
            </w:pPr>
            <w:r w:rsidRPr="00075A15">
              <w:t>Cleaning equipment may include hoses, lances, steam cleaners, brooms, buckets, shovels and motor driven vacuum cleaners.</w:t>
            </w:r>
          </w:p>
          <w:p w:rsidR="00000000" w:rsidRPr="00075A15" w:rsidP="00075A15">
            <w:pPr>
              <w:pStyle w:val="BodyText"/>
            </w:pPr>
            <w:r w:rsidRPr="00075A15">
              <w:t>Machine</w:t>
            </w:r>
            <w:r w:rsidRPr="00075A15">
              <w:t>ry cleaning methods may include hosing down, wash and wipe, air clean, brush down and scrub and wipe.</w:t>
            </w:r>
          </w:p>
          <w:p w:rsidR="00000000" w:rsidRPr="00075A15" w:rsidP="00075A15">
            <w:pPr>
              <w:pStyle w:val="BodyText"/>
            </w:pPr>
            <w:r w:rsidRPr="00075A15">
              <w:t>Potential hazards may include rotating plant, electrical equipment, slippery surfaces, airborne particulates, confined spaces, fumes and substances.</w:t>
            </w:r>
          </w:p>
          <w:p w:rsidR="00000000" w:rsidRPr="00075A15" w:rsidP="00075A15">
            <w:pPr>
              <w:pStyle w:val="BodyText"/>
            </w:pPr>
            <w:r w:rsidRPr="00075A15">
              <w:t>Safet</w:t>
            </w:r>
            <w:r w:rsidRPr="00075A15">
              <w:t>y standards may include relevant sections of Occupational Health and Safety legislation, enterprise safety rules, relevant state and federal legislation, national standards for plant and Australian standards.</w:t>
            </w:r>
          </w:p>
          <w:p w:rsidR="00000000" w:rsidRPr="00075A15" w:rsidP="00075A15">
            <w:pPr>
              <w:pStyle w:val="BodyText"/>
            </w:pPr>
            <w:r w:rsidRPr="00075A15">
              <w:t>Information and documentation sources may inclu</w:t>
            </w:r>
            <w:r w:rsidRPr="00075A15">
              <w:t xml:space="preserve">de verbal or written communications, enterprise safety rules documentation, enterprise operating instructions, manufacturer’s operational and maintenance manuals, equipment and alarm manuals, dedicated computer equipment, standing enterprise instructions, </w:t>
            </w:r>
            <w:r w:rsidRPr="00075A15">
              <w:t>work plans, plant notes and enterprise log books</w:t>
            </w:r>
          </w:p>
          <w:p w:rsidR="00000000" w:rsidRPr="00075A15" w:rsidP="00075A15">
            <w:pPr>
              <w:pStyle w:val="BodyText"/>
            </w:pPr>
            <w:r w:rsidRPr="00075A15">
              <w:t>Generic terms are used throughout this Training Package for vocational standard shall be regarded as part of the Range Statement in which competency is demonstrated. The definition of these and other terms a</w:t>
            </w:r>
            <w:r w:rsidRPr="00075A15">
              <w:t>re given in Section 2.1 Preliminary Information and Glossaries.</w:t>
            </w:r>
          </w:p>
        </w:tc>
      </w:tr>
    </w:tbl>
    <w:p w:rsidR="00000000" w:rsidRPr="00075A15" w:rsidP="00075A15">
      <w:pPr>
        <w:pStyle w:val="BodyText"/>
      </w:pPr>
    </w:p>
    <w:p w:rsidR="00000000" w:rsidRPr="00075A15" w:rsidP="00075A15">
      <w:pPr>
        <w:pStyle w:val="AllowPageBreak"/>
      </w:pPr>
    </w:p>
    <w:p w:rsidR="00000000" w:rsidRPr="00075A15" w:rsidP="00075A15">
      <w:pPr>
        <w:pStyle w:val="Heading1"/>
      </w:pPr>
      <w:bookmarkStart w:id="12" w:name="O_471017"/>
      <w:bookmarkEnd w:id="12"/>
      <w:r w:rsidRPr="00075A15">
        <w:t>Unit Sector(s)</w:t>
      </w:r>
    </w:p>
    <w:p w:rsidR="00000000" w:rsidRPr="00075A15" w:rsidP="00075A15">
      <w:pPr>
        <w:pStyle w:val="BodyText"/>
      </w:pPr>
      <w:r w:rsidRPr="00075A15">
        <w:t>Not applicable.</w:t>
      </w:r>
    </w:p>
    <w:p w:rsidR="00000000" w:rsidRPr="00075A15" w:rsidP="00075A15">
      <w:pPr>
        <w:pStyle w:val="AllowPageBreak"/>
      </w:pPr>
    </w:p>
    <w:p w:rsidR="00000000" w:rsidRPr="00075A15" w:rsidP="00075A15">
      <w:pPr>
        <w:pStyle w:val="Heading1"/>
      </w:pPr>
      <w:bookmarkStart w:id="13" w:name="O_471006"/>
      <w:bookmarkEnd w:id="13"/>
      <w:r w:rsidRPr="00075A15">
        <w:t>Competency Field</w:t>
      </w:r>
    </w:p>
    <w:tbl>
      <w:tblPr>
        <w:tblW w:w="0" w:type="auto"/>
        <w:tblLayout w:type="fixed"/>
        <w:tblCellMar>
          <w:left w:w="62" w:type="dxa"/>
          <w:right w:w="62" w:type="dxa"/>
        </w:tblCellMar>
        <w:tblLook w:val="0000"/>
      </w:tblPr>
      <w:tblGrid>
        <w:gridCol w:w="2700"/>
        <w:gridCol w:w="5760"/>
      </w:tblGrid>
      <w:tr w:rsidTr="00F54E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75A15">
            <w:pPr>
              <w:pStyle w:val="BodyText"/>
              <w:rPr>
                <w:lang w:val="en-NZ"/>
              </w:rPr>
            </w:pPr>
            <w:r w:rsidRPr="00075A15">
              <w:rPr>
                <w:rStyle w:val="SpecialBold"/>
              </w:rPr>
              <w:t xml:space="preserve">11) </w:t>
            </w:r>
          </w:p>
        </w:tc>
      </w:tr>
      <w:tr w:rsidTr="00F54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75A15" w:rsidP="00075A15">
            <w:pPr>
              <w:pStyle w:val="BodyText"/>
            </w:pPr>
            <w:r w:rsidRPr="00075A15">
              <w:t>Operations</w:t>
            </w:r>
          </w:p>
        </w:tc>
      </w:tr>
    </w:tbl>
    <w:p w:rsidR="00000000" w:rsidRPr="00075A15" w:rsidP="00075A15">
      <w:pPr>
        <w:pStyle w:val="BodyText"/>
      </w:pPr>
    </w:p>
    <w:p w:rsidR="00000000" w:rsidRPr="00075A15" w:rsidP="00075A15"/>
    <w:sectPr w:rsidSect="00075A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A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4E70" w:rsidP="00F54E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A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E70" w:rsidP="00075A1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54E70" w:rsidP="00075A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54E70" w:rsidP="00075A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A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A15" w:rsidRPr="00F54E70" w:rsidP="00F54E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A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E70" w:rsidRPr="002D2AF8" w:rsidP="00075A15">
    <w:pPr>
      <w:pStyle w:val="Header"/>
      <w:framePr w:wrap="around"/>
    </w:pPr>
    <w:r>
      <w:fldChar w:fldCharType="begin"/>
    </w:r>
    <w:r>
      <w:instrText xml:space="preserve"> TITLE   \* MERGEFORMAT </w:instrText>
    </w:r>
    <w:r>
      <w:fldChar w:fldCharType="separate"/>
    </w:r>
    <w:r>
      <w:t>UEPOPS211B Clean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F54E70" w:rsidP="00075A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1884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DCD5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BE60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A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A15"/>
    <w:pPr>
      <w:spacing w:before="360" w:after="60"/>
      <w:outlineLvl w:val="0"/>
    </w:pPr>
    <w:rPr>
      <w:sz w:val="32"/>
    </w:rPr>
  </w:style>
  <w:style w:type="paragraph" w:styleId="Heading2">
    <w:name w:val="heading 2"/>
    <w:basedOn w:val="HeadingBase"/>
    <w:next w:val="BodyText"/>
    <w:link w:val="Heading2Char"/>
    <w:qFormat/>
    <w:rsid w:val="00075A15"/>
    <w:pPr>
      <w:keepLines/>
      <w:spacing w:before="240" w:after="120"/>
      <w:outlineLvl w:val="1"/>
    </w:pPr>
    <w:rPr>
      <w:sz w:val="28"/>
      <w:szCs w:val="40"/>
    </w:rPr>
  </w:style>
  <w:style w:type="paragraph" w:styleId="Heading3">
    <w:name w:val="heading 3"/>
    <w:basedOn w:val="HeadingBase"/>
    <w:next w:val="BodyText"/>
    <w:link w:val="Heading3Char"/>
    <w:qFormat/>
    <w:rsid w:val="00075A15"/>
    <w:pPr>
      <w:spacing w:before="180" w:after="120"/>
      <w:outlineLvl w:val="2"/>
    </w:pPr>
    <w:rPr>
      <w:spacing w:val="-10"/>
      <w:kern w:val="32"/>
    </w:rPr>
  </w:style>
  <w:style w:type="paragraph" w:styleId="Heading4">
    <w:name w:val="heading 4"/>
    <w:basedOn w:val="HeadingBase"/>
    <w:next w:val="BodyText"/>
    <w:link w:val="Heading4Char"/>
    <w:qFormat/>
    <w:rsid w:val="00075A15"/>
    <w:pPr>
      <w:spacing w:before="160" w:after="120"/>
      <w:outlineLvl w:val="3"/>
    </w:pPr>
    <w:rPr>
      <w:sz w:val="22"/>
    </w:rPr>
  </w:style>
  <w:style w:type="paragraph" w:styleId="Heading5">
    <w:name w:val="heading 5"/>
    <w:basedOn w:val="HeadingBase"/>
    <w:next w:val="Normal"/>
    <w:link w:val="Heading5Char"/>
    <w:qFormat/>
    <w:rsid w:val="00075A15"/>
    <w:pPr>
      <w:spacing w:before="80"/>
      <w:outlineLvl w:val="4"/>
    </w:pPr>
    <w:rPr>
      <w:color w:val="918585"/>
      <w:sz w:val="20"/>
    </w:rPr>
  </w:style>
  <w:style w:type="paragraph" w:styleId="Heading6">
    <w:name w:val="heading 6"/>
    <w:basedOn w:val="HeadingBase"/>
    <w:next w:val="Normal"/>
    <w:link w:val="Heading6Char"/>
    <w:qFormat/>
    <w:rsid w:val="00075A15"/>
    <w:pPr>
      <w:spacing w:before="60"/>
      <w:outlineLvl w:val="5"/>
    </w:pPr>
    <w:rPr>
      <w:color w:val="918585"/>
      <w:sz w:val="20"/>
    </w:rPr>
  </w:style>
  <w:style w:type="paragraph" w:styleId="Heading7">
    <w:name w:val="heading 7"/>
    <w:basedOn w:val="Normal"/>
    <w:next w:val="Normal"/>
    <w:link w:val="Heading7Char"/>
    <w:qFormat/>
    <w:rsid w:val="00075A15"/>
    <w:pPr>
      <w:ind w:left="720"/>
      <w:outlineLvl w:val="6"/>
    </w:pPr>
    <w:rPr>
      <w:i/>
    </w:rPr>
  </w:style>
  <w:style w:type="paragraph" w:styleId="Heading8">
    <w:name w:val="heading 8"/>
    <w:basedOn w:val="Normal"/>
    <w:next w:val="Normal"/>
    <w:link w:val="Heading8Char"/>
    <w:qFormat/>
    <w:rsid w:val="00075A15"/>
    <w:pPr>
      <w:ind w:left="720"/>
      <w:outlineLvl w:val="7"/>
    </w:pPr>
    <w:rPr>
      <w:i/>
    </w:rPr>
  </w:style>
  <w:style w:type="paragraph" w:styleId="Heading9">
    <w:name w:val="heading 9"/>
    <w:basedOn w:val="Normal"/>
    <w:next w:val="Normal"/>
    <w:link w:val="Heading9Char"/>
    <w:qFormat/>
    <w:rsid w:val="00075A15"/>
    <w:pPr>
      <w:ind w:left="720"/>
      <w:outlineLvl w:val="8"/>
    </w:pPr>
    <w:rPr>
      <w:i/>
    </w:rPr>
  </w:style>
  <w:style w:type="character" w:default="1" w:styleId="DefaultParagraphFont">
    <w:name w:val="Default Paragraph Font"/>
    <w:uiPriority w:val="1"/>
    <w:unhideWhenUsed/>
    <w:rsid w:val="00075A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A15"/>
  </w:style>
  <w:style w:type="character" w:customStyle="1" w:styleId="Heading1Char">
    <w:name w:val="Heading 1 Char"/>
    <w:basedOn w:val="DefaultParagraphFont"/>
    <w:link w:val="Heading1"/>
    <w:rsid w:val="00075A15"/>
    <w:rPr>
      <w:rFonts w:ascii="Times New Roman" w:eastAsia="Times New Roman" w:hAnsi="Times New Roman" w:cs="Times New Roman"/>
      <w:b/>
      <w:sz w:val="32"/>
      <w:szCs w:val="20"/>
      <w:lang w:eastAsia="en-US"/>
    </w:rPr>
  </w:style>
  <w:style w:type="paragraph" w:styleId="BodyText">
    <w:name w:val="Body Text"/>
    <w:basedOn w:val="Normal"/>
    <w:link w:val="BodyTextChar"/>
    <w:rsid w:val="00075A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5A15"/>
    <w:rPr>
      <w:rFonts w:ascii="Times New Roman" w:eastAsia="Times New Roman" w:hAnsi="Times New Roman" w:cs="Times New Roman"/>
      <w:sz w:val="24"/>
      <w:lang w:eastAsia="en-US"/>
    </w:rPr>
  </w:style>
  <w:style w:type="paragraph" w:styleId="Footer">
    <w:name w:val="footer"/>
    <w:basedOn w:val="Normal"/>
    <w:link w:val="FooterChar"/>
    <w:rsid w:val="00075A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A15"/>
    <w:rPr>
      <w:rFonts w:ascii="Times New Roman" w:eastAsia="Times New Roman" w:hAnsi="Times New Roman" w:cs="Times New Roman"/>
      <w:sz w:val="16"/>
      <w:lang w:eastAsia="en-US"/>
    </w:rPr>
  </w:style>
  <w:style w:type="paragraph" w:styleId="ListBullet">
    <w:name w:val="List Bullet"/>
    <w:basedOn w:val="List"/>
    <w:rsid w:val="00075A15"/>
    <w:pPr>
      <w:numPr>
        <w:numId w:val="13"/>
      </w:numPr>
      <w:tabs>
        <w:tab w:val="clear" w:pos="340"/>
      </w:tabs>
      <w:spacing w:before="40" w:after="40"/>
    </w:pPr>
  </w:style>
  <w:style w:type="character" w:customStyle="1" w:styleId="SpecialBold">
    <w:name w:val="Special Bold"/>
    <w:basedOn w:val="DefaultParagraphFont"/>
    <w:rsid w:val="00075A15"/>
    <w:rPr>
      <w:b/>
      <w:spacing w:val="0"/>
    </w:rPr>
  </w:style>
  <w:style w:type="paragraph" w:styleId="ListBullet2">
    <w:name w:val="List Bullet 2"/>
    <w:basedOn w:val="List2"/>
    <w:rsid w:val="00075A15"/>
    <w:pPr>
      <w:numPr>
        <w:numId w:val="14"/>
      </w:numPr>
      <w:tabs>
        <w:tab w:val="clear" w:pos="680"/>
      </w:tabs>
    </w:pPr>
  </w:style>
  <w:style w:type="paragraph" w:customStyle="1" w:styleId="SuperHeading">
    <w:name w:val="SuperHeading"/>
    <w:basedOn w:val="Normal"/>
    <w:rsid w:val="00075A15"/>
    <w:pPr>
      <w:spacing w:before="240" w:after="120"/>
      <w:outlineLvl w:val="0"/>
    </w:pPr>
    <w:rPr>
      <w:rFonts w:ascii="Times New Roman" w:hAnsi="Times New Roman"/>
      <w:b/>
      <w:sz w:val="28"/>
    </w:rPr>
  </w:style>
  <w:style w:type="paragraph" w:customStyle="1" w:styleId="AllowPageBreak">
    <w:name w:val="AllowPageBreak"/>
    <w:rsid w:val="00075A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5A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A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A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A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A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A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A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A15"/>
    <w:rPr>
      <w:rFonts w:ascii="Courier New" w:eastAsia="Times New Roman" w:hAnsi="Courier New" w:cs="Times New Roman"/>
      <w:i/>
      <w:szCs w:val="20"/>
      <w:lang w:eastAsia="en-US"/>
    </w:rPr>
  </w:style>
  <w:style w:type="paragraph" w:customStyle="1" w:styleId="HeadingBase">
    <w:name w:val="Heading Base"/>
    <w:rsid w:val="00075A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A15"/>
    <w:pPr>
      <w:tabs>
        <w:tab w:val="right" w:leader="dot" w:pos="9072"/>
      </w:tabs>
      <w:ind w:left="567"/>
    </w:pPr>
    <w:rPr>
      <w:szCs w:val="22"/>
    </w:rPr>
  </w:style>
  <w:style w:type="paragraph" w:customStyle="1" w:styleId="TOCBase">
    <w:name w:val="TOC Base"/>
    <w:rsid w:val="00075A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A15"/>
    <w:pPr>
      <w:tabs>
        <w:tab w:val="right" w:leader="dot" w:pos="9072"/>
      </w:tabs>
      <w:spacing w:before="40" w:after="40"/>
      <w:ind w:left="284"/>
    </w:pPr>
    <w:rPr>
      <w:rFonts w:ascii="Times New Roman" w:hAnsi="Times New Roman"/>
    </w:rPr>
  </w:style>
  <w:style w:type="paragraph" w:styleId="TOC1">
    <w:name w:val="toc 1"/>
    <w:basedOn w:val="TOCBase"/>
    <w:next w:val="Normal"/>
    <w:rsid w:val="00075A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5A15"/>
    <w:pPr>
      <w:spacing w:before="5040"/>
      <w:jc w:val="center"/>
    </w:pPr>
    <w:rPr>
      <w:sz w:val="48"/>
      <w:szCs w:val="72"/>
      <w:lang w:val="en-US"/>
    </w:rPr>
  </w:style>
  <w:style w:type="character" w:customStyle="1" w:styleId="TitleChar">
    <w:name w:val="Title Char"/>
    <w:basedOn w:val="DefaultParagraphFont"/>
    <w:link w:val="Title"/>
    <w:rsid w:val="00075A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A15"/>
    <w:pPr>
      <w:tabs>
        <w:tab w:val="left" w:pos="3600"/>
        <w:tab w:val="left" w:pos="3958"/>
      </w:tabs>
    </w:pPr>
  </w:style>
  <w:style w:type="paragraph" w:styleId="List">
    <w:name w:val="List"/>
    <w:basedOn w:val="BodyText"/>
    <w:next w:val="BodyText"/>
    <w:rsid w:val="00075A15"/>
    <w:pPr>
      <w:tabs>
        <w:tab w:val="left" w:pos="340"/>
      </w:tabs>
      <w:spacing w:before="60" w:after="60"/>
      <w:ind w:left="340" w:hanging="340"/>
    </w:pPr>
  </w:style>
  <w:style w:type="paragraph" w:customStyle="1" w:styleId="Note">
    <w:name w:val="Note"/>
    <w:basedOn w:val="BodyText"/>
    <w:rsid w:val="00075A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A15"/>
    <w:pPr>
      <w:framePr w:wrap="auto" w:hAnchor="text" w:y="6049"/>
    </w:pPr>
    <w:rPr>
      <w:color w:val="000000"/>
      <w:sz w:val="40"/>
    </w:rPr>
  </w:style>
  <w:style w:type="paragraph" w:customStyle="1" w:styleId="TOCTitle">
    <w:name w:val="TOCTitle"/>
    <w:basedOn w:val="Heading1"/>
    <w:rsid w:val="00075A15"/>
    <w:pPr>
      <w:spacing w:after="240"/>
      <w:jc w:val="center"/>
      <w:outlineLvl w:val="9"/>
    </w:pPr>
    <w:rPr>
      <w:caps/>
    </w:rPr>
  </w:style>
  <w:style w:type="paragraph" w:customStyle="1" w:styleId="Version">
    <w:name w:val="Version"/>
    <w:rsid w:val="00075A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A15"/>
    <w:pPr>
      <w:keepNext w:val="0"/>
      <w:tabs>
        <w:tab w:val="right" w:pos="4176"/>
      </w:tabs>
      <w:ind w:left="198" w:hanging="198"/>
    </w:pPr>
    <w:rPr>
      <w:rFonts w:ascii="Garamond" w:hAnsi="Garamond"/>
    </w:rPr>
  </w:style>
  <w:style w:type="paragraph" w:styleId="IndexHeading">
    <w:name w:val="index heading"/>
    <w:basedOn w:val="Normal"/>
    <w:next w:val="Index1"/>
    <w:semiHidden/>
    <w:rsid w:val="00075A15"/>
    <w:pPr>
      <w:spacing w:before="120" w:after="120"/>
    </w:pPr>
    <w:rPr>
      <w:rFonts w:ascii="Arial" w:hAnsi="Arial"/>
      <w:b/>
      <w:color w:val="918585"/>
      <w:sz w:val="24"/>
    </w:rPr>
  </w:style>
  <w:style w:type="paragraph" w:styleId="Header">
    <w:name w:val="header"/>
    <w:basedOn w:val="Normal"/>
    <w:link w:val="HeaderChar"/>
    <w:rsid w:val="00075A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A15"/>
    <w:rPr>
      <w:rFonts w:ascii="Times New Roman" w:eastAsia="Times New Roman" w:hAnsi="Times New Roman" w:cs="Times New Roman"/>
      <w:sz w:val="16"/>
      <w:szCs w:val="20"/>
      <w:lang w:val="en-GB" w:eastAsia="en-US"/>
    </w:rPr>
  </w:style>
  <w:style w:type="paragraph" w:customStyle="1" w:styleId="Chapter">
    <w:name w:val="Chapter"/>
    <w:basedOn w:val="Normal"/>
    <w:rsid w:val="00075A15"/>
    <w:pPr>
      <w:spacing w:before="240"/>
    </w:pPr>
    <w:rPr>
      <w:rFonts w:ascii="Times New Roman" w:hAnsi="Times New Roman"/>
      <w:smallCaps/>
      <w:spacing w:val="80"/>
      <w:sz w:val="28"/>
    </w:rPr>
  </w:style>
  <w:style w:type="paragraph" w:customStyle="1" w:styleId="InChapter">
    <w:name w:val="InChapter"/>
    <w:basedOn w:val="Heading3"/>
    <w:rsid w:val="00075A15"/>
    <w:pPr>
      <w:spacing w:after="240"/>
      <w:outlineLvl w:val="9"/>
    </w:pPr>
    <w:rPr>
      <w:noProof/>
    </w:rPr>
  </w:style>
  <w:style w:type="paragraph" w:styleId="Index2">
    <w:name w:val="index 2"/>
    <w:basedOn w:val="Normal"/>
    <w:next w:val="Normal"/>
    <w:semiHidden/>
    <w:rsid w:val="00075A15"/>
    <w:pPr>
      <w:tabs>
        <w:tab w:val="right" w:pos="4176"/>
      </w:tabs>
      <w:ind w:left="568" w:hanging="284"/>
    </w:pPr>
    <w:rPr>
      <w:rFonts w:ascii="Garamond" w:hAnsi="Garamond"/>
    </w:rPr>
  </w:style>
  <w:style w:type="paragraph" w:customStyle="1" w:styleId="Byline">
    <w:name w:val="Byline"/>
    <w:rsid w:val="00075A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A15"/>
    <w:pPr>
      <w:tabs>
        <w:tab w:val="clear" w:pos="3600"/>
        <w:tab w:val="clear" w:pos="3958"/>
      </w:tabs>
      <w:jc w:val="right"/>
    </w:pPr>
  </w:style>
  <w:style w:type="character" w:styleId="Emphasis">
    <w:name w:val="Emphasis"/>
    <w:basedOn w:val="DefaultParagraphFont"/>
    <w:qFormat/>
    <w:rsid w:val="00075A15"/>
    <w:rPr>
      <w:i/>
    </w:rPr>
  </w:style>
  <w:style w:type="paragraph" w:styleId="Caption">
    <w:name w:val="caption"/>
    <w:basedOn w:val="BodyText"/>
    <w:next w:val="Normal"/>
    <w:qFormat/>
    <w:rsid w:val="00075A15"/>
    <w:pPr>
      <w:framePr w:w="2268" w:hSpace="181" w:vSpace="181" w:wrap="around" w:vAnchor="text" w:hAnchor="page" w:x="1135" w:y="285" w:anchorLock="1"/>
    </w:pPr>
    <w:rPr>
      <w:i/>
    </w:rPr>
  </w:style>
  <w:style w:type="paragraph" w:customStyle="1" w:styleId="MiniTOCTitle">
    <w:name w:val="MiniTOCTitle"/>
    <w:basedOn w:val="Heading4"/>
    <w:rsid w:val="00075A15"/>
    <w:pPr>
      <w:spacing w:before="240"/>
      <w:outlineLvl w:val="9"/>
    </w:pPr>
    <w:rPr>
      <w:noProof/>
      <w:sz w:val="24"/>
    </w:rPr>
  </w:style>
  <w:style w:type="paragraph" w:customStyle="1" w:styleId="MiniTOCItem">
    <w:name w:val="MiniTOCItem"/>
    <w:basedOn w:val="ListBullet"/>
    <w:rsid w:val="00075A15"/>
    <w:pPr>
      <w:numPr>
        <w:numId w:val="0"/>
      </w:numPr>
      <w:tabs>
        <w:tab w:val="right" w:leader="dot" w:pos="6521"/>
      </w:tabs>
      <w:spacing w:before="0" w:after="0"/>
    </w:pPr>
  </w:style>
  <w:style w:type="paragraph" w:customStyle="1" w:styleId="TOFTitle">
    <w:name w:val="TOFTitle"/>
    <w:basedOn w:val="TOCTitle"/>
    <w:rsid w:val="00075A15"/>
  </w:style>
  <w:style w:type="paragraph" w:styleId="TableofFigures">
    <w:name w:val="table of figures"/>
    <w:basedOn w:val="Normal"/>
    <w:next w:val="Normal"/>
    <w:semiHidden/>
    <w:rsid w:val="00075A15"/>
    <w:pPr>
      <w:tabs>
        <w:tab w:val="right" w:leader="dot" w:pos="9072"/>
      </w:tabs>
      <w:ind w:left="970" w:hanging="403"/>
    </w:pPr>
    <w:rPr>
      <w:rFonts w:ascii="Times New Roman" w:hAnsi="Times New Roman"/>
      <w:b/>
    </w:rPr>
  </w:style>
  <w:style w:type="paragraph" w:styleId="ListNumber">
    <w:name w:val="List Number"/>
    <w:basedOn w:val="List"/>
    <w:rsid w:val="00075A15"/>
    <w:pPr>
      <w:numPr>
        <w:numId w:val="11"/>
      </w:numPr>
    </w:pPr>
  </w:style>
  <w:style w:type="character" w:customStyle="1" w:styleId="WingdingSymbols">
    <w:name w:val="Wingding Symbols"/>
    <w:rsid w:val="00075A15"/>
    <w:rPr>
      <w:rFonts w:ascii="Wingdings" w:hAnsi="Wingdings"/>
    </w:rPr>
  </w:style>
  <w:style w:type="paragraph" w:customStyle="1" w:styleId="TableHeading">
    <w:name w:val="Table Heading"/>
    <w:basedOn w:val="HeadingBase"/>
    <w:rsid w:val="00075A15"/>
    <w:pPr>
      <w:keepLines/>
      <w:pBdr>
        <w:bottom w:val="single" w:sz="6" w:space="1" w:color="918585"/>
      </w:pBdr>
      <w:spacing w:before="240"/>
    </w:pPr>
  </w:style>
  <w:style w:type="character" w:customStyle="1" w:styleId="HotSpot">
    <w:name w:val="HotSpot"/>
    <w:rsid w:val="00075A15"/>
    <w:rPr>
      <w:color w:val="0033CC"/>
      <w:u w:val="none"/>
    </w:rPr>
  </w:style>
  <w:style w:type="paragraph" w:customStyle="1" w:styleId="BodyTextRight">
    <w:name w:val="Body Text Right"/>
    <w:basedOn w:val="BodyText"/>
    <w:rsid w:val="00075A15"/>
    <w:pPr>
      <w:spacing w:before="0" w:after="0"/>
      <w:jc w:val="right"/>
    </w:pPr>
  </w:style>
  <w:style w:type="paragraph" w:styleId="Index3">
    <w:name w:val="index 3"/>
    <w:basedOn w:val="ListNumber2"/>
    <w:next w:val="Normal"/>
    <w:semiHidden/>
    <w:rsid w:val="00075A15"/>
    <w:pPr>
      <w:numPr>
        <w:numId w:val="0"/>
      </w:numPr>
      <w:tabs>
        <w:tab w:val="right" w:leader="dot" w:pos="4176"/>
      </w:tabs>
    </w:pPr>
  </w:style>
  <w:style w:type="paragraph" w:styleId="ListNumber2">
    <w:name w:val="List Number 2"/>
    <w:basedOn w:val="List2"/>
    <w:rsid w:val="00075A15"/>
    <w:pPr>
      <w:numPr>
        <w:numId w:val="10"/>
      </w:numPr>
      <w:tabs>
        <w:tab w:val="clear" w:pos="1060"/>
      </w:tabs>
    </w:pPr>
  </w:style>
  <w:style w:type="paragraph" w:customStyle="1" w:styleId="MarginNote">
    <w:name w:val="Margin Note"/>
    <w:basedOn w:val="BodyText"/>
    <w:rsid w:val="00075A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A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A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A15"/>
    <w:rPr>
      <w:sz w:val="32"/>
    </w:rPr>
  </w:style>
  <w:style w:type="paragraph" w:customStyle="1" w:styleId="HeadingProcedure">
    <w:name w:val="Heading Procedure"/>
    <w:basedOn w:val="HeadingBase"/>
    <w:next w:val="Normal"/>
    <w:rsid w:val="00075A15"/>
    <w:pPr>
      <w:tabs>
        <w:tab w:val="left" w:pos="0"/>
      </w:tabs>
      <w:spacing w:before="120" w:after="60"/>
    </w:pPr>
    <w:rPr>
      <w:i/>
      <w:color w:val="918585"/>
      <w:sz w:val="22"/>
    </w:rPr>
  </w:style>
  <w:style w:type="paragraph" w:customStyle="1" w:styleId="TableBodyText">
    <w:name w:val="Table Body Text"/>
    <w:basedOn w:val="BodyText"/>
    <w:rsid w:val="00075A15"/>
    <w:pPr>
      <w:spacing w:before="60" w:after="60"/>
    </w:pPr>
  </w:style>
  <w:style w:type="paragraph" w:styleId="ListContinue">
    <w:name w:val="List Continue"/>
    <w:basedOn w:val="List"/>
    <w:rsid w:val="00075A15"/>
    <w:pPr>
      <w:ind w:firstLine="0"/>
    </w:pPr>
  </w:style>
  <w:style w:type="paragraph" w:customStyle="1" w:styleId="ListNote">
    <w:name w:val="List Note"/>
    <w:basedOn w:val="List"/>
    <w:rsid w:val="00075A15"/>
    <w:pPr>
      <w:pBdr>
        <w:top w:val="single" w:sz="6" w:space="2" w:color="918585"/>
        <w:bottom w:val="single" w:sz="6" w:space="2" w:color="918585"/>
      </w:pBdr>
      <w:tabs>
        <w:tab w:val="left" w:pos="1021"/>
      </w:tabs>
      <w:ind w:firstLine="0"/>
    </w:pPr>
  </w:style>
  <w:style w:type="paragraph" w:customStyle="1" w:styleId="Warning">
    <w:name w:val="Warning"/>
    <w:basedOn w:val="BodyText"/>
    <w:rsid w:val="00075A15"/>
    <w:pPr>
      <w:shd w:val="clear" w:color="auto" w:fill="D9D9D9"/>
      <w:tabs>
        <w:tab w:val="left" w:pos="992"/>
      </w:tabs>
      <w:ind w:left="119" w:right="119"/>
    </w:pPr>
    <w:rPr>
      <w:sz w:val="20"/>
    </w:rPr>
  </w:style>
  <w:style w:type="paragraph" w:customStyle="1" w:styleId="MarginIcons">
    <w:name w:val="Margin Icons"/>
    <w:basedOn w:val="BodyText"/>
    <w:rsid w:val="00075A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A15"/>
    <w:rPr>
      <w:rFonts w:ascii="Courier New" w:hAnsi="Courier New"/>
    </w:rPr>
  </w:style>
  <w:style w:type="paragraph" w:customStyle="1" w:styleId="NoteBullet">
    <w:name w:val="Note Bullet"/>
    <w:basedOn w:val="Note"/>
    <w:rsid w:val="00075A15"/>
    <w:pPr>
      <w:tabs>
        <w:tab w:val="clear" w:pos="680"/>
      </w:tabs>
      <w:spacing w:before="60" w:after="60"/>
    </w:pPr>
  </w:style>
  <w:style w:type="paragraph" w:customStyle="1" w:styleId="SubHeading2">
    <w:name w:val="SubHeading2"/>
    <w:basedOn w:val="HeadingBase"/>
    <w:rsid w:val="00075A15"/>
    <w:pPr>
      <w:spacing w:before="240" w:after="60"/>
    </w:pPr>
    <w:rPr>
      <w:sz w:val="20"/>
    </w:rPr>
  </w:style>
  <w:style w:type="paragraph" w:customStyle="1" w:styleId="SubHeading1">
    <w:name w:val="SubHeading1"/>
    <w:basedOn w:val="HeadingBase"/>
    <w:rsid w:val="00075A15"/>
    <w:pPr>
      <w:spacing w:before="240" w:after="60"/>
    </w:pPr>
    <w:rPr>
      <w:color w:val="918585"/>
      <w:sz w:val="22"/>
    </w:rPr>
  </w:style>
  <w:style w:type="paragraph" w:customStyle="1" w:styleId="SideHeading">
    <w:name w:val="Side Heading"/>
    <w:basedOn w:val="HeadingBase"/>
    <w:rsid w:val="00075A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A15"/>
    <w:pPr>
      <w:numPr>
        <w:numId w:val="12"/>
      </w:numPr>
    </w:pPr>
  </w:style>
  <w:style w:type="paragraph" w:styleId="PlainText">
    <w:name w:val="Plain Text"/>
    <w:basedOn w:val="Normal"/>
    <w:link w:val="PlainTextChar"/>
    <w:rsid w:val="00075A15"/>
    <w:rPr>
      <w:sz w:val="20"/>
    </w:rPr>
  </w:style>
  <w:style w:type="character" w:customStyle="1" w:styleId="PlainTextChar">
    <w:name w:val="Plain Text Char"/>
    <w:basedOn w:val="DefaultParagraphFont"/>
    <w:link w:val="PlainText"/>
    <w:rsid w:val="00075A15"/>
    <w:rPr>
      <w:rFonts w:ascii="Courier New" w:eastAsia="Times New Roman" w:hAnsi="Courier New" w:cs="Times New Roman"/>
      <w:sz w:val="20"/>
      <w:szCs w:val="20"/>
      <w:lang w:eastAsia="en-US"/>
    </w:rPr>
  </w:style>
  <w:style w:type="character" w:customStyle="1" w:styleId="MenuOption">
    <w:name w:val="Menu Option"/>
    <w:basedOn w:val="DefaultParagraphFont"/>
    <w:rsid w:val="00075A15"/>
    <w:rPr>
      <w:b/>
      <w:smallCaps/>
    </w:rPr>
  </w:style>
  <w:style w:type="paragraph" w:customStyle="1" w:styleId="TableListNumber">
    <w:name w:val="Table List Number"/>
    <w:basedOn w:val="ListNumber"/>
    <w:rsid w:val="00075A15"/>
    <w:pPr>
      <w:numPr>
        <w:numId w:val="0"/>
      </w:numPr>
    </w:pPr>
  </w:style>
  <w:style w:type="paragraph" w:styleId="TOC4">
    <w:name w:val="toc 4"/>
    <w:basedOn w:val="TOCBase"/>
    <w:next w:val="Normal"/>
    <w:semiHidden/>
    <w:rsid w:val="00075A15"/>
    <w:pPr>
      <w:tabs>
        <w:tab w:val="right" w:leader="dot" w:pos="9071"/>
      </w:tabs>
      <w:ind w:left="1701"/>
    </w:pPr>
  </w:style>
  <w:style w:type="paragraph" w:customStyle="1" w:styleId="ListAlpha">
    <w:name w:val="List Alpha"/>
    <w:basedOn w:val="List"/>
    <w:rsid w:val="00075A15"/>
    <w:pPr>
      <w:numPr>
        <w:numId w:val="9"/>
      </w:numPr>
    </w:pPr>
  </w:style>
  <w:style w:type="paragraph" w:customStyle="1" w:styleId="ListAlpha2">
    <w:name w:val="List Alpha 2"/>
    <w:basedOn w:val="List2"/>
    <w:rsid w:val="00075A15"/>
    <w:pPr>
      <w:numPr>
        <w:numId w:val="8"/>
      </w:numPr>
    </w:pPr>
  </w:style>
  <w:style w:type="paragraph" w:styleId="List2">
    <w:name w:val="List 2"/>
    <w:basedOn w:val="BodyText"/>
    <w:rsid w:val="00075A15"/>
    <w:pPr>
      <w:tabs>
        <w:tab w:val="left" w:pos="680"/>
      </w:tabs>
      <w:spacing w:before="60" w:after="60"/>
      <w:ind w:left="680" w:hanging="340"/>
    </w:pPr>
  </w:style>
  <w:style w:type="paragraph" w:styleId="List3">
    <w:name w:val="List 3"/>
    <w:basedOn w:val="BodyText"/>
    <w:rsid w:val="00075A15"/>
    <w:pPr>
      <w:tabs>
        <w:tab w:val="left" w:pos="1021"/>
      </w:tabs>
      <w:spacing w:before="60" w:after="60"/>
      <w:ind w:left="1020" w:hanging="340"/>
    </w:pPr>
  </w:style>
  <w:style w:type="paragraph" w:styleId="List4">
    <w:name w:val="List 4"/>
    <w:basedOn w:val="BodyText"/>
    <w:rsid w:val="00075A15"/>
    <w:pPr>
      <w:tabs>
        <w:tab w:val="left" w:pos="1361"/>
      </w:tabs>
      <w:spacing w:before="60" w:after="60"/>
      <w:ind w:left="1361" w:hanging="340"/>
    </w:pPr>
  </w:style>
  <w:style w:type="paragraph" w:styleId="List5">
    <w:name w:val="List 5"/>
    <w:basedOn w:val="BodyText"/>
    <w:rsid w:val="00075A15"/>
    <w:pPr>
      <w:tabs>
        <w:tab w:val="left" w:pos="1701"/>
      </w:tabs>
      <w:spacing w:before="60" w:after="60"/>
      <w:ind w:left="1701" w:hanging="340"/>
    </w:pPr>
  </w:style>
  <w:style w:type="paragraph" w:styleId="ListBullet3">
    <w:name w:val="List Bullet 3"/>
    <w:basedOn w:val="List3"/>
    <w:rsid w:val="00075A15"/>
    <w:pPr>
      <w:numPr>
        <w:numId w:val="15"/>
      </w:numPr>
      <w:tabs>
        <w:tab w:val="clear" w:pos="1021"/>
      </w:tabs>
      <w:ind w:left="1037" w:hanging="357"/>
    </w:pPr>
  </w:style>
  <w:style w:type="paragraph" w:styleId="ListBullet4">
    <w:name w:val="List Bullet 4"/>
    <w:basedOn w:val="List4"/>
    <w:rsid w:val="00075A15"/>
    <w:pPr>
      <w:numPr>
        <w:numId w:val="3"/>
      </w:numPr>
    </w:pPr>
  </w:style>
  <w:style w:type="paragraph" w:styleId="ListBullet5">
    <w:name w:val="List Bullet 5"/>
    <w:basedOn w:val="List5"/>
    <w:rsid w:val="00075A15"/>
    <w:pPr>
      <w:numPr>
        <w:numId w:val="4"/>
      </w:numPr>
    </w:pPr>
  </w:style>
  <w:style w:type="paragraph" w:styleId="ListContinue2">
    <w:name w:val="List Continue 2"/>
    <w:basedOn w:val="List2"/>
    <w:rsid w:val="00075A15"/>
    <w:pPr>
      <w:ind w:firstLine="0"/>
    </w:pPr>
  </w:style>
  <w:style w:type="paragraph" w:styleId="ListContinue3">
    <w:name w:val="List Continue 3"/>
    <w:basedOn w:val="List3"/>
    <w:rsid w:val="00075A15"/>
    <w:pPr>
      <w:ind w:left="1021" w:firstLine="0"/>
    </w:pPr>
  </w:style>
  <w:style w:type="paragraph" w:styleId="ListContinue4">
    <w:name w:val="List Continue 4"/>
    <w:basedOn w:val="List4"/>
    <w:rsid w:val="00075A15"/>
    <w:pPr>
      <w:ind w:firstLine="0"/>
    </w:pPr>
  </w:style>
  <w:style w:type="paragraph" w:styleId="ListContinue5">
    <w:name w:val="List Continue 5"/>
    <w:basedOn w:val="List5"/>
    <w:rsid w:val="00075A15"/>
    <w:pPr>
      <w:ind w:firstLine="0"/>
    </w:pPr>
  </w:style>
  <w:style w:type="paragraph" w:styleId="ListNumber3">
    <w:name w:val="List Number 3"/>
    <w:basedOn w:val="List3"/>
    <w:rsid w:val="00075A15"/>
    <w:pPr>
      <w:numPr>
        <w:numId w:val="5"/>
      </w:numPr>
    </w:pPr>
  </w:style>
  <w:style w:type="paragraph" w:styleId="ListNumber4">
    <w:name w:val="List Number 4"/>
    <w:basedOn w:val="List4"/>
    <w:rsid w:val="00075A15"/>
    <w:pPr>
      <w:numPr>
        <w:numId w:val="6"/>
      </w:numPr>
    </w:pPr>
  </w:style>
  <w:style w:type="paragraph" w:styleId="ListNumber5">
    <w:name w:val="List Number 5"/>
    <w:basedOn w:val="List5"/>
    <w:rsid w:val="00075A15"/>
    <w:pPr>
      <w:numPr>
        <w:numId w:val="7"/>
      </w:numPr>
    </w:pPr>
  </w:style>
  <w:style w:type="paragraph" w:styleId="BlockText">
    <w:name w:val="Block Text"/>
    <w:basedOn w:val="Normal"/>
    <w:rsid w:val="00075A15"/>
    <w:pPr>
      <w:spacing w:after="120"/>
      <w:ind w:left="1440" w:right="1440"/>
    </w:pPr>
  </w:style>
  <w:style w:type="character" w:customStyle="1" w:styleId="Subscript">
    <w:name w:val="Subscript"/>
    <w:basedOn w:val="DefaultParagraphFont"/>
    <w:rsid w:val="00075A15"/>
    <w:rPr>
      <w:sz w:val="16"/>
      <w:vertAlign w:val="subscript"/>
    </w:rPr>
  </w:style>
  <w:style w:type="character" w:customStyle="1" w:styleId="Superscript">
    <w:name w:val="Superscript"/>
    <w:basedOn w:val="DefaultParagraphFont"/>
    <w:rsid w:val="00075A15"/>
    <w:rPr>
      <w:sz w:val="16"/>
      <w:vertAlign w:val="superscript"/>
    </w:rPr>
  </w:style>
  <w:style w:type="character" w:customStyle="1" w:styleId="Symbols">
    <w:name w:val="Symbols"/>
    <w:basedOn w:val="DefaultParagraphFont"/>
    <w:rsid w:val="00075A15"/>
    <w:rPr>
      <w:rFonts w:ascii="Symbol" w:hAnsi="Symbol"/>
    </w:rPr>
  </w:style>
  <w:style w:type="character" w:customStyle="1" w:styleId="MenuOptions">
    <w:name w:val="Menu Options"/>
    <w:basedOn w:val="DefaultParagraphFont"/>
    <w:rsid w:val="00075A15"/>
    <w:rPr>
      <w:rFonts w:ascii="Arial Narrow" w:hAnsi="Arial Narrow"/>
      <w:smallCaps/>
    </w:rPr>
  </w:style>
  <w:style w:type="character" w:customStyle="1" w:styleId="Buttons">
    <w:name w:val="Buttons"/>
    <w:basedOn w:val="DefaultParagraphFont"/>
    <w:rsid w:val="00075A15"/>
    <w:rPr>
      <w:b/>
    </w:rPr>
  </w:style>
  <w:style w:type="character" w:customStyle="1" w:styleId="Underlined">
    <w:name w:val="Underlined"/>
    <w:basedOn w:val="DefaultParagraphFont"/>
    <w:rsid w:val="00075A15"/>
    <w:rPr>
      <w:u w:val="single"/>
    </w:rPr>
  </w:style>
  <w:style w:type="paragraph" w:customStyle="1" w:styleId="TableBodyTextRight">
    <w:name w:val="Table Body Text Right"/>
    <w:basedOn w:val="TableBodyText"/>
    <w:rsid w:val="00075A15"/>
    <w:pPr>
      <w:widowControl w:val="0"/>
      <w:autoSpaceDE w:val="0"/>
      <w:autoSpaceDN w:val="0"/>
      <w:adjustRightInd w:val="0"/>
      <w:jc w:val="right"/>
    </w:pPr>
    <w:rPr>
      <w:rFonts w:cs="Arial"/>
      <w:szCs w:val="18"/>
    </w:rPr>
  </w:style>
  <w:style w:type="paragraph" w:customStyle="1" w:styleId="CopyrightText">
    <w:name w:val="Copyright Text"/>
    <w:basedOn w:val="BodyText"/>
    <w:rsid w:val="00075A15"/>
    <w:rPr>
      <w:sz w:val="18"/>
    </w:rPr>
  </w:style>
  <w:style w:type="paragraph" w:customStyle="1" w:styleId="BodySmallRight">
    <w:name w:val="Body Small Right"/>
    <w:basedOn w:val="BodyTextRight"/>
    <w:rsid w:val="00075A15"/>
    <w:rPr>
      <w:sz w:val="18"/>
      <w:szCs w:val="18"/>
    </w:rPr>
  </w:style>
  <w:style w:type="paragraph" w:customStyle="1" w:styleId="MarginEdition">
    <w:name w:val="Margin Edition"/>
    <w:basedOn w:val="MarginNote"/>
    <w:rsid w:val="00075A15"/>
    <w:pPr>
      <w:spacing w:before="0" w:after="0"/>
    </w:pPr>
    <w:rPr>
      <w:rFonts w:ascii="Times New Roman" w:hAnsi="Times New Roman"/>
      <w:color w:val="999999"/>
    </w:rPr>
  </w:style>
  <w:style w:type="paragraph" w:customStyle="1" w:styleId="Spacer">
    <w:name w:val="Spacer"/>
    <w:basedOn w:val="Normal"/>
    <w:rsid w:val="00075A15"/>
    <w:rPr>
      <w:sz w:val="2"/>
      <w:szCs w:val="2"/>
    </w:rPr>
  </w:style>
  <w:style w:type="character" w:customStyle="1" w:styleId="Small">
    <w:name w:val="Small"/>
    <w:basedOn w:val="DefaultParagraphFont"/>
    <w:rsid w:val="00075A15"/>
    <w:rPr>
      <w:sz w:val="16"/>
    </w:rPr>
  </w:style>
  <w:style w:type="paragraph" w:customStyle="1" w:styleId="WideTable">
    <w:name w:val="Wide Table"/>
    <w:basedOn w:val="Normal"/>
    <w:rsid w:val="00075A15"/>
    <w:pPr>
      <w:ind w:left="-1418"/>
    </w:pPr>
    <w:rPr>
      <w:sz w:val="2"/>
      <w:szCs w:val="2"/>
    </w:rPr>
  </w:style>
  <w:style w:type="character" w:styleId="PageNumber">
    <w:name w:val="page number"/>
    <w:basedOn w:val="DefaultParagraphFont"/>
    <w:rsid w:val="00075A15"/>
  </w:style>
  <w:style w:type="paragraph" w:styleId="Quote">
    <w:name w:val="Quote"/>
    <w:basedOn w:val="Heading1"/>
    <w:link w:val="QuoteChar"/>
    <w:qFormat/>
    <w:rsid w:val="00075A15"/>
    <w:rPr>
      <w:b w:val="0"/>
      <w:sz w:val="72"/>
      <w:szCs w:val="72"/>
      <w:lang w:val="en-NZ"/>
    </w:rPr>
  </w:style>
  <w:style w:type="character" w:customStyle="1" w:styleId="QuoteChar">
    <w:name w:val="Quote Char"/>
    <w:basedOn w:val="DefaultParagraphFont"/>
    <w:link w:val="Quote"/>
    <w:rsid w:val="00075A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A15"/>
    <w:pPr>
      <w:pageBreakBefore/>
    </w:pPr>
  </w:style>
  <w:style w:type="paragraph" w:customStyle="1" w:styleId="Border">
    <w:name w:val="Border"/>
    <w:basedOn w:val="Normal"/>
    <w:qFormat/>
    <w:rsid w:val="00075A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A15"/>
    <w:rPr>
      <w:b/>
      <w:bCs/>
      <w:i/>
      <w:iCs/>
      <w:color w:val="auto"/>
    </w:rPr>
  </w:style>
  <w:style w:type="paragraph" w:styleId="IntenseQuote">
    <w:name w:val="Intense Quote"/>
    <w:basedOn w:val="Normal"/>
    <w:next w:val="Normal"/>
    <w:link w:val="IntenseQuoteChar"/>
    <w:uiPriority w:val="30"/>
    <w:qFormat/>
    <w:rsid w:val="00075A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A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A15"/>
    <w:rPr>
      <w:smallCaps/>
      <w:color w:val="auto"/>
      <w:u w:val="single"/>
    </w:rPr>
  </w:style>
  <w:style w:type="character" w:styleId="IntenseReference">
    <w:name w:val="Intense Reference"/>
    <w:basedOn w:val="DefaultParagraphFont"/>
    <w:uiPriority w:val="32"/>
    <w:qFormat/>
    <w:rsid w:val="00075A15"/>
    <w:rPr>
      <w:b/>
      <w:bCs/>
      <w:smallCaps/>
      <w:color w:val="auto"/>
      <w:spacing w:val="5"/>
      <w:u w:val="single"/>
    </w:rPr>
  </w:style>
  <w:style w:type="paragraph" w:customStyle="1" w:styleId="2ColumnHeading">
    <w:name w:val="2Column Heading"/>
    <w:basedOn w:val="BodyText"/>
    <w:qFormat/>
    <w:rsid w:val="00075A15"/>
    <w:pPr>
      <w:spacing w:after="60"/>
      <w:ind w:left="-2268"/>
    </w:pPr>
    <w:rPr>
      <w:b/>
    </w:rPr>
  </w:style>
  <w:style w:type="paragraph" w:customStyle="1" w:styleId="Heading1TOC">
    <w:name w:val="Heading1 TOC"/>
    <w:basedOn w:val="Normal"/>
    <w:qFormat/>
    <w:rsid w:val="00075A15"/>
    <w:pPr>
      <w:spacing w:before="240" w:after="120"/>
    </w:pPr>
    <w:rPr>
      <w:rFonts w:ascii="Times New Roman" w:hAnsi="Times New Roman"/>
      <w:b/>
      <w:sz w:val="32"/>
    </w:rPr>
  </w:style>
  <w:style w:type="paragraph" w:customStyle="1" w:styleId="Heading2TOC">
    <w:name w:val="Heading2 TOC"/>
    <w:basedOn w:val="Normal"/>
    <w:qFormat/>
    <w:rsid w:val="00075A15"/>
    <w:pPr>
      <w:spacing w:before="240" w:after="60"/>
    </w:pPr>
    <w:rPr>
      <w:rFonts w:ascii="Times New Roman" w:hAnsi="Times New Roman"/>
      <w:b/>
      <w:sz w:val="28"/>
    </w:rPr>
  </w:style>
  <w:style w:type="character" w:customStyle="1" w:styleId="Underline">
    <w:name w:val="Underline"/>
    <w:basedOn w:val="DefaultParagraphFont"/>
    <w:qFormat/>
    <w:rsid w:val="00075A15"/>
    <w:rPr>
      <w:u w:val="single"/>
    </w:rPr>
  </w:style>
  <w:style w:type="character" w:customStyle="1" w:styleId="BoldandItalics">
    <w:name w:val="Bold and Italics"/>
    <w:qFormat/>
    <w:rsid w:val="00075A15"/>
    <w:rPr>
      <w:b/>
      <w:i/>
      <w:u w:val="none"/>
    </w:rPr>
  </w:style>
  <w:style w:type="paragraph" w:styleId="BalloonText">
    <w:name w:val="Balloon Text"/>
    <w:basedOn w:val="Normal"/>
    <w:link w:val="BalloonTextChar"/>
    <w:rsid w:val="00075A15"/>
    <w:rPr>
      <w:rFonts w:ascii="Tahoma" w:hAnsi="Tahoma" w:cs="Tahoma"/>
      <w:sz w:val="16"/>
      <w:szCs w:val="16"/>
    </w:rPr>
  </w:style>
  <w:style w:type="character" w:customStyle="1" w:styleId="BalloonTextChar">
    <w:name w:val="Balloon Text Char"/>
    <w:basedOn w:val="DefaultParagraphFont"/>
    <w:link w:val="BalloonText"/>
    <w:rsid w:val="00075A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A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5A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A15"/>
    <w:rPr>
      <w:b/>
      <w:color w:val="660033"/>
      <w:spacing w:val="0"/>
    </w:rPr>
  </w:style>
  <w:style w:type="paragraph" w:customStyle="1" w:styleId="Nameditemlist">
    <w:name w:val="Named item list"/>
    <w:basedOn w:val="BodyText"/>
    <w:qFormat/>
    <w:rsid w:val="00075A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2082</Words>
  <Characters>12740</Characters>
  <Application>Microsoft Office Word</Application>
  <DocSecurity>0</DocSecurity>
  <Lines>452</Lines>
  <Paragraphs>183</Paragraphs>
  <ScaleCrop>false</ScaleCrop>
  <Company>Author-it Software Corporation Ltd.</Company>
  <LinksUpToDate>false</LinksUpToDate>
  <CharactersWithSpaces>14665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UEPOPS211B Clean plant and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2012-07-25T16:56:00Z</dcterms:created>
  <dcterms:modified xsi:type="dcterms:W3CDTF">2012-07-25T16:56:00Z</dcterms:modified>
</cp:coreProperties>
</file>