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73A5" w:rsidP="006173A5">
      <w:pPr>
        <w:pStyle w:val="Title"/>
      </w:pPr>
      <w:bookmarkStart w:id="0" w:name="_GoBack"/>
      <w:bookmarkEnd w:id="0"/>
      <w:r>
        <w:fldChar w:fldCharType="begin"/>
      </w:r>
      <w:r>
        <w:instrText xml:space="preserve"> TITLE   \* MERGEFORMAT </w:instrText>
      </w:r>
      <w:r>
        <w:fldChar w:fldCharType="separate"/>
      </w:r>
      <w:r>
        <w:t>UEPOPS210B Conduct first response within a workplace team</w:t>
      </w:r>
      <w:r>
        <w:fldChar w:fldCharType="end"/>
      </w:r>
    </w:p>
    <w:p w:rsidR="006173A5" w:rsidP="006173A5">
      <w:pPr>
        <w:pStyle w:val="Version"/>
        <w:sectPr w:rsidSect="00FD43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43D6" w:rsidP="00FD43D6">
      <w:pPr>
        <w:pStyle w:val="SuperHeading"/>
      </w:pPr>
      <w:r w:rsidRPr="00FD43D6">
        <w:t>UEPOPS210B Conduct first response within a workplace team</w:t>
      </w:r>
    </w:p>
    <w:p w:rsidR="00000000" w:rsidRPr="00FD43D6" w:rsidP="00FD43D6">
      <w:pPr>
        <w:pStyle w:val="Heading1"/>
      </w:pPr>
      <w:bookmarkStart w:id="1" w:name="O_471003"/>
      <w:bookmarkEnd w:id="1"/>
      <w:r w:rsidRPr="00FD43D6">
        <w:t>Modification History</w:t>
      </w:r>
    </w:p>
    <w:p w:rsidR="00000000" w:rsidRPr="00FD43D6" w:rsidP="00FD43D6">
      <w:pPr>
        <w:pStyle w:val="BodyText"/>
      </w:pPr>
      <w:r w:rsidRPr="00FD43D6">
        <w:t>Not applicable.</w:t>
      </w:r>
    </w:p>
    <w:p w:rsidR="00000000" w:rsidRPr="00FD43D6" w:rsidP="00FD43D6">
      <w:pPr>
        <w:pStyle w:val="AllowPageBreak"/>
      </w:pPr>
    </w:p>
    <w:p w:rsidR="00000000" w:rsidRPr="00FD43D6" w:rsidP="00FD43D6">
      <w:pPr>
        <w:pStyle w:val="Heading1"/>
      </w:pPr>
      <w:bookmarkStart w:id="2" w:name="O_471001"/>
      <w:bookmarkEnd w:id="2"/>
      <w:r w:rsidRPr="00FD43D6">
        <w:t>Unit Descriptor</w:t>
      </w:r>
    </w:p>
    <w:tbl>
      <w:tblPr>
        <w:tblW w:w="0" w:type="auto"/>
        <w:tblLayout w:type="fixed"/>
        <w:tblCellMar>
          <w:left w:w="62" w:type="dxa"/>
          <w:right w:w="62" w:type="dxa"/>
        </w:tblCellMar>
        <w:tblLook w:val="0000"/>
      </w:tblPr>
      <w:tblGrid>
        <w:gridCol w:w="2700"/>
        <w:gridCol w:w="5760"/>
      </w:tblGrid>
      <w:tr w:rsidTr="006173A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D43D6" w:rsidP="00FD43D6">
            <w:pPr>
              <w:pStyle w:val="BodyText"/>
            </w:pPr>
            <w:r w:rsidRPr="00FD43D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rPr>
                <w:rStyle w:val="SpecialBold"/>
              </w:rPr>
              <w:t>1)</w:t>
            </w:r>
            <w:r w:rsidRPr="00FD43D6">
              <w:t xml:space="preserve"> </w:t>
            </w:r>
            <w:r w:rsidRPr="00FD43D6">
              <w:rPr>
                <w:rStyle w:val="SpecialBold"/>
              </w:rPr>
              <w:t>Scope:</w:t>
            </w:r>
          </w:p>
        </w:tc>
      </w:tr>
      <w:tr w:rsidTr="006173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D43D6">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rPr>
                <w:rStyle w:val="SpecialBold"/>
              </w:rPr>
              <w:t>1.1) Descriptor</w:t>
            </w:r>
          </w:p>
        </w:tc>
      </w:tr>
      <w:tr w:rsidTr="006173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D43D6" w:rsidP="00FD43D6">
            <w:pPr>
              <w:pStyle w:val="BodyText"/>
            </w:pPr>
            <w:r w:rsidRPr="00FD43D6">
              <w:t>This unit deals with the skills and knowledge required to conduct a first response within emergency team operations.</w:t>
            </w:r>
          </w:p>
        </w:tc>
      </w:tr>
    </w:tbl>
    <w:p w:rsidR="00000000" w:rsidRPr="00FD43D6" w:rsidP="00FD43D6">
      <w:pPr>
        <w:pStyle w:val="BodyText"/>
      </w:pPr>
    </w:p>
    <w:p w:rsidR="00000000" w:rsidRPr="00FD43D6" w:rsidP="00FD43D6">
      <w:pPr>
        <w:pStyle w:val="AllowPageBreak"/>
      </w:pPr>
    </w:p>
    <w:p w:rsidR="00000000" w:rsidRPr="00FD43D6" w:rsidP="00FD43D6">
      <w:pPr>
        <w:pStyle w:val="Heading1"/>
      </w:pPr>
      <w:bookmarkStart w:id="3" w:name="O_470990"/>
      <w:bookmarkEnd w:id="3"/>
      <w:r w:rsidRPr="00FD43D6">
        <w:t>Application of the Unit</w:t>
      </w:r>
    </w:p>
    <w:tbl>
      <w:tblPr>
        <w:tblW w:w="0" w:type="auto"/>
        <w:tblLayout w:type="fixed"/>
        <w:tblCellMar>
          <w:left w:w="62" w:type="dxa"/>
          <w:right w:w="62" w:type="dxa"/>
        </w:tblCellMar>
        <w:tblLook w:val="0000"/>
      </w:tblPr>
      <w:tblGrid>
        <w:gridCol w:w="2672"/>
        <w:gridCol w:w="5699"/>
      </w:tblGrid>
      <w:tr w:rsidTr="006173A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FD43D6" w:rsidP="00FD43D6">
            <w:pPr>
              <w:pStyle w:val="BodyText"/>
            </w:pPr>
            <w:r w:rsidRPr="00FD43D6">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rPr>
                <w:rStyle w:val="SpecialBold"/>
              </w:rPr>
              <w:t>2)</w:t>
            </w:r>
          </w:p>
        </w:tc>
      </w:tr>
      <w:tr w:rsidTr="006173A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FD43D6" w:rsidP="00FD43D6">
            <w:pPr>
              <w:pStyle w:val="BodyText"/>
            </w:pPr>
            <w:r w:rsidRPr="00FD43D6">
              <w:t>This unit is intended to augment formally acquired competencies. It is suitable for employment-based programs under an approved contract of training.</w:t>
            </w:r>
          </w:p>
        </w:tc>
      </w:tr>
    </w:tbl>
    <w:p w:rsidR="00000000" w:rsidRPr="00FD43D6" w:rsidP="00FD43D6">
      <w:pPr>
        <w:pStyle w:val="BodyText"/>
      </w:pPr>
    </w:p>
    <w:p w:rsidR="00000000" w:rsidRPr="00FD43D6" w:rsidP="00FD43D6">
      <w:pPr>
        <w:pStyle w:val="AllowPageBreak"/>
      </w:pPr>
    </w:p>
    <w:p w:rsidR="00000000" w:rsidRPr="00FD43D6" w:rsidP="00FD43D6">
      <w:pPr>
        <w:pStyle w:val="Heading1"/>
      </w:pPr>
      <w:bookmarkStart w:id="4" w:name="O_470997"/>
      <w:bookmarkEnd w:id="4"/>
      <w:r w:rsidRPr="00FD43D6">
        <w:t>Licensing/Regulatory Information</w:t>
      </w:r>
    </w:p>
    <w:tbl>
      <w:tblPr>
        <w:tblW w:w="0" w:type="auto"/>
        <w:tblLayout w:type="fixed"/>
        <w:tblCellMar>
          <w:left w:w="62" w:type="dxa"/>
          <w:right w:w="62" w:type="dxa"/>
        </w:tblCellMar>
        <w:tblLook w:val="0000"/>
      </w:tblPr>
      <w:tblGrid>
        <w:gridCol w:w="2700"/>
        <w:gridCol w:w="5760"/>
      </w:tblGrid>
      <w:tr w:rsidTr="006173A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D43D6" w:rsidP="00FD43D6">
            <w:pPr>
              <w:pStyle w:val="BodyText"/>
            </w:pPr>
            <w:r w:rsidRPr="00FD43D6">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rPr>
                <w:rStyle w:val="SpecialBold"/>
              </w:rPr>
              <w:t xml:space="preserve">3) </w:t>
            </w:r>
          </w:p>
        </w:tc>
      </w:tr>
      <w:tr w:rsidTr="006173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D43D6" w:rsidP="00FD43D6">
            <w:pPr>
              <w:pStyle w:val="BodyText"/>
            </w:pPr>
            <w:r w:rsidRPr="00FD43D6">
              <w:t>The skills and knowledge des</w:t>
            </w:r>
            <w:r w:rsidRPr="00FD43D6">
              <w:t>cribed in this unit do not require a licence to practise in the workplace. However, practice in this unit is subject to regulations directly related to Occupational Health and Safety.</w:t>
            </w:r>
          </w:p>
        </w:tc>
      </w:tr>
    </w:tbl>
    <w:p w:rsidR="00000000" w:rsidRPr="00FD43D6" w:rsidP="00FD43D6">
      <w:pPr>
        <w:pStyle w:val="BodyText"/>
      </w:pPr>
    </w:p>
    <w:p w:rsidR="00000000" w:rsidRPr="00FD43D6" w:rsidP="00FD43D6">
      <w:pPr>
        <w:pStyle w:val="AllowPageBreak"/>
      </w:pPr>
    </w:p>
    <w:p w:rsidR="00000000" w:rsidRPr="00FD43D6" w:rsidP="00FD43D6">
      <w:pPr>
        <w:pStyle w:val="Heading1"/>
      </w:pPr>
      <w:bookmarkStart w:id="5" w:name="O_470998"/>
      <w:bookmarkEnd w:id="5"/>
      <w:r w:rsidRPr="00FD43D6">
        <w:t>Pre-Requisites</w:t>
      </w:r>
    </w:p>
    <w:tbl>
      <w:tblPr>
        <w:tblW w:w="0" w:type="auto"/>
        <w:tblLayout w:type="fixed"/>
        <w:tblCellMar>
          <w:left w:w="62" w:type="dxa"/>
          <w:right w:w="62" w:type="dxa"/>
        </w:tblCellMar>
        <w:tblLook w:val="0000"/>
      </w:tblPr>
      <w:tblGrid>
        <w:gridCol w:w="2700"/>
        <w:gridCol w:w="5764"/>
      </w:tblGrid>
      <w:tr w:rsidTr="006173A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D43D6" w:rsidP="00FD43D6">
            <w:pPr>
              <w:pStyle w:val="BodyText"/>
            </w:pPr>
            <w:r w:rsidRPr="00FD43D6">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rPr>
                <w:rStyle w:val="SpecialBold"/>
              </w:rPr>
              <w:t xml:space="preserve">4) </w:t>
            </w:r>
          </w:p>
        </w:tc>
      </w:tr>
      <w:tr w:rsidTr="006173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D43D6" w:rsidP="00FD43D6">
            <w:pPr>
              <w:pStyle w:val="BodyText"/>
            </w:pPr>
            <w:r w:rsidRPr="00FD43D6">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rPr>
                <w:rStyle w:val="SpecialBold"/>
              </w:rPr>
              <w:t>4.1)</w:t>
            </w:r>
          </w:p>
        </w:tc>
      </w:tr>
      <w:tr w:rsidTr="006173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FD43D6" w:rsidP="00FD43D6">
            <w:pPr>
              <w:pStyle w:val="BodyText"/>
            </w:pPr>
            <w:r w:rsidRPr="00FD43D6">
              <w:t>Granting of competency in this unit shall be made only after competency in the following unit(s) has/have been confirmed.</w:t>
            </w:r>
          </w:p>
          <w:p w:rsidR="00000000" w:rsidRPr="00FD43D6" w:rsidP="00FD43D6">
            <w:pPr>
              <w:pStyle w:val="BodyText"/>
            </w:pPr>
            <w:r w:rsidRPr="00FD43D6">
              <w:t>Where pre-requisite pathways have been identified. All competencies in the Common Unit Group must be have been completed.</w:t>
            </w:r>
          </w:p>
          <w:p w:rsidR="00000000" w:rsidRPr="00FD43D6" w:rsidP="00FD43D6">
            <w:pPr>
              <w:pStyle w:val="BodyText"/>
            </w:pPr>
            <w:r w:rsidRPr="00FD43D6">
              <w:t>Ther</w:t>
            </w:r>
            <w:r w:rsidRPr="00FD43D6">
              <w:t>e are no pre-requisite units.</w:t>
            </w:r>
          </w:p>
        </w:tc>
      </w:tr>
    </w:tbl>
    <w:p w:rsidR="00000000" w:rsidRPr="00FD43D6" w:rsidP="00FD43D6">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6173A5">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FD43D6" w:rsidP="00FD43D6">
            <w:pPr>
              <w:pStyle w:val="BodyText"/>
            </w:pPr>
            <w:r w:rsidRPr="00FD43D6">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rPr>
                <w:rStyle w:val="SpecialBold"/>
              </w:rPr>
              <w:t xml:space="preserve">4.2) </w:t>
            </w:r>
          </w:p>
        </w:tc>
      </w:tr>
      <w:tr w:rsidTr="006173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t xml:space="preserve">Participants are best equipped to achieve this unit if they have reading, writing and numeracy skills indicated by the following levels. A </w:t>
            </w:r>
            <w:r w:rsidRPr="00FD43D6">
              <w:t>description of what each level entails is provided in Section 2.3.1 Language, Literacy and Numeracy.</w:t>
            </w:r>
          </w:p>
        </w:tc>
      </w:tr>
      <w:tr w:rsidTr="006173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t>Reading</w:t>
            </w:r>
          </w:p>
        </w:tc>
        <w:tc>
          <w:tcPr>
            <w:tcW w:w="810" w:type="dxa"/>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t>2</w:t>
            </w:r>
          </w:p>
        </w:tc>
        <w:tc>
          <w:tcPr>
            <w:tcW w:w="990" w:type="dxa"/>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t>Writing</w:t>
            </w:r>
          </w:p>
        </w:tc>
        <w:tc>
          <w:tcPr>
            <w:tcW w:w="900" w:type="dxa"/>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t>2</w:t>
            </w:r>
          </w:p>
        </w:tc>
        <w:tc>
          <w:tcPr>
            <w:tcW w:w="1260" w:type="dxa"/>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t>Numeracy</w:t>
            </w:r>
          </w:p>
        </w:tc>
        <w:tc>
          <w:tcPr>
            <w:tcW w:w="720" w:type="dxa"/>
            <w:tcBorders>
              <w:top w:val="nil"/>
              <w:left w:val="nil"/>
              <w:bottom w:val="nil"/>
              <w:right w:val="nil"/>
            </w:tcBorders>
            <w:tcMar>
              <w:top w:w="0" w:type="dxa"/>
              <w:left w:w="62" w:type="dxa"/>
              <w:bottom w:w="0" w:type="dxa"/>
              <w:right w:w="62" w:type="dxa"/>
            </w:tcMar>
          </w:tcPr>
          <w:p w:rsidR="00000000" w:rsidRPr="00FD43D6" w:rsidP="00FD43D6">
            <w:pPr>
              <w:pStyle w:val="BodyText"/>
            </w:pPr>
            <w:r w:rsidRPr="00FD43D6">
              <w:t>2</w:t>
            </w:r>
          </w:p>
        </w:tc>
      </w:tr>
    </w:tbl>
    <w:p w:rsidR="00000000" w:rsidRPr="00FD43D6" w:rsidP="00FD43D6">
      <w:pPr>
        <w:pStyle w:val="BodyText"/>
      </w:pPr>
    </w:p>
    <w:p w:rsidR="00000000" w:rsidRPr="00FD43D6" w:rsidP="00FD43D6">
      <w:pPr>
        <w:pStyle w:val="AllowPageBreak"/>
      </w:pPr>
    </w:p>
    <w:p w:rsidR="00000000" w:rsidRPr="00FD43D6" w:rsidP="00FD43D6">
      <w:pPr>
        <w:pStyle w:val="Heading1"/>
      </w:pPr>
      <w:bookmarkStart w:id="6" w:name="O_470994"/>
      <w:bookmarkEnd w:id="6"/>
      <w:r w:rsidRPr="00FD43D6">
        <w:t>Employability Skills Information</w:t>
      </w:r>
    </w:p>
    <w:tbl>
      <w:tblPr>
        <w:tblW w:w="0" w:type="auto"/>
        <w:tblLayout w:type="fixed"/>
        <w:tblCellMar>
          <w:left w:w="62" w:type="dxa"/>
          <w:right w:w="62" w:type="dxa"/>
        </w:tblCellMar>
        <w:tblLook w:val="0000"/>
      </w:tblPr>
      <w:tblGrid>
        <w:gridCol w:w="2700"/>
        <w:gridCol w:w="5760"/>
      </w:tblGrid>
      <w:tr w:rsidTr="006173A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D43D6" w:rsidP="00FD43D6">
            <w:pPr>
              <w:pStyle w:val="BodyText"/>
            </w:pPr>
            <w:r w:rsidRPr="00FD43D6">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rPr>
                <w:rStyle w:val="SpecialBold"/>
              </w:rPr>
              <w:t xml:space="preserve">5) </w:t>
            </w:r>
          </w:p>
        </w:tc>
      </w:tr>
      <w:tr w:rsidTr="006173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D43D6" w:rsidP="00FD43D6">
            <w:pPr>
              <w:pStyle w:val="BodyText"/>
            </w:pPr>
            <w:r w:rsidRPr="00FD43D6">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FD43D6">
              <w:t>requirements.</w:t>
            </w:r>
          </w:p>
        </w:tc>
      </w:tr>
    </w:tbl>
    <w:p w:rsidR="00000000" w:rsidRPr="00FD43D6" w:rsidP="00FD43D6">
      <w:pPr>
        <w:pStyle w:val="BodyText"/>
      </w:pPr>
    </w:p>
    <w:p w:rsidR="00000000" w:rsidRPr="00FD43D6" w:rsidP="00FD43D6">
      <w:pPr>
        <w:pStyle w:val="AllowPageBreak"/>
      </w:pPr>
    </w:p>
    <w:p w:rsidR="00000000" w:rsidRPr="00FD43D6" w:rsidP="00FD43D6">
      <w:pPr>
        <w:pStyle w:val="Heading1"/>
      </w:pPr>
      <w:bookmarkStart w:id="7" w:name="O_470993"/>
      <w:bookmarkEnd w:id="7"/>
      <w:r w:rsidRPr="00FD43D6">
        <w:t>Elements and Performance Criteria Pre-Content</w:t>
      </w:r>
    </w:p>
    <w:tbl>
      <w:tblPr>
        <w:tblW w:w="0" w:type="auto"/>
        <w:tblLayout w:type="fixed"/>
        <w:tblCellMar>
          <w:left w:w="62" w:type="dxa"/>
          <w:right w:w="62" w:type="dxa"/>
        </w:tblCellMar>
        <w:tblLook w:val="0000"/>
      </w:tblPr>
      <w:tblGrid>
        <w:gridCol w:w="2700"/>
        <w:gridCol w:w="5760"/>
      </w:tblGrid>
      <w:tr w:rsidTr="006173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rPr>
                <w:rStyle w:val="SpecialBold"/>
              </w:rPr>
              <w:t>6)</w:t>
            </w:r>
            <w:r w:rsidRPr="00FD43D6">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FD43D6" w:rsidP="00FD43D6">
            <w:pPr>
              <w:pStyle w:val="BodyText"/>
            </w:pPr>
            <w:r w:rsidRPr="00FD43D6">
              <w:t>Performance Criteria describe the required performance needed to demonstrate achievement of the element</w:t>
            </w:r>
            <w:r w:rsidRPr="00FD43D6">
              <w:t>. Assessment of performance is to be consistent with the Evidence Guide.</w:t>
            </w:r>
          </w:p>
        </w:tc>
      </w:tr>
    </w:tbl>
    <w:p w:rsidR="00000000" w:rsidRPr="00FD43D6" w:rsidP="00FD43D6">
      <w:pPr>
        <w:pStyle w:val="BodyText"/>
      </w:pPr>
    </w:p>
    <w:p w:rsidR="00000000" w:rsidRPr="00FD43D6" w:rsidP="00FD43D6">
      <w:pPr>
        <w:pStyle w:val="AllowPageBreak"/>
      </w:pPr>
    </w:p>
    <w:p w:rsidR="00000000" w:rsidRPr="00FD43D6" w:rsidP="00FD43D6">
      <w:pPr>
        <w:pStyle w:val="Heading1"/>
      </w:pPr>
      <w:bookmarkStart w:id="8" w:name="O_470992"/>
      <w:bookmarkEnd w:id="8"/>
      <w:r w:rsidRPr="00FD43D6">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6173A5">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D43D6" w:rsidP="00FD43D6">
            <w:pPr>
              <w:pStyle w:val="BodyText"/>
            </w:pPr>
            <w:r w:rsidRPr="00FD43D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rPr>
                <w:rStyle w:val="SpecialBold"/>
              </w:rPr>
              <w:t>PERFORMANCE CRITERIA</w:t>
            </w:r>
          </w:p>
        </w:tc>
      </w:tr>
      <w:tr w:rsidTr="006173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t>1</w:t>
            </w:r>
          </w:p>
        </w:tc>
        <w:tc>
          <w:tcPr>
            <w:tcW w:w="2296" w:type="dxa"/>
            <w:vMerge w:val="restart"/>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t>Identify emergency team roles and responsibilities</w:t>
            </w:r>
          </w:p>
        </w:tc>
        <w:tc>
          <w:tcPr>
            <w:tcW w:w="900" w:type="dxa"/>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t>1.1</w:t>
            </w:r>
          </w:p>
        </w:tc>
        <w:tc>
          <w:tcPr>
            <w:tcW w:w="4860" w:type="dxa"/>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t>The purpose of the team is iden</w:t>
            </w:r>
            <w:r w:rsidRPr="00FD43D6">
              <w:t>tified and, where necessary, clarified with relevant personnel</w:t>
            </w:r>
          </w:p>
        </w:tc>
      </w:tr>
      <w:tr w:rsidTr="006173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t>1.2</w:t>
            </w:r>
          </w:p>
        </w:tc>
        <w:tc>
          <w:tcPr>
            <w:tcW w:w="4860" w:type="dxa"/>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t>The duties and responsibilities of team members are identified</w:t>
            </w:r>
          </w:p>
        </w:tc>
      </w:tr>
      <w:tr w:rsidTr="006173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t>1.3</w:t>
            </w:r>
          </w:p>
        </w:tc>
        <w:tc>
          <w:tcPr>
            <w:tcW w:w="4860" w:type="dxa"/>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t>Instructions from supervising team members are carried out in accordance with enterprise/site procedures</w:t>
            </w:r>
          </w:p>
        </w:tc>
      </w:tr>
      <w:tr w:rsidTr="006173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t>1.4</w:t>
            </w:r>
          </w:p>
        </w:tc>
        <w:tc>
          <w:tcPr>
            <w:tcW w:w="4860" w:type="dxa"/>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t>Team members are supported in relation to duties and responsibilities</w:t>
            </w:r>
          </w:p>
        </w:tc>
      </w:tr>
      <w:tr w:rsidTr="006173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t>1.5</w:t>
            </w:r>
          </w:p>
        </w:tc>
        <w:tc>
          <w:tcPr>
            <w:tcW w:w="4860" w:type="dxa"/>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t>Appropriate team member identification is displayed in accordance with procedures</w:t>
            </w:r>
          </w:p>
        </w:tc>
      </w:tr>
      <w:tr w:rsidTr="006173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t>2</w:t>
            </w:r>
          </w:p>
        </w:tc>
        <w:tc>
          <w:tcPr>
            <w:tcW w:w="2296" w:type="dxa"/>
            <w:vMerge w:val="restart"/>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t>Cooperate with other emergency service(s) personnel</w:t>
            </w:r>
          </w:p>
        </w:tc>
        <w:tc>
          <w:tcPr>
            <w:tcW w:w="900" w:type="dxa"/>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t>2.1</w:t>
            </w:r>
          </w:p>
        </w:tc>
        <w:tc>
          <w:tcPr>
            <w:tcW w:w="4860" w:type="dxa"/>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t>The roles and responsibilities of emer</w:t>
            </w:r>
            <w:r w:rsidRPr="00FD43D6">
              <w:t>gency service(s) personnel are clarified, where necessary</w:t>
            </w:r>
          </w:p>
        </w:tc>
      </w:tr>
      <w:tr w:rsidTr="006173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t>2.2</w:t>
            </w:r>
          </w:p>
        </w:tc>
        <w:tc>
          <w:tcPr>
            <w:tcW w:w="4860" w:type="dxa"/>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t>Role and authority of emergency services is conveyed to other team members</w:t>
            </w:r>
          </w:p>
        </w:tc>
      </w:tr>
      <w:tr w:rsidTr="006173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t>2.3</w:t>
            </w:r>
          </w:p>
        </w:tc>
        <w:tc>
          <w:tcPr>
            <w:tcW w:w="4860" w:type="dxa"/>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t>Instructions from relevant emergency services personnel are clarified and complied with</w:t>
            </w:r>
          </w:p>
        </w:tc>
      </w:tr>
      <w:tr w:rsidTr="006173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t>3</w:t>
            </w:r>
          </w:p>
        </w:tc>
        <w:tc>
          <w:tcPr>
            <w:tcW w:w="2296" w:type="dxa"/>
            <w:vMerge w:val="restart"/>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t>Evaluate the emergency</w:t>
            </w:r>
          </w:p>
        </w:tc>
        <w:tc>
          <w:tcPr>
            <w:tcW w:w="900" w:type="dxa"/>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t>3.1</w:t>
            </w:r>
          </w:p>
        </w:tc>
        <w:tc>
          <w:tcPr>
            <w:tcW w:w="4860" w:type="dxa"/>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t>The emergency situation is identified and classified and appropriate action determined</w:t>
            </w:r>
          </w:p>
        </w:tc>
      </w:tr>
      <w:tr w:rsidTr="006173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t>3.2</w:t>
            </w:r>
          </w:p>
        </w:tc>
        <w:tc>
          <w:tcPr>
            <w:tcW w:w="4860" w:type="dxa"/>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t>Advice is accessed from relevant personnel in evaluating the emergency</w:t>
            </w:r>
          </w:p>
        </w:tc>
      </w:tr>
      <w:tr w:rsidTr="006173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t>3.3</w:t>
            </w:r>
          </w:p>
        </w:tc>
        <w:tc>
          <w:tcPr>
            <w:tcW w:w="4860" w:type="dxa"/>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t>Advice is accessed</w:t>
            </w:r>
            <w:r w:rsidRPr="00FD43D6">
              <w:t xml:space="preserve"> from relevant personnel in evaluating the emergency</w:t>
            </w:r>
          </w:p>
        </w:tc>
      </w:tr>
      <w:tr w:rsidTr="006173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t>3.4</w:t>
            </w:r>
          </w:p>
        </w:tc>
        <w:tc>
          <w:tcPr>
            <w:tcW w:w="4860" w:type="dxa"/>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t>Emergency evacuation procedures are followed where appropriate</w:t>
            </w:r>
          </w:p>
        </w:tc>
      </w:tr>
      <w:tr w:rsidTr="006173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t>3.5</w:t>
            </w:r>
          </w:p>
        </w:tc>
        <w:tc>
          <w:tcPr>
            <w:tcW w:w="4860" w:type="dxa"/>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t>Requirement for special expert assistance is identified</w:t>
            </w:r>
          </w:p>
        </w:tc>
      </w:tr>
      <w:tr w:rsidTr="006173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t>3.6</w:t>
            </w:r>
          </w:p>
        </w:tc>
        <w:tc>
          <w:tcPr>
            <w:tcW w:w="4860" w:type="dxa"/>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t>Incident is evaluated to prevent repetition of risk</w:t>
            </w:r>
          </w:p>
        </w:tc>
      </w:tr>
      <w:tr w:rsidTr="006173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t>3.7</w:t>
            </w:r>
          </w:p>
        </w:tc>
        <w:tc>
          <w:tcPr>
            <w:tcW w:w="4860" w:type="dxa"/>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t>Location of emergency is identified and most effective route to emergency is determined</w:t>
            </w:r>
          </w:p>
        </w:tc>
      </w:tr>
      <w:tr w:rsidTr="006173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t>3.8</w:t>
            </w:r>
          </w:p>
        </w:tc>
        <w:tc>
          <w:tcPr>
            <w:tcW w:w="4860" w:type="dxa"/>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t>Situations where first attack actions are not safe are reported according to enterprise/site procedures</w:t>
            </w:r>
          </w:p>
        </w:tc>
      </w:tr>
      <w:tr w:rsidTr="006173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t>4</w:t>
            </w:r>
          </w:p>
        </w:tc>
        <w:tc>
          <w:tcPr>
            <w:tcW w:w="2296" w:type="dxa"/>
            <w:vMerge w:val="restart"/>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t>Contain emergencies</w:t>
            </w:r>
          </w:p>
        </w:tc>
        <w:tc>
          <w:tcPr>
            <w:tcW w:w="900" w:type="dxa"/>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t>4.1</w:t>
            </w:r>
          </w:p>
        </w:tc>
        <w:tc>
          <w:tcPr>
            <w:tcW w:w="4860" w:type="dxa"/>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t>Emergencies are contained to their area of origin were possible, in accordance with procedures</w:t>
            </w:r>
          </w:p>
        </w:tc>
      </w:tr>
      <w:tr w:rsidTr="006173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t>4.2</w:t>
            </w:r>
          </w:p>
        </w:tc>
        <w:tc>
          <w:tcPr>
            <w:tcW w:w="4860" w:type="dxa"/>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t>Emergency control equipment or facilities used to confine emergency are used in a safe manner, and with regard to other team members and personnel</w:t>
            </w:r>
          </w:p>
        </w:tc>
      </w:tr>
      <w:tr w:rsidTr="006173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t>4.3</w:t>
            </w:r>
          </w:p>
        </w:tc>
        <w:tc>
          <w:tcPr>
            <w:tcW w:w="4860" w:type="dxa"/>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t>Emergency control equipment or facilities are used within limitations and relevant operating procedures</w:t>
            </w:r>
          </w:p>
        </w:tc>
      </w:tr>
      <w:tr w:rsidTr="006173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t>4.4</w:t>
            </w:r>
          </w:p>
        </w:tc>
        <w:tc>
          <w:tcPr>
            <w:tcW w:w="4860" w:type="dxa"/>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t xml:space="preserve">Manufacturer’s specifications, environmental requirements and enterprise procedures are identified, applied and monitored throughout </w:t>
            </w:r>
            <w:r w:rsidRPr="00FD43D6">
              <w:t>the work procedures</w:t>
            </w:r>
          </w:p>
        </w:tc>
      </w:tr>
      <w:tr w:rsidTr="006173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t>4.5</w:t>
            </w:r>
          </w:p>
        </w:tc>
        <w:tc>
          <w:tcPr>
            <w:tcW w:w="4860" w:type="dxa"/>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t>The anticipated behaviour and characteristics of the fire or emergency incident are taken into account in the directions and advice given to team members after appropriate site inspection</w:t>
            </w:r>
          </w:p>
        </w:tc>
      </w:tr>
      <w:tr w:rsidTr="006173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t>4.6</w:t>
            </w:r>
          </w:p>
        </w:tc>
        <w:tc>
          <w:tcPr>
            <w:tcW w:w="4860" w:type="dxa"/>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t xml:space="preserve">A plan to ensure personnel safety </w:t>
            </w:r>
            <w:r w:rsidRPr="00FD43D6">
              <w:t>and plant integrity is developed, in accordance with statutory, industry and site standards</w:t>
            </w:r>
          </w:p>
        </w:tc>
      </w:tr>
      <w:tr w:rsidTr="006173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t>4.7</w:t>
            </w:r>
          </w:p>
        </w:tc>
        <w:tc>
          <w:tcPr>
            <w:tcW w:w="4860" w:type="dxa"/>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t>Relevant documentation is obtained in accordance with procedures</w:t>
            </w:r>
          </w:p>
        </w:tc>
      </w:tr>
      <w:tr w:rsidTr="006173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t>4.8</w:t>
            </w:r>
          </w:p>
        </w:tc>
        <w:tc>
          <w:tcPr>
            <w:tcW w:w="4860" w:type="dxa"/>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t xml:space="preserve">Materials, equipment and resources required to satisfy the job are </w:t>
            </w:r>
            <w:r w:rsidRPr="00FD43D6">
              <w:t>identified and obtained</w:t>
            </w:r>
          </w:p>
        </w:tc>
      </w:tr>
      <w:tr w:rsidTr="006173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t>4.9</w:t>
            </w:r>
          </w:p>
        </w:tc>
        <w:tc>
          <w:tcPr>
            <w:tcW w:w="4860" w:type="dxa"/>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t>Effective lines of communication are established if required</w:t>
            </w:r>
          </w:p>
        </w:tc>
      </w:tr>
      <w:tr w:rsidTr="006173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t>5</w:t>
            </w:r>
          </w:p>
        </w:tc>
        <w:tc>
          <w:tcPr>
            <w:tcW w:w="2296" w:type="dxa"/>
            <w:vMerge w:val="restart"/>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t>Use emergency equipment</w:t>
            </w:r>
          </w:p>
        </w:tc>
        <w:tc>
          <w:tcPr>
            <w:tcW w:w="900" w:type="dxa"/>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t>5.1</w:t>
            </w:r>
          </w:p>
        </w:tc>
        <w:tc>
          <w:tcPr>
            <w:tcW w:w="4860" w:type="dxa"/>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t>Appropriate equipment is selected to attack emergency situation</w:t>
            </w:r>
          </w:p>
        </w:tc>
      </w:tr>
      <w:tr w:rsidTr="006173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t>5.2</w:t>
            </w:r>
          </w:p>
        </w:tc>
        <w:tc>
          <w:tcPr>
            <w:tcW w:w="4860" w:type="dxa"/>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t>Equipment is checked in accordance with procedures or standards to ensure it is safe and ready for use</w:t>
            </w:r>
          </w:p>
        </w:tc>
      </w:tr>
      <w:tr w:rsidTr="006173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t>5.3</w:t>
            </w:r>
          </w:p>
        </w:tc>
        <w:tc>
          <w:tcPr>
            <w:tcW w:w="4860" w:type="dxa"/>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t>Equipment is used in accordance with relevant procedures and standards</w:t>
            </w:r>
          </w:p>
        </w:tc>
      </w:tr>
      <w:tr w:rsidTr="006173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t>5.4</w:t>
            </w:r>
          </w:p>
        </w:tc>
        <w:tc>
          <w:tcPr>
            <w:tcW w:w="4860" w:type="dxa"/>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t>Operation and location of others in the team are monitored to ensure</w:t>
            </w:r>
            <w:r w:rsidRPr="00FD43D6">
              <w:t xml:space="preserve"> the continuing communication, visual contact and safety in accordance with enterprise/site procedures</w:t>
            </w:r>
          </w:p>
        </w:tc>
      </w:tr>
      <w:tr w:rsidTr="006173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t>5.5</w:t>
            </w:r>
          </w:p>
        </w:tc>
        <w:tc>
          <w:tcPr>
            <w:tcW w:w="4860" w:type="dxa"/>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t>Use of equipment is co-ordinated in conjunction with other emergency actions/responses</w:t>
            </w:r>
          </w:p>
        </w:tc>
      </w:tr>
      <w:tr w:rsidTr="006173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t>5.6</w:t>
            </w:r>
          </w:p>
        </w:tc>
        <w:tc>
          <w:tcPr>
            <w:tcW w:w="4860" w:type="dxa"/>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t>Rescue and first aid procedures are applied as required and in accordance with procedures</w:t>
            </w:r>
          </w:p>
        </w:tc>
      </w:tr>
      <w:tr w:rsidTr="006173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t>6</w:t>
            </w:r>
          </w:p>
        </w:tc>
        <w:tc>
          <w:tcPr>
            <w:tcW w:w="2296" w:type="dxa"/>
            <w:vMerge w:val="restart"/>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t>Report outcomes of emergency response</w:t>
            </w:r>
          </w:p>
        </w:tc>
        <w:tc>
          <w:tcPr>
            <w:tcW w:w="900" w:type="dxa"/>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t>6.1</w:t>
            </w:r>
          </w:p>
        </w:tc>
        <w:tc>
          <w:tcPr>
            <w:tcW w:w="4860" w:type="dxa"/>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t>Fire and emergency equipment is marked or positioned after use, in accordance with procedures, to indicate it requires se</w:t>
            </w:r>
            <w:r w:rsidRPr="00FD43D6">
              <w:t>rvicing or replacing</w:t>
            </w:r>
          </w:p>
        </w:tc>
      </w:tr>
      <w:tr w:rsidTr="006173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t>6.2</w:t>
            </w:r>
          </w:p>
        </w:tc>
        <w:tc>
          <w:tcPr>
            <w:tcW w:w="4860" w:type="dxa"/>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t>The use of emergency equipment is reported according to procedures</w:t>
            </w:r>
          </w:p>
        </w:tc>
      </w:tr>
      <w:tr w:rsidTr="006173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t>6.3</w:t>
            </w:r>
          </w:p>
        </w:tc>
        <w:tc>
          <w:tcPr>
            <w:tcW w:w="4860" w:type="dxa"/>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t>De-briefing is attended and responded to in accordance with procedures</w:t>
            </w:r>
          </w:p>
        </w:tc>
      </w:tr>
      <w:tr w:rsidTr="006173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t>6.4</w:t>
            </w:r>
          </w:p>
        </w:tc>
        <w:tc>
          <w:tcPr>
            <w:tcW w:w="4860" w:type="dxa"/>
            <w:tcBorders>
              <w:top w:val="nil"/>
              <w:left w:val="nil"/>
              <w:bottom w:val="nil"/>
              <w:right w:val="nil"/>
            </w:tcBorders>
            <w:tcMar>
              <w:top w:w="0" w:type="dxa"/>
              <w:left w:w="62" w:type="dxa"/>
              <w:bottom w:w="0" w:type="dxa"/>
              <w:right w:w="62" w:type="dxa"/>
            </w:tcMar>
          </w:tcPr>
          <w:p w:rsidR="00000000" w:rsidRPr="00FD43D6" w:rsidP="00FD43D6">
            <w:pPr>
              <w:pStyle w:val="BodyText"/>
            </w:pPr>
            <w:r w:rsidRPr="00FD43D6">
              <w:t>Effectiveness of emergency response is evaluated and recommendations are submitted for consideration</w:t>
            </w:r>
          </w:p>
        </w:tc>
      </w:tr>
    </w:tbl>
    <w:p w:rsidR="00000000" w:rsidRPr="00FD43D6" w:rsidP="00FD43D6">
      <w:pPr>
        <w:pStyle w:val="BodyText"/>
      </w:pPr>
    </w:p>
    <w:p w:rsidR="00000000" w:rsidRPr="00FD43D6" w:rsidP="00FD43D6">
      <w:pPr>
        <w:pStyle w:val="AllowPageBreak"/>
      </w:pPr>
    </w:p>
    <w:p w:rsidR="00000000" w:rsidRPr="00FD43D6" w:rsidP="00FD43D6">
      <w:pPr>
        <w:pStyle w:val="Heading1"/>
      </w:pPr>
      <w:bookmarkStart w:id="9" w:name="O_471000"/>
      <w:bookmarkEnd w:id="9"/>
      <w:r w:rsidRPr="00FD43D6">
        <w:t>Required Skills and Knowledge</w:t>
      </w:r>
    </w:p>
    <w:tbl>
      <w:tblPr>
        <w:tblW w:w="0" w:type="auto"/>
        <w:tblLayout w:type="fixed"/>
        <w:tblCellMar>
          <w:left w:w="62" w:type="dxa"/>
          <w:right w:w="62" w:type="dxa"/>
        </w:tblCellMar>
        <w:tblLook w:val="0000"/>
      </w:tblPr>
      <w:tblGrid>
        <w:gridCol w:w="8460"/>
      </w:tblGrid>
      <w:tr w:rsidTr="006173A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rPr>
                <w:rStyle w:val="SpecialBold"/>
              </w:rPr>
              <w:t>REQUIRED SKILLS AND KNOWLEDGE</w:t>
            </w:r>
          </w:p>
        </w:tc>
      </w:tr>
      <w:tr w:rsidTr="006173A5">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FD43D6" w:rsidP="00FD43D6">
            <w:pPr>
              <w:pStyle w:val="BodyText"/>
            </w:pPr>
            <w:r w:rsidRPr="00FD43D6">
              <w:rPr>
                <w:rStyle w:val="SpecialBold"/>
              </w:rPr>
              <w:t>8)</w:t>
            </w:r>
            <w:r w:rsidRPr="00FD43D6">
              <w:t xml:space="preserve"> This describes the essential skills and knowledge and their level, requi</w:t>
            </w:r>
            <w:r w:rsidRPr="00FD43D6">
              <w:t>red for this unit.</w:t>
            </w:r>
          </w:p>
          <w:p w:rsidR="00000000" w:rsidRPr="00FD43D6" w:rsidP="00FD43D6">
            <w:pPr>
              <w:pStyle w:val="BodyText"/>
            </w:pPr>
            <w:r w:rsidRPr="00FD43D6">
              <w:t>Evidence shall show that knowledge has been acquired of conducting first responses within a workplace team.</w:t>
            </w:r>
          </w:p>
          <w:p w:rsidR="00000000" w:rsidRPr="00FD43D6" w:rsidP="00FD43D6">
            <w:pPr>
              <w:pStyle w:val="BodyText"/>
            </w:pPr>
            <w:r w:rsidRPr="00FD43D6">
              <w:t>All knowledge and skills detailed in this unit should be contextualised to current industry practices and technologies.</w:t>
            </w:r>
          </w:p>
          <w:p w:rsidR="00000000" w:rsidRPr="00FD43D6" w:rsidP="00FD43D6">
            <w:pPr>
              <w:pStyle w:val="BodyText"/>
            </w:pPr>
            <w:r w:rsidRPr="00FD43D6">
              <w:t>The extent of the Essential Knowledge and Associated Skills required follows:</w:t>
            </w:r>
          </w:p>
          <w:p w:rsidR="00000000" w:rsidRPr="00FD43D6" w:rsidP="00FD43D6">
            <w:pPr>
              <w:pStyle w:val="BodyText"/>
            </w:pPr>
            <w:r w:rsidRPr="00FD43D6">
              <w:t>KS01-PO210B    first response within a workplace team</w:t>
            </w:r>
          </w:p>
          <w:p w:rsidR="00000000" w:rsidRPr="00FD43D6" w:rsidP="00FD43D6">
            <w:pPr>
              <w:pStyle w:val="BodyText"/>
            </w:pPr>
            <w:r w:rsidRPr="00FD43D6">
              <w:t>Evidence shall show that knowledge has been acquired for safe working practices of</w:t>
            </w:r>
          </w:p>
          <w:p w:rsidR="00000000" w:rsidRPr="00FD43D6" w:rsidP="00FD43D6">
            <w:pPr>
              <w:pStyle w:val="BodyText"/>
            </w:pPr>
            <w:r w:rsidRPr="00FD43D6">
              <w:t>T1 Relevant Environmental, Occupational H</w:t>
            </w:r>
            <w:r w:rsidRPr="00FD43D6">
              <w:t>ealth and Safety legislation and  regulations</w:t>
            </w:r>
          </w:p>
          <w:p w:rsidR="00000000" w:rsidRPr="00FD43D6" w:rsidP="00FD43D6">
            <w:pPr>
              <w:pStyle w:val="BodyText"/>
            </w:pPr>
            <w:r w:rsidRPr="00FD43D6">
              <w:t>T2 Enterprise procedures</w:t>
            </w:r>
          </w:p>
          <w:p w:rsidR="00000000" w:rsidRPr="00FD43D6" w:rsidP="00FD43D6">
            <w:pPr>
              <w:pStyle w:val="BodyText"/>
            </w:pPr>
            <w:r w:rsidRPr="00FD43D6">
              <w:t>T3 Plant drawings and manufacturers manuals</w:t>
            </w:r>
          </w:p>
          <w:p w:rsidR="00000000" w:rsidRPr="00FD43D6" w:rsidP="00FD43D6">
            <w:pPr>
              <w:pStyle w:val="BodyText"/>
            </w:pPr>
            <w:r w:rsidRPr="00FD43D6">
              <w:t>T4 Introduction to and typical arrangements of power production plant</w:t>
            </w:r>
          </w:p>
          <w:p w:rsidR="00000000" w:rsidRPr="00FD43D6" w:rsidP="00FD43D6">
            <w:pPr>
              <w:pStyle w:val="BodyText"/>
            </w:pPr>
            <w:r w:rsidRPr="00FD43D6">
              <w:t>T5 Relevant plant and equipment, its location and operating parameters</w:t>
            </w:r>
          </w:p>
          <w:p w:rsidR="00000000" w:rsidRPr="00FD43D6" w:rsidP="00FD43D6">
            <w:pPr>
              <w:pStyle w:val="BodyText"/>
            </w:pPr>
            <w:r w:rsidRPr="00FD43D6">
              <w:t>T6 Relevant state and territory regulations</w:t>
            </w:r>
          </w:p>
          <w:p w:rsidR="00000000" w:rsidRPr="00FD43D6" w:rsidP="00FD43D6">
            <w:pPr>
              <w:pStyle w:val="BodyText"/>
            </w:pPr>
            <w:r w:rsidRPr="00FD43D6">
              <w:t>T7 Relevant enterprise/site safety procedures</w:t>
            </w:r>
          </w:p>
          <w:p w:rsidR="00000000" w:rsidRPr="00FD43D6" w:rsidP="00FD43D6">
            <w:pPr>
              <w:pStyle w:val="BodyText"/>
            </w:pPr>
            <w:r w:rsidRPr="00FD43D6">
              <w:t>T8 Site communications systems</w:t>
            </w:r>
          </w:p>
          <w:p w:rsidR="00000000" w:rsidRPr="00FD43D6" w:rsidP="00FD43D6">
            <w:pPr>
              <w:pStyle w:val="BodyText"/>
            </w:pPr>
            <w:r w:rsidRPr="00FD43D6">
              <w:t>T9 First aid</w:t>
            </w:r>
          </w:p>
          <w:p w:rsidR="00000000" w:rsidRPr="00FD43D6" w:rsidP="00FD43D6">
            <w:pPr>
              <w:pStyle w:val="BodyText"/>
            </w:pPr>
            <w:r w:rsidRPr="00FD43D6">
              <w:t>T10 Appropriate warning signs</w:t>
            </w:r>
          </w:p>
          <w:p w:rsidR="00000000" w:rsidRPr="00FD43D6" w:rsidP="00FD43D6">
            <w:pPr>
              <w:pStyle w:val="BodyText"/>
            </w:pPr>
            <w:r w:rsidRPr="00FD43D6">
              <w:t>T11 Equipment appropriate for the task</w:t>
            </w:r>
          </w:p>
          <w:p w:rsidR="00000000" w:rsidRPr="00FD43D6" w:rsidP="00FD43D6">
            <w:pPr>
              <w:pStyle w:val="BodyText"/>
            </w:pPr>
            <w:r w:rsidRPr="00FD43D6">
              <w:t>T12 Operation of emergency stations</w:t>
            </w:r>
          </w:p>
          <w:p w:rsidR="00000000" w:rsidRPr="00FD43D6" w:rsidP="00FD43D6">
            <w:pPr>
              <w:pStyle w:val="BodyText"/>
            </w:pPr>
            <w:r w:rsidRPr="00FD43D6">
              <w:t xml:space="preserve">T13 Roles of the </w:t>
            </w:r>
            <w:r w:rsidRPr="00FD43D6">
              <w:t>emergency team and its members</w:t>
            </w:r>
          </w:p>
          <w:p w:rsidR="00000000" w:rsidRPr="00FD43D6" w:rsidP="00FD43D6">
            <w:pPr>
              <w:pStyle w:val="BodyText"/>
            </w:pPr>
            <w:r w:rsidRPr="00FD43D6">
              <w:t>T14 Classifications of fires and emergencies</w:t>
            </w:r>
          </w:p>
          <w:p w:rsidR="00000000" w:rsidRPr="00FD43D6" w:rsidP="00FD43D6">
            <w:pPr>
              <w:pStyle w:val="BodyText"/>
            </w:pPr>
            <w:r w:rsidRPr="00FD43D6">
              <w:t>T15 Roles and responsibilities of emergency services</w:t>
            </w:r>
          </w:p>
          <w:p w:rsidR="00000000" w:rsidRPr="00FD43D6" w:rsidP="00FD43D6">
            <w:pPr>
              <w:pStyle w:val="BodyText"/>
            </w:pPr>
            <w:r w:rsidRPr="00FD43D6">
              <w:t>T16 Fire fighting and rescue principles and techniques</w:t>
            </w:r>
          </w:p>
          <w:p w:rsidR="00000000" w:rsidRPr="00FD43D6" w:rsidP="00FD43D6">
            <w:pPr>
              <w:pStyle w:val="BodyText"/>
            </w:pPr>
            <w:r w:rsidRPr="00FD43D6">
              <w:t>T17 Human resources and management principles within a team</w:t>
            </w:r>
          </w:p>
          <w:p w:rsidR="00000000" w:rsidRPr="00FD43D6" w:rsidP="00FD43D6">
            <w:pPr>
              <w:pStyle w:val="BodyText"/>
            </w:pPr>
            <w:r w:rsidRPr="00FD43D6">
              <w:t>T18 Material</w:t>
            </w:r>
            <w:r w:rsidRPr="00FD43D6">
              <w:t xml:space="preserve"> safety data sheets and emergency service</w:t>
            </w:r>
          </w:p>
          <w:p w:rsidR="00000000" w:rsidRPr="00FD43D6" w:rsidP="00FD43D6">
            <w:pPr>
              <w:pStyle w:val="BodyText"/>
            </w:pPr>
            <w:r w:rsidRPr="00FD43D6">
              <w:t xml:space="preserve">KS02-PO210B    first response within a workplace team </w:t>
            </w:r>
          </w:p>
          <w:p w:rsidR="00000000" w:rsidRPr="00FD43D6" w:rsidP="00FD43D6">
            <w:pPr>
              <w:pStyle w:val="BodyText"/>
            </w:pPr>
            <w:r w:rsidRPr="00FD43D6">
              <w:t>Specific skills needed to achieve the Performance Criteria:</w:t>
            </w:r>
          </w:p>
          <w:p w:rsidR="00000000" w:rsidRPr="00FD43D6" w:rsidP="00FD43D6">
            <w:pPr>
              <w:pStyle w:val="BodyText"/>
            </w:pPr>
            <w:r w:rsidRPr="00FD43D6">
              <w:t>T1 Interpret plant drawings and manufacturers manuals</w:t>
            </w:r>
          </w:p>
          <w:p w:rsidR="00000000" w:rsidRPr="00FD43D6" w:rsidP="00FD43D6">
            <w:pPr>
              <w:pStyle w:val="BodyText"/>
            </w:pPr>
            <w:r w:rsidRPr="00FD43D6">
              <w:t>T2 Apply relevant state and territory regulat</w:t>
            </w:r>
            <w:r w:rsidRPr="00FD43D6">
              <w:t>ions</w:t>
            </w:r>
          </w:p>
          <w:p w:rsidR="00000000" w:rsidRPr="00FD43D6" w:rsidP="00FD43D6">
            <w:pPr>
              <w:pStyle w:val="BodyText"/>
            </w:pPr>
            <w:r w:rsidRPr="00FD43D6">
              <w:t>T3 Apply relevant enterprise/site safety procedures</w:t>
            </w:r>
          </w:p>
          <w:p w:rsidR="00000000" w:rsidRPr="00FD43D6" w:rsidP="00FD43D6">
            <w:pPr>
              <w:pStyle w:val="BodyText"/>
            </w:pPr>
            <w:r w:rsidRPr="00FD43D6">
              <w:t>T4 Apply enterprise/site emergency procedures and techniques</w:t>
            </w:r>
          </w:p>
          <w:p w:rsidR="00000000" w:rsidRPr="00FD43D6" w:rsidP="00FD43D6">
            <w:pPr>
              <w:pStyle w:val="BodyText"/>
            </w:pPr>
            <w:r w:rsidRPr="00FD43D6">
              <w:t>T5 Communicate effectively</w:t>
            </w:r>
          </w:p>
          <w:p w:rsidR="00000000" w:rsidRPr="00FD43D6" w:rsidP="00FD43D6">
            <w:pPr>
              <w:pStyle w:val="BodyText"/>
            </w:pPr>
            <w:r w:rsidRPr="00FD43D6">
              <w:t>T6 Plan and prioritise work</w:t>
            </w:r>
          </w:p>
          <w:p w:rsidR="00000000" w:rsidRPr="00FD43D6" w:rsidP="00FD43D6">
            <w:pPr>
              <w:pStyle w:val="BodyText"/>
            </w:pPr>
            <w:r w:rsidRPr="00FD43D6">
              <w:t>T7 Work in a team</w:t>
            </w:r>
          </w:p>
          <w:p w:rsidR="00000000" w:rsidRPr="00FD43D6" w:rsidP="00FD43D6">
            <w:pPr>
              <w:pStyle w:val="BodyText"/>
            </w:pPr>
            <w:r w:rsidRPr="00FD43D6">
              <w:t>T8 Apply first aid and resuscitation techniques</w:t>
            </w:r>
          </w:p>
          <w:p w:rsidR="00000000" w:rsidRPr="00FD43D6" w:rsidP="00FD43D6">
            <w:pPr>
              <w:pStyle w:val="BodyText"/>
            </w:pPr>
            <w:r w:rsidRPr="00FD43D6">
              <w:t>T9 Apply emergency and evacuation procedures</w:t>
            </w:r>
          </w:p>
          <w:p w:rsidR="00000000" w:rsidRPr="00FD43D6" w:rsidP="00FD43D6">
            <w:pPr>
              <w:pStyle w:val="BodyText"/>
            </w:pPr>
            <w:r w:rsidRPr="00FD43D6">
              <w:t>T10 Identify and operate appropriate emergency communications equipment</w:t>
            </w:r>
          </w:p>
          <w:p w:rsidR="00000000" w:rsidRPr="00FD43D6" w:rsidP="00FD43D6">
            <w:pPr>
              <w:pStyle w:val="BodyText"/>
            </w:pPr>
            <w:r w:rsidRPr="00FD43D6">
              <w:t>T11 Apply emergency techniques and procedures</w:t>
            </w:r>
          </w:p>
        </w:tc>
      </w:tr>
    </w:tbl>
    <w:p w:rsidR="00000000" w:rsidRPr="00FD43D6" w:rsidP="00FD43D6">
      <w:pPr>
        <w:pStyle w:val="BodyText"/>
      </w:pPr>
    </w:p>
    <w:p w:rsidR="00000000" w:rsidRPr="00FD43D6" w:rsidP="00FD43D6">
      <w:pPr>
        <w:pStyle w:val="AllowPageBreak"/>
      </w:pPr>
    </w:p>
    <w:p w:rsidR="00000000" w:rsidRPr="00FD43D6" w:rsidP="00FD43D6">
      <w:pPr>
        <w:pStyle w:val="Heading1"/>
      </w:pPr>
      <w:bookmarkStart w:id="10" w:name="O_470995"/>
      <w:bookmarkEnd w:id="10"/>
      <w:r w:rsidRPr="00FD43D6">
        <w:t>Evidence Guide</w:t>
      </w:r>
    </w:p>
    <w:tbl>
      <w:tblPr>
        <w:tblW w:w="0" w:type="auto"/>
        <w:tblLayout w:type="fixed"/>
        <w:tblCellMar>
          <w:left w:w="62" w:type="dxa"/>
          <w:right w:w="62" w:type="dxa"/>
        </w:tblCellMar>
        <w:tblLook w:val="0000"/>
      </w:tblPr>
      <w:tblGrid>
        <w:gridCol w:w="8460"/>
      </w:tblGrid>
      <w:tr w:rsidTr="006173A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rPr>
                <w:rStyle w:val="SpecialBold"/>
              </w:rPr>
              <w:t>EVIDENCE GUIDE</w:t>
            </w:r>
          </w:p>
        </w:tc>
      </w:tr>
      <w:tr w:rsidTr="006173A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D43D6" w:rsidP="00FD43D6">
            <w:pPr>
              <w:pStyle w:val="BodyText"/>
            </w:pPr>
            <w:r w:rsidRPr="00FD43D6">
              <w:rPr>
                <w:rStyle w:val="SpecialBold"/>
              </w:rPr>
              <w:t>9)</w:t>
            </w:r>
            <w:r w:rsidRPr="00FD43D6">
              <w:t xml:space="preserve"> This provides essential advice for asses</w:t>
            </w:r>
            <w:r w:rsidRPr="00FD43D6">
              <w:t>sment of the competency standard unit and must be read in conjunction with the Performance Criteria and the Range Statement of the competency standard unit and the Training Package Assessment Guidelines.</w:t>
            </w:r>
          </w:p>
          <w:p w:rsidR="00000000" w:rsidRPr="00FD43D6" w:rsidP="00FD43D6">
            <w:pPr>
              <w:pStyle w:val="BodyText"/>
            </w:pPr>
            <w:r w:rsidRPr="00FD43D6">
              <w:t>The Evidence Guide forms an integral part of this co</w:t>
            </w:r>
            <w:r w:rsidRPr="00FD43D6">
              <w:t>mpetency standard unit and shall be used in conjunction with all components parts of this unit and, performed in accordance with the Assessment Guidelines of this Training Package.</w:t>
            </w:r>
          </w:p>
        </w:tc>
      </w:tr>
    </w:tbl>
    <w:p w:rsidR="00000000" w:rsidRPr="00FD43D6" w:rsidP="00FD43D6">
      <w:pPr>
        <w:pStyle w:val="BodyText"/>
      </w:pPr>
    </w:p>
    <w:tbl>
      <w:tblPr>
        <w:tblW w:w="0" w:type="auto"/>
        <w:tblLayout w:type="fixed"/>
        <w:tblCellMar>
          <w:left w:w="62" w:type="dxa"/>
          <w:right w:w="62" w:type="dxa"/>
        </w:tblCellMar>
        <w:tblLook w:val="0000"/>
      </w:tblPr>
      <w:tblGrid>
        <w:gridCol w:w="1890"/>
        <w:gridCol w:w="6570"/>
      </w:tblGrid>
      <w:tr w:rsidTr="006173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D43D6" w:rsidP="00FD43D6">
            <w:pPr>
              <w:pStyle w:val="BodyText"/>
            </w:pPr>
            <w:r w:rsidRPr="00FD43D6">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rPr>
                <w:rStyle w:val="SpecialBold"/>
              </w:rPr>
              <w:t>9.1)</w:t>
            </w:r>
          </w:p>
        </w:tc>
      </w:tr>
      <w:tr w:rsidTr="006173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D43D6" w:rsidP="00FD43D6">
            <w:pPr>
              <w:pStyle w:val="BodyText"/>
            </w:pPr>
            <w:r w:rsidRPr="00FD43D6">
              <w:t>Longitudinal competency development approaches to assessment, such as Profiling, require data to be reliably gathered in a form that can be consistently interpreted over time. This approach is best utilised in Apprenticeship programs and reduces assessment</w:t>
            </w:r>
            <w:r w:rsidRPr="00FD43D6">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FD43D6">
              <w:t>tency in a realistically simulated work environment. It is recognised that, in some circumstances, assessment in part or full can occur outside the workplace. However, it must be in accord with Industry and, Regulatory policy in this regard.</w:t>
            </w:r>
          </w:p>
          <w:p w:rsidR="00000000" w:rsidRPr="00FD43D6" w:rsidP="00FD43D6">
            <w:pPr>
              <w:pStyle w:val="BodyText"/>
            </w:pPr>
            <w:r w:rsidRPr="00FD43D6">
              <w:t>Methods chosen</w:t>
            </w:r>
            <w:r w:rsidRPr="00FD43D6">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FD43D6">
              <w:t>equired and the critical nature of the competencies being assessed.</w:t>
            </w:r>
          </w:p>
          <w:p w:rsidR="00000000" w:rsidRPr="00FD43D6" w:rsidP="00FD43D6">
            <w:pPr>
              <w:pStyle w:val="BodyText"/>
            </w:pPr>
            <w:r w:rsidRPr="00FD43D6">
              <w:t>The critical safety nature of working with electricity, electrical equipment, gas or any other hazardous substance/material carries risk in deeming a person competent. Hence, sources of ev</w:t>
            </w:r>
            <w:r w:rsidRPr="00FD43D6">
              <w:t>idence need to be ‘rich’ in nature to minimise error in judgment.</w:t>
            </w:r>
          </w:p>
          <w:p w:rsidR="00000000" w:rsidRPr="00FD43D6" w:rsidP="00FD43D6">
            <w:pPr>
              <w:pStyle w:val="BodyText"/>
            </w:pPr>
            <w:r w:rsidRPr="00FD43D6">
              <w:t>Activities associated with normal every day work have a bearing on the decision as to how much and how detailed the data gathered will contribute to its ‘richness’. Some skills are more crit</w:t>
            </w:r>
            <w:r w:rsidRPr="00FD43D6">
              <w:t>ical to safety and operational requirements while the same skills may be more or less frequently practised. These points are raised for the assessors to consider when choosing an assessment method and developing assessment instruments. Sample assessment in</w:t>
            </w:r>
            <w:r w:rsidRPr="00FD43D6">
              <w:t>struments are included for Assessors in the Assessment Guidelines of this Training Package.</w:t>
            </w:r>
          </w:p>
        </w:tc>
      </w:tr>
    </w:tbl>
    <w:p w:rsidR="00000000" w:rsidRPr="00FD43D6" w:rsidP="00FD43D6">
      <w:pPr>
        <w:pStyle w:val="BodyText"/>
      </w:pPr>
    </w:p>
    <w:tbl>
      <w:tblPr>
        <w:tblW w:w="0" w:type="auto"/>
        <w:tblLayout w:type="fixed"/>
        <w:tblCellMar>
          <w:left w:w="62" w:type="dxa"/>
          <w:right w:w="62" w:type="dxa"/>
        </w:tblCellMar>
        <w:tblLook w:val="0000"/>
      </w:tblPr>
      <w:tblGrid>
        <w:gridCol w:w="1890"/>
        <w:gridCol w:w="6570"/>
      </w:tblGrid>
      <w:tr w:rsidTr="006173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D43D6" w:rsidP="00FD43D6">
            <w:pPr>
              <w:pStyle w:val="BodyText"/>
            </w:pPr>
            <w:r w:rsidRPr="00FD43D6">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rPr>
                <w:rStyle w:val="SpecialBold"/>
              </w:rPr>
              <w:t>9.2)</w:t>
            </w:r>
          </w:p>
        </w:tc>
      </w:tr>
      <w:tr w:rsidTr="006173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D43D6" w:rsidP="00FD43D6">
            <w:pPr>
              <w:pStyle w:val="BodyText"/>
            </w:pPr>
            <w:r w:rsidRPr="00FD43D6">
              <w:t>Before the critical aspects of evidence are considered all pre-requisites shal</w:t>
            </w:r>
            <w:r w:rsidRPr="00FD43D6">
              <w:t>l be met.</w:t>
            </w:r>
          </w:p>
          <w:p w:rsidR="00000000" w:rsidRPr="00FD43D6" w:rsidP="00FD43D6">
            <w:pPr>
              <w:pStyle w:val="BodyText"/>
            </w:pPr>
            <w:r w:rsidRPr="00FD43D6">
              <w:t xml:space="preserve">Evidence for competence in this unit shall be considered holistically.  Each Element and associated Performance Criteria shall be demonstrated on at least two occasions in accordance with the “Assessment Guidelines – UEP12”.  Evidence shall also </w:t>
            </w:r>
            <w:r w:rsidRPr="00FD43D6">
              <w:t>comprise:</w:t>
            </w:r>
          </w:p>
          <w:p w:rsidR="00000000" w:rsidRPr="00FD43D6" w:rsidP="00FD43D6">
            <w:pPr>
              <w:pStyle w:val="ListBullet"/>
            </w:pPr>
            <w:r w:rsidRPr="00FD43D6">
              <w:t>A representative body of work performance demonstrated within the timeframes typically expected of the discipline, work function and industrial environment. In particular this shall incorporate evidence that shows a candidate is able to:</w:t>
            </w:r>
          </w:p>
          <w:p w:rsidR="00000000" w:rsidRPr="00FD43D6" w:rsidP="00FD43D6">
            <w:pPr>
              <w:pStyle w:val="ListBullet2"/>
            </w:pPr>
            <w:r w:rsidRPr="00FD43D6">
              <w:t>Implement Occupational Health and Safety workplace procedures and practices including the use of risk control measures as specified in the Performance Criteria and Range Statement</w:t>
            </w:r>
          </w:p>
          <w:p w:rsidR="00000000" w:rsidRPr="00FD43D6" w:rsidP="00FD43D6">
            <w:pPr>
              <w:pStyle w:val="ListBullet2"/>
            </w:pPr>
            <w:r w:rsidRPr="00FD43D6">
              <w:t>Apply sustainable energy principles and practices as specified in the Perfor</w:t>
            </w:r>
            <w:r w:rsidRPr="00FD43D6">
              <w:t>mance Criteria and Range Statement</w:t>
            </w:r>
          </w:p>
          <w:p w:rsidR="00000000" w:rsidRPr="00FD43D6" w:rsidP="00FD43D6">
            <w:pPr>
              <w:pStyle w:val="ListBullet2"/>
            </w:pPr>
            <w:r w:rsidRPr="00FD43D6">
              <w:t>Demonstrate an understanding of the Essential Knowledge and Associated Skills as described in 6) Essential Knowledge and Associated Skills of this unit</w:t>
            </w:r>
          </w:p>
          <w:p w:rsidR="00000000" w:rsidRPr="00FD43D6" w:rsidP="00FD43D6">
            <w:pPr>
              <w:pStyle w:val="ListBullet2"/>
            </w:pPr>
            <w:r w:rsidRPr="00FD43D6">
              <w:t>Demonstrate an appropriate level of employability skills</w:t>
            </w:r>
          </w:p>
          <w:p w:rsidR="00000000" w:rsidRPr="00FD43D6" w:rsidP="00FD43D6">
            <w:pPr>
              <w:pStyle w:val="ListBullet2"/>
            </w:pPr>
            <w:r w:rsidRPr="00FD43D6">
              <w:t>Conduct work</w:t>
            </w:r>
            <w:r w:rsidRPr="00FD43D6">
              <w:t xml:space="preserve"> observing the relevant Anti-Discrimination legislation, regulations, polices and workplace procedures</w:t>
            </w:r>
          </w:p>
          <w:p w:rsidR="00000000" w:rsidRPr="00FD43D6" w:rsidP="00FD43D6">
            <w:pPr>
              <w:pStyle w:val="ListBullet"/>
            </w:pPr>
            <w:r w:rsidRPr="00FD43D6">
              <w:t>Demonstrated performance across a representative range of contexts from the prescribed items below:</w:t>
            </w:r>
          </w:p>
          <w:p w:rsidR="00000000" w:rsidRPr="00FD43D6" w:rsidP="00FD43D6">
            <w:pPr>
              <w:pStyle w:val="ListBullet2"/>
            </w:pPr>
            <w:r w:rsidRPr="00FD43D6">
              <w:t xml:space="preserve">Knowledge and application of relevant sections of: </w:t>
            </w:r>
            <w:r w:rsidRPr="00FD43D6">
              <w:t>Occupational, health and safety legislation; Statutory legislation; Enterprise/site safety procedures; Enterprise/site emergency procedures</w:t>
            </w:r>
          </w:p>
          <w:p w:rsidR="00000000" w:rsidRPr="00FD43D6" w:rsidP="00FD43D6">
            <w:pPr>
              <w:pStyle w:val="ListBullet2"/>
            </w:pPr>
            <w:r w:rsidRPr="00FD43D6">
              <w:t>Ability to communicate effectively with the appropriate personnel and agencies during an emergency</w:t>
            </w:r>
          </w:p>
          <w:p w:rsidR="00000000" w:rsidRPr="00FD43D6" w:rsidP="00FD43D6">
            <w:pPr>
              <w:pStyle w:val="ListBullet2"/>
            </w:pPr>
            <w:r w:rsidRPr="00FD43D6">
              <w:t>Knowledge and abi</w:t>
            </w:r>
            <w:r w:rsidRPr="00FD43D6">
              <w:t>lity to apply first aid and resuscitation techniques</w:t>
            </w:r>
          </w:p>
          <w:p w:rsidR="00000000" w:rsidRPr="00FD43D6" w:rsidP="00FD43D6">
            <w:pPr>
              <w:pStyle w:val="ListBullet2"/>
            </w:pPr>
            <w:r w:rsidRPr="00FD43D6">
              <w:t>Knowledge of potential hazards during initial response</w:t>
            </w:r>
          </w:p>
          <w:p w:rsidR="00000000" w:rsidRPr="00FD43D6" w:rsidP="00FD43D6">
            <w:pPr>
              <w:pStyle w:val="ListBullet2"/>
            </w:pPr>
            <w:r w:rsidRPr="00FD43D6">
              <w:t>Knowledge and application of fire fighting and rescue principles and techniques</w:t>
            </w:r>
          </w:p>
          <w:p w:rsidR="00000000" w:rsidRPr="00FD43D6" w:rsidP="00FD43D6">
            <w:pPr>
              <w:pStyle w:val="ListBullet2"/>
            </w:pPr>
            <w:r w:rsidRPr="00FD43D6">
              <w:t>Ability to respond to an emergency situation</w:t>
            </w:r>
          </w:p>
          <w:p w:rsidR="00000000" w:rsidRPr="00FD43D6" w:rsidP="00FD43D6">
            <w:pPr>
              <w:pStyle w:val="ListBullet2"/>
            </w:pPr>
            <w:r w:rsidRPr="00FD43D6">
              <w:t>Ability to use emergency equipment</w:t>
            </w:r>
          </w:p>
          <w:p w:rsidR="00000000" w:rsidRPr="00FD43D6" w:rsidP="00FD43D6">
            <w:pPr>
              <w:pStyle w:val="ListBullet2"/>
            </w:pPr>
            <w:r w:rsidRPr="00FD43D6">
              <w:t>Dealing with an unplanned event by drawing on Essential Knowledge and Skills to provide appropriate solutions incorporated in the holistic assessment with the above listed items.</w:t>
            </w:r>
          </w:p>
        </w:tc>
      </w:tr>
    </w:tbl>
    <w:p w:rsidR="00000000" w:rsidRPr="00FD43D6" w:rsidP="00FD43D6">
      <w:pPr>
        <w:pStyle w:val="BodyText"/>
      </w:pPr>
    </w:p>
    <w:tbl>
      <w:tblPr>
        <w:tblW w:w="0" w:type="auto"/>
        <w:tblLayout w:type="fixed"/>
        <w:tblCellMar>
          <w:left w:w="62" w:type="dxa"/>
          <w:right w:w="62" w:type="dxa"/>
        </w:tblCellMar>
        <w:tblLook w:val="0000"/>
      </w:tblPr>
      <w:tblGrid>
        <w:gridCol w:w="1890"/>
        <w:gridCol w:w="6570"/>
      </w:tblGrid>
      <w:tr w:rsidTr="006173A5">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FD43D6" w:rsidP="00FD43D6">
            <w:pPr>
              <w:pStyle w:val="BodyText"/>
            </w:pPr>
            <w:r w:rsidRPr="00FD43D6">
              <w:rPr>
                <w:rStyle w:val="SpecialBold"/>
              </w:rPr>
              <w:t>Context of and specific resources for as</w:t>
            </w:r>
            <w:r w:rsidRPr="00FD43D6">
              <w:rPr>
                <w:rStyle w:val="SpecialBold"/>
              </w:rPr>
              <w:t>sessment</w:t>
            </w:r>
          </w:p>
        </w:tc>
        <w:tc>
          <w:tcPr>
            <w:tcW w:w="6570" w:type="dxa"/>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rPr>
                <w:rStyle w:val="SpecialBold"/>
              </w:rPr>
              <w:t>9.3)</w:t>
            </w:r>
          </w:p>
        </w:tc>
      </w:tr>
      <w:tr w:rsidTr="006173A5">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D43D6" w:rsidP="00FD43D6">
            <w:pPr>
              <w:pStyle w:val="BodyText"/>
            </w:pPr>
            <w:r w:rsidRPr="00FD43D6">
              <w:t>This unit should be assessed as it relates to normal work practice using procedures, information and resources typical of a workplace. This should include:</w:t>
            </w:r>
          </w:p>
          <w:p w:rsidR="00000000" w:rsidRPr="00FD43D6" w:rsidP="00FD43D6">
            <w:pPr>
              <w:pStyle w:val="ListBullet"/>
            </w:pPr>
            <w:r w:rsidRPr="00FD43D6">
              <w:t>OHS policy and work procedures and instructions</w:t>
            </w:r>
          </w:p>
          <w:p w:rsidR="00000000" w:rsidRPr="00FD43D6" w:rsidP="00FD43D6">
            <w:pPr>
              <w:pStyle w:val="ListBullet"/>
            </w:pPr>
            <w:r w:rsidRPr="00FD43D6">
              <w:t>Suitable work environment, facilities, equipment and materials to undertake actual work as prescribed by this competency standard unit</w:t>
            </w:r>
          </w:p>
          <w:p w:rsidR="00000000" w:rsidRPr="00FD43D6" w:rsidP="00FD43D6">
            <w:pPr>
              <w:pStyle w:val="BodyText"/>
            </w:pPr>
            <w:r w:rsidRPr="00FD43D6">
              <w:t>Competency Standards should be assessed in the workplace or simulated workplace and under the normal range of workplace c</w:t>
            </w:r>
            <w:r w:rsidRPr="00FD43D6">
              <w:t>onditions.</w:t>
            </w:r>
          </w:p>
          <w:p w:rsidR="00000000" w:rsidRPr="00FD43D6" w:rsidP="00FD43D6">
            <w:pPr>
              <w:pStyle w:val="BodyText"/>
            </w:pPr>
            <w:r w:rsidRPr="00FD43D6">
              <w:t>Assessment of this unit will be supported with documentary evidence, by means of endorsement stating type and application of work.</w:t>
            </w:r>
          </w:p>
          <w:p w:rsidR="00000000" w:rsidRPr="00FD43D6" w:rsidP="00FD43D6">
            <w:pPr>
              <w:pStyle w:val="BodyText"/>
            </w:pPr>
            <w:r w:rsidRPr="00FD43D6">
              <w:t>In addition to the resources listed above in Context of assessment’, evidence should show competency working in co</w:t>
            </w:r>
            <w:r w:rsidRPr="00FD43D6">
              <w:t>nfined spaces, with different types of plant and equipment as well as different structural/construction types and method and in a variety of environments.</w:t>
            </w:r>
          </w:p>
        </w:tc>
      </w:tr>
    </w:tbl>
    <w:p w:rsidR="00000000" w:rsidRPr="00FD43D6" w:rsidP="00FD43D6">
      <w:pPr>
        <w:pStyle w:val="BodyText"/>
      </w:pPr>
    </w:p>
    <w:tbl>
      <w:tblPr>
        <w:tblW w:w="0" w:type="auto"/>
        <w:tblLayout w:type="fixed"/>
        <w:tblCellMar>
          <w:left w:w="62" w:type="dxa"/>
          <w:right w:w="62" w:type="dxa"/>
        </w:tblCellMar>
        <w:tblLook w:val="0000"/>
      </w:tblPr>
      <w:tblGrid>
        <w:gridCol w:w="1890"/>
        <w:gridCol w:w="6570"/>
      </w:tblGrid>
      <w:tr w:rsidTr="006173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D43D6" w:rsidP="00FD43D6">
            <w:pPr>
              <w:pStyle w:val="BodyText"/>
            </w:pPr>
            <w:r w:rsidRPr="00FD43D6">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rPr>
                <w:rStyle w:val="SpecialBold"/>
              </w:rPr>
              <w:t>9.4)</w:t>
            </w:r>
          </w:p>
        </w:tc>
      </w:tr>
      <w:tr w:rsidTr="006173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D43D6" w:rsidP="00FD43D6">
            <w:pPr>
              <w:pStyle w:val="BodyText"/>
            </w:pPr>
            <w:r w:rsidRPr="00FD43D6">
              <w:t>This unit shall be assessed by methods given in Section 1.3.00 Assessment Guidelines.</w:t>
            </w:r>
          </w:p>
          <w:p w:rsidR="00000000" w:rsidRPr="00FD43D6" w:rsidP="00FD43D6">
            <w:pPr>
              <w:pStyle w:val="BodyText"/>
            </w:pPr>
            <w:r w:rsidRPr="00FD43D6">
              <w:t xml:space="preserve">Note: </w:t>
            </w:r>
          </w:p>
          <w:p w:rsidR="00000000" w:rsidRPr="00FD43D6" w:rsidP="00FD43D6">
            <w:pPr>
              <w:pStyle w:val="BodyText"/>
            </w:pPr>
            <w:r w:rsidRPr="00FD43D6">
              <w:t>Competent performance with inherent safe working practices is expected in the Industry to which this competency standard unit applies. This requires that the speci</w:t>
            </w:r>
            <w:r w:rsidRPr="00FD43D6">
              <w:t>fied Essential Knowledge and Associated Skills be assessed in a structured environment, which is primarily intended for learning/assessment and incorporates all necessary equipment and facilities for learners to develop and demonstrate the Essential Knowle</w:t>
            </w:r>
            <w:r w:rsidRPr="00FD43D6">
              <w:t>dge and Skills described in this unit.</w:t>
            </w:r>
          </w:p>
        </w:tc>
      </w:tr>
    </w:tbl>
    <w:p w:rsidR="00000000" w:rsidRPr="00FD43D6" w:rsidP="00FD43D6">
      <w:pPr>
        <w:pStyle w:val="BodyText"/>
      </w:pPr>
    </w:p>
    <w:tbl>
      <w:tblPr>
        <w:tblW w:w="0" w:type="auto"/>
        <w:tblLayout w:type="fixed"/>
        <w:tblCellMar>
          <w:left w:w="62" w:type="dxa"/>
          <w:right w:w="62" w:type="dxa"/>
        </w:tblCellMar>
        <w:tblLook w:val="0000"/>
      </w:tblPr>
      <w:tblGrid>
        <w:gridCol w:w="1890"/>
        <w:gridCol w:w="6570"/>
      </w:tblGrid>
      <w:tr w:rsidTr="006173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D43D6" w:rsidP="00FD43D6">
            <w:pPr>
              <w:pStyle w:val="BodyText"/>
            </w:pPr>
            <w:r w:rsidRPr="00FD43D6">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rPr>
                <w:rStyle w:val="SpecialBold"/>
              </w:rPr>
              <w:t>9.5)</w:t>
            </w:r>
          </w:p>
        </w:tc>
      </w:tr>
      <w:tr w:rsidTr="006173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D43D6" w:rsidP="00FD43D6">
            <w:pPr>
              <w:pStyle w:val="BodyText"/>
            </w:pPr>
            <w:r w:rsidRPr="00FD43D6">
              <w:t>There are no recommended concurrent assessments with this unit, however in some cases efficiencies may be gained in terms of learning and assessment eff</w:t>
            </w:r>
            <w:r w:rsidRPr="00FD43D6">
              <w:t>ort being concurrently managed with allied competency standard units where listed.</w:t>
            </w:r>
          </w:p>
        </w:tc>
      </w:tr>
    </w:tbl>
    <w:p w:rsidR="00000000" w:rsidRPr="00FD43D6" w:rsidP="00FD43D6">
      <w:pPr>
        <w:pStyle w:val="BodyText"/>
      </w:pPr>
    </w:p>
    <w:p w:rsidR="00000000" w:rsidRPr="00FD43D6" w:rsidP="00FD43D6">
      <w:pPr>
        <w:pStyle w:val="AllowPageBreak"/>
      </w:pPr>
    </w:p>
    <w:p w:rsidR="00000000" w:rsidRPr="00FD43D6" w:rsidP="00FD43D6">
      <w:pPr>
        <w:pStyle w:val="Heading1"/>
      </w:pPr>
      <w:bookmarkStart w:id="11" w:name="O_470999"/>
      <w:bookmarkEnd w:id="11"/>
      <w:r w:rsidRPr="00FD43D6">
        <w:t>Range Statement</w:t>
      </w:r>
    </w:p>
    <w:tbl>
      <w:tblPr>
        <w:tblW w:w="0" w:type="auto"/>
        <w:tblLayout w:type="fixed"/>
        <w:tblCellMar>
          <w:left w:w="62" w:type="dxa"/>
          <w:right w:w="62" w:type="dxa"/>
        </w:tblCellMar>
        <w:tblLook w:val="0000"/>
      </w:tblPr>
      <w:tblGrid>
        <w:gridCol w:w="8460"/>
      </w:tblGrid>
      <w:tr w:rsidTr="006173A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rPr>
                <w:rStyle w:val="SpecialBold"/>
              </w:rPr>
              <w:t>RANGE STATEMENT</w:t>
            </w:r>
          </w:p>
        </w:tc>
      </w:tr>
      <w:tr w:rsidTr="006173A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D43D6" w:rsidP="00FD43D6">
            <w:pPr>
              <w:pStyle w:val="BodyText"/>
            </w:pPr>
            <w:r w:rsidRPr="00FD43D6">
              <w:rPr>
                <w:rStyle w:val="SpecialBold"/>
              </w:rPr>
              <w:t>10)</w:t>
            </w:r>
            <w:r w:rsidRPr="00FD43D6">
              <w:t xml:space="preserve"> This relates to the competency standard unit as a whole providing the range of contexts and </w:t>
            </w:r>
            <w:r w:rsidRPr="00FD43D6">
              <w:t>conditions to which the Performance Criteria apply. It allows for different work environments and situations that will affect performance.</w:t>
            </w:r>
          </w:p>
          <w:p w:rsidR="00000000" w:rsidRPr="00FD43D6" w:rsidP="00FD43D6">
            <w:pPr>
              <w:pStyle w:val="BodyText"/>
            </w:pPr>
            <w:r w:rsidRPr="00FD43D6">
              <w:t>Incidents may include fire, rescue, hazardous substances, explosions, bomb alerts, terrorists, radiation, natural dis</w:t>
            </w:r>
            <w:r w:rsidRPr="00FD43D6">
              <w:t>asters, environmental, electrical storms/incidents, accidents, electrical equipment, structural, security related or wildlife related incidents.</w:t>
            </w:r>
          </w:p>
          <w:p w:rsidR="00000000" w:rsidRPr="00FD43D6" w:rsidP="00FD43D6">
            <w:pPr>
              <w:pStyle w:val="BodyText"/>
            </w:pPr>
            <w:r w:rsidRPr="00FD43D6">
              <w:t>Special assistance may be on site personnel (e.g. chemists, fire team), rescue team, environmental officer, saf</w:t>
            </w:r>
            <w:r w:rsidRPr="00FD43D6">
              <w:t>ety officer, radiation officer, floor warden or equivalent, chief warden or equivalent and security staff.</w:t>
            </w:r>
          </w:p>
          <w:p w:rsidR="00000000" w:rsidRPr="00FD43D6" w:rsidP="00FD43D6">
            <w:pPr>
              <w:pStyle w:val="BodyText"/>
            </w:pPr>
            <w:r w:rsidRPr="00FD43D6">
              <w:t>External emergency groups may include police, fire fighting agencies, ambulance, state emergency service and supply authorities (such as water utilit</w:t>
            </w:r>
            <w:r w:rsidRPr="00FD43D6">
              <w:t>y).</w:t>
            </w:r>
          </w:p>
          <w:p w:rsidR="00000000" w:rsidRPr="00FD43D6" w:rsidP="00FD43D6">
            <w:pPr>
              <w:pStyle w:val="BodyText"/>
            </w:pPr>
            <w:r w:rsidRPr="00FD43D6">
              <w:t>Communications may be by means of verbal, telephone system, two-way radio, pager, emergency public address system, radio, facsimile, computer (electronic mail) or enterprise/site logbook.</w:t>
            </w:r>
          </w:p>
          <w:p w:rsidR="00000000" w:rsidRPr="00FD43D6" w:rsidP="00FD43D6">
            <w:pPr>
              <w:pStyle w:val="BodyText"/>
            </w:pPr>
            <w:r w:rsidRPr="00FD43D6">
              <w:t>Additional resources may include personnel, fire fighting equipm</w:t>
            </w:r>
            <w:r w:rsidRPr="00FD43D6">
              <w:t>ent, fire fighting protective clothing, vehicles for transport of materials or personnel, communication equipment and ladders.</w:t>
            </w:r>
          </w:p>
          <w:p w:rsidR="00000000" w:rsidRPr="00FD43D6" w:rsidP="00FD43D6">
            <w:pPr>
              <w:pStyle w:val="BodyText"/>
            </w:pPr>
            <w:r w:rsidRPr="00FD43D6">
              <w:t xml:space="preserve">Site hazards may include power lines, trees, overhead service lines, abnormal weather conditions, dangerous materials/chemicals, </w:t>
            </w:r>
            <w:r w:rsidRPr="00FD43D6">
              <w:t>earthworks/obstructions, underground services, hazardous substances and electrical, thermal, gas, explosive or structural hazards.</w:t>
            </w:r>
          </w:p>
          <w:p w:rsidR="00000000" w:rsidRPr="00FD43D6" w:rsidP="00FD43D6">
            <w:pPr>
              <w:pStyle w:val="BodyText"/>
            </w:pPr>
            <w:r w:rsidRPr="00FD43D6">
              <w:t xml:space="preserve">Information and documentation sources may include verbal and written communications; enterprise/site operating instructions; </w:t>
            </w:r>
            <w:r w:rsidRPr="00FD43D6">
              <w:t>manufacturer’s operating and maintenance manuals; dedicated computer equipment; enterprise/site log books; critiques - meetings, discussion, demonstrations and explanations; feedback - comments on suitability of procedures and effectiveness of control equi</w:t>
            </w:r>
            <w:r w:rsidRPr="00FD43D6">
              <w:t>pment; materials safety data sheets; drawings; and maps.</w:t>
            </w:r>
          </w:p>
          <w:p w:rsidR="00000000" w:rsidRPr="00FD43D6" w:rsidP="00FD43D6">
            <w:pPr>
              <w:pStyle w:val="BodyText"/>
            </w:pPr>
            <w:r w:rsidRPr="00FD43D6">
              <w:t>Personnel refers to all personnel and may include supervisory, maintenance, operational, contractors and administrative personnel, visitors and shift operatives.</w:t>
            </w:r>
          </w:p>
          <w:p w:rsidR="00000000" w:rsidRPr="00FD43D6" w:rsidP="00FD43D6">
            <w:pPr>
              <w:pStyle w:val="BodyText"/>
            </w:pPr>
            <w:r w:rsidRPr="00FD43D6">
              <w:t>Operating environment may be during i</w:t>
            </w:r>
            <w:r w:rsidRPr="00FD43D6">
              <w:t>nclement or otherwise harsh weather conditions, in wet/noisy/dusty/hot areas or during night periods.</w:t>
            </w:r>
          </w:p>
          <w:p w:rsidR="00000000" w:rsidRPr="00FD43D6" w:rsidP="00FD43D6">
            <w:pPr>
              <w:pStyle w:val="BodyText"/>
            </w:pPr>
            <w:r w:rsidRPr="00FD43D6">
              <w:t>Identification may include helmets, armbands, vests and other apparel.</w:t>
            </w:r>
          </w:p>
          <w:p w:rsidR="00000000" w:rsidRPr="00FD43D6" w:rsidP="00FD43D6">
            <w:pPr>
              <w:pStyle w:val="BodyText"/>
            </w:pPr>
            <w:r w:rsidRPr="00FD43D6">
              <w:t>Technical and operational indicators may include stimuli (audio, smell, touch, visu</w:t>
            </w:r>
            <w:r w:rsidRPr="00FD43D6">
              <w:t>al), computers and alarms (visible and or audible).</w:t>
            </w:r>
          </w:p>
          <w:p w:rsidR="00000000" w:rsidRPr="00FD43D6" w:rsidP="00FD43D6">
            <w:pPr>
              <w:pStyle w:val="BodyText"/>
            </w:pPr>
            <w:r w:rsidRPr="00FD43D6">
              <w:t>Safety standards may include relevant sections of Occupational Health and Safety legislation, enterprise safety rules and national standards for plant.</w:t>
            </w:r>
          </w:p>
          <w:p w:rsidR="00000000" w:rsidRPr="00FD43D6" w:rsidP="00FD43D6">
            <w:pPr>
              <w:pStyle w:val="BodyText"/>
            </w:pPr>
            <w:r w:rsidRPr="00FD43D6">
              <w:t xml:space="preserve">Limitations may refer to equipment and competencies </w:t>
            </w:r>
            <w:r w:rsidRPr="00FD43D6">
              <w:t>of team members.</w:t>
            </w:r>
          </w:p>
          <w:p w:rsidR="00000000" w:rsidRPr="00FD43D6" w:rsidP="00FD43D6">
            <w:pPr>
              <w:pStyle w:val="BodyText"/>
            </w:pPr>
            <w:r w:rsidRPr="00FD43D6">
              <w:t>Generic terms are used throughout this Training Package for vocational standard shall be regarded as part of the Range Statement in which competency is demonstrated. The definition of these and other terms are given in  Section 2.1 Prelimi</w:t>
            </w:r>
            <w:r w:rsidRPr="00FD43D6">
              <w:t>nary Information and Glossaries.</w:t>
            </w:r>
          </w:p>
        </w:tc>
      </w:tr>
    </w:tbl>
    <w:p w:rsidR="00000000" w:rsidRPr="00FD43D6" w:rsidP="00FD43D6">
      <w:pPr>
        <w:pStyle w:val="BodyText"/>
      </w:pPr>
    </w:p>
    <w:p w:rsidR="00000000" w:rsidRPr="00FD43D6" w:rsidP="00FD43D6">
      <w:pPr>
        <w:pStyle w:val="AllowPageBreak"/>
      </w:pPr>
    </w:p>
    <w:p w:rsidR="00000000" w:rsidRPr="00FD43D6" w:rsidP="00FD43D6">
      <w:pPr>
        <w:pStyle w:val="Heading1"/>
      </w:pPr>
      <w:bookmarkStart w:id="12" w:name="O_471002"/>
      <w:bookmarkEnd w:id="12"/>
      <w:r w:rsidRPr="00FD43D6">
        <w:t>Unit Sector(s)</w:t>
      </w:r>
    </w:p>
    <w:p w:rsidR="00000000" w:rsidRPr="00FD43D6" w:rsidP="00FD43D6">
      <w:pPr>
        <w:pStyle w:val="BodyText"/>
      </w:pPr>
      <w:r w:rsidRPr="00FD43D6">
        <w:t>Not applicable.</w:t>
      </w:r>
    </w:p>
    <w:p w:rsidR="00000000" w:rsidRPr="00FD43D6" w:rsidP="00FD43D6">
      <w:pPr>
        <w:pStyle w:val="AllowPageBreak"/>
      </w:pPr>
    </w:p>
    <w:p w:rsidR="00000000" w:rsidRPr="00FD43D6" w:rsidP="00FD43D6">
      <w:pPr>
        <w:pStyle w:val="Heading1"/>
      </w:pPr>
      <w:bookmarkStart w:id="13" w:name="O_470991"/>
      <w:bookmarkEnd w:id="13"/>
      <w:r w:rsidRPr="00FD43D6">
        <w:t>Competency Field</w:t>
      </w:r>
    </w:p>
    <w:tbl>
      <w:tblPr>
        <w:tblW w:w="0" w:type="auto"/>
        <w:tblLayout w:type="fixed"/>
        <w:tblCellMar>
          <w:left w:w="62" w:type="dxa"/>
          <w:right w:w="62" w:type="dxa"/>
        </w:tblCellMar>
        <w:tblLook w:val="0000"/>
      </w:tblPr>
      <w:tblGrid>
        <w:gridCol w:w="2700"/>
        <w:gridCol w:w="5760"/>
      </w:tblGrid>
      <w:tr w:rsidTr="006173A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D43D6" w:rsidP="00FD43D6">
            <w:pPr>
              <w:pStyle w:val="BodyText"/>
            </w:pPr>
            <w:r w:rsidRPr="00FD43D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D43D6">
            <w:pPr>
              <w:pStyle w:val="BodyText"/>
              <w:rPr>
                <w:lang w:val="en-NZ"/>
              </w:rPr>
            </w:pPr>
            <w:r w:rsidRPr="00FD43D6">
              <w:rPr>
                <w:rStyle w:val="SpecialBold"/>
              </w:rPr>
              <w:t xml:space="preserve">11) </w:t>
            </w:r>
          </w:p>
        </w:tc>
      </w:tr>
      <w:tr w:rsidTr="006173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D43D6" w:rsidP="00FD43D6">
            <w:pPr>
              <w:pStyle w:val="BodyText"/>
            </w:pPr>
            <w:r w:rsidRPr="00FD43D6">
              <w:t>Operations</w:t>
            </w:r>
          </w:p>
        </w:tc>
      </w:tr>
    </w:tbl>
    <w:p w:rsidR="00000000" w:rsidRPr="00FD43D6" w:rsidP="00FD43D6">
      <w:pPr>
        <w:pStyle w:val="BodyText"/>
      </w:pPr>
    </w:p>
    <w:p w:rsidR="00000000" w:rsidRPr="00FD43D6" w:rsidP="00FD43D6"/>
    <w:sectPr w:rsidSect="00FD43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3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73A5" w:rsidP="006173A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3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3A5" w:rsidP="00FD43D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6173A5" w:rsidP="00FD43D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6173A5" w:rsidP="00FD43D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3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3D6" w:rsidRPr="006173A5" w:rsidP="006173A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3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3A5" w:rsidRPr="002D2AF8" w:rsidP="00FD43D6">
    <w:pPr>
      <w:pStyle w:val="Header"/>
      <w:framePr w:wrap="around"/>
    </w:pPr>
    <w:r>
      <w:fldChar w:fldCharType="begin"/>
    </w:r>
    <w:r>
      <w:instrText xml:space="preserve"> TITLE   \* MERGEFORMAT </w:instrText>
    </w:r>
    <w:r>
      <w:fldChar w:fldCharType="separate"/>
    </w:r>
    <w:r>
      <w:t>UEPOPS210B Conduct first response within a workplace team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6173A5" w:rsidP="00FD43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B8E6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845F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6E66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43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43D6"/>
    <w:pPr>
      <w:spacing w:before="360" w:after="60"/>
      <w:outlineLvl w:val="0"/>
    </w:pPr>
    <w:rPr>
      <w:sz w:val="32"/>
    </w:rPr>
  </w:style>
  <w:style w:type="paragraph" w:styleId="Heading2">
    <w:name w:val="heading 2"/>
    <w:basedOn w:val="HeadingBase"/>
    <w:next w:val="BodyText"/>
    <w:link w:val="Heading2Char"/>
    <w:qFormat/>
    <w:rsid w:val="00FD43D6"/>
    <w:pPr>
      <w:keepLines/>
      <w:spacing w:before="240" w:after="120"/>
      <w:outlineLvl w:val="1"/>
    </w:pPr>
    <w:rPr>
      <w:sz w:val="28"/>
      <w:szCs w:val="40"/>
    </w:rPr>
  </w:style>
  <w:style w:type="paragraph" w:styleId="Heading3">
    <w:name w:val="heading 3"/>
    <w:basedOn w:val="HeadingBase"/>
    <w:next w:val="BodyText"/>
    <w:link w:val="Heading3Char"/>
    <w:qFormat/>
    <w:rsid w:val="00FD43D6"/>
    <w:pPr>
      <w:spacing w:before="180" w:after="120"/>
      <w:outlineLvl w:val="2"/>
    </w:pPr>
    <w:rPr>
      <w:spacing w:val="-10"/>
      <w:kern w:val="32"/>
    </w:rPr>
  </w:style>
  <w:style w:type="paragraph" w:styleId="Heading4">
    <w:name w:val="heading 4"/>
    <w:basedOn w:val="HeadingBase"/>
    <w:next w:val="BodyText"/>
    <w:link w:val="Heading4Char"/>
    <w:qFormat/>
    <w:rsid w:val="00FD43D6"/>
    <w:pPr>
      <w:spacing w:before="160" w:after="120"/>
      <w:outlineLvl w:val="3"/>
    </w:pPr>
    <w:rPr>
      <w:sz w:val="22"/>
    </w:rPr>
  </w:style>
  <w:style w:type="paragraph" w:styleId="Heading5">
    <w:name w:val="heading 5"/>
    <w:basedOn w:val="HeadingBase"/>
    <w:next w:val="Normal"/>
    <w:link w:val="Heading5Char"/>
    <w:qFormat/>
    <w:rsid w:val="00FD43D6"/>
    <w:pPr>
      <w:spacing w:before="80"/>
      <w:outlineLvl w:val="4"/>
    </w:pPr>
    <w:rPr>
      <w:color w:val="918585"/>
      <w:sz w:val="20"/>
    </w:rPr>
  </w:style>
  <w:style w:type="paragraph" w:styleId="Heading6">
    <w:name w:val="heading 6"/>
    <w:basedOn w:val="HeadingBase"/>
    <w:next w:val="Normal"/>
    <w:link w:val="Heading6Char"/>
    <w:qFormat/>
    <w:rsid w:val="00FD43D6"/>
    <w:pPr>
      <w:spacing w:before="60"/>
      <w:outlineLvl w:val="5"/>
    </w:pPr>
    <w:rPr>
      <w:color w:val="918585"/>
      <w:sz w:val="20"/>
    </w:rPr>
  </w:style>
  <w:style w:type="paragraph" w:styleId="Heading7">
    <w:name w:val="heading 7"/>
    <w:basedOn w:val="Normal"/>
    <w:next w:val="Normal"/>
    <w:link w:val="Heading7Char"/>
    <w:qFormat/>
    <w:rsid w:val="00FD43D6"/>
    <w:pPr>
      <w:ind w:left="720"/>
      <w:outlineLvl w:val="6"/>
    </w:pPr>
    <w:rPr>
      <w:i/>
    </w:rPr>
  </w:style>
  <w:style w:type="paragraph" w:styleId="Heading8">
    <w:name w:val="heading 8"/>
    <w:basedOn w:val="Normal"/>
    <w:next w:val="Normal"/>
    <w:link w:val="Heading8Char"/>
    <w:qFormat/>
    <w:rsid w:val="00FD43D6"/>
    <w:pPr>
      <w:ind w:left="720"/>
      <w:outlineLvl w:val="7"/>
    </w:pPr>
    <w:rPr>
      <w:i/>
    </w:rPr>
  </w:style>
  <w:style w:type="paragraph" w:styleId="Heading9">
    <w:name w:val="heading 9"/>
    <w:basedOn w:val="Normal"/>
    <w:next w:val="Normal"/>
    <w:link w:val="Heading9Char"/>
    <w:qFormat/>
    <w:rsid w:val="00FD43D6"/>
    <w:pPr>
      <w:ind w:left="720"/>
      <w:outlineLvl w:val="8"/>
    </w:pPr>
    <w:rPr>
      <w:i/>
    </w:rPr>
  </w:style>
  <w:style w:type="character" w:default="1" w:styleId="DefaultParagraphFont">
    <w:name w:val="Default Paragraph Font"/>
    <w:uiPriority w:val="1"/>
    <w:unhideWhenUsed/>
    <w:rsid w:val="00FD43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43D6"/>
  </w:style>
  <w:style w:type="character" w:customStyle="1" w:styleId="Heading1Char">
    <w:name w:val="Heading 1 Char"/>
    <w:basedOn w:val="DefaultParagraphFont"/>
    <w:link w:val="Heading1"/>
    <w:rsid w:val="00FD43D6"/>
    <w:rPr>
      <w:rFonts w:ascii="Times New Roman" w:eastAsia="Times New Roman" w:hAnsi="Times New Roman" w:cs="Times New Roman"/>
      <w:b/>
      <w:sz w:val="32"/>
      <w:szCs w:val="20"/>
      <w:lang w:eastAsia="en-US"/>
    </w:rPr>
  </w:style>
  <w:style w:type="paragraph" w:styleId="BodyText">
    <w:name w:val="Body Text"/>
    <w:basedOn w:val="Normal"/>
    <w:link w:val="BodyTextChar"/>
    <w:rsid w:val="00FD43D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D43D6"/>
    <w:rPr>
      <w:rFonts w:ascii="Times New Roman" w:eastAsia="Times New Roman" w:hAnsi="Times New Roman" w:cs="Times New Roman"/>
      <w:sz w:val="24"/>
      <w:lang w:eastAsia="en-US"/>
    </w:rPr>
  </w:style>
  <w:style w:type="paragraph" w:styleId="Footer">
    <w:name w:val="footer"/>
    <w:basedOn w:val="Normal"/>
    <w:link w:val="FooterChar"/>
    <w:rsid w:val="00FD43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43D6"/>
    <w:rPr>
      <w:rFonts w:ascii="Times New Roman" w:eastAsia="Times New Roman" w:hAnsi="Times New Roman" w:cs="Times New Roman"/>
      <w:sz w:val="16"/>
      <w:lang w:eastAsia="en-US"/>
    </w:rPr>
  </w:style>
  <w:style w:type="paragraph" w:styleId="ListBullet">
    <w:name w:val="List Bullet"/>
    <w:basedOn w:val="List"/>
    <w:rsid w:val="00FD43D6"/>
    <w:pPr>
      <w:numPr>
        <w:numId w:val="13"/>
      </w:numPr>
      <w:tabs>
        <w:tab w:val="clear" w:pos="340"/>
      </w:tabs>
      <w:spacing w:before="40" w:after="40"/>
    </w:pPr>
  </w:style>
  <w:style w:type="character" w:customStyle="1" w:styleId="SpecialBold">
    <w:name w:val="Special Bold"/>
    <w:basedOn w:val="DefaultParagraphFont"/>
    <w:rsid w:val="00FD43D6"/>
    <w:rPr>
      <w:b/>
      <w:spacing w:val="0"/>
    </w:rPr>
  </w:style>
  <w:style w:type="paragraph" w:styleId="ListBullet2">
    <w:name w:val="List Bullet 2"/>
    <w:basedOn w:val="List2"/>
    <w:rsid w:val="00FD43D6"/>
    <w:pPr>
      <w:numPr>
        <w:numId w:val="14"/>
      </w:numPr>
      <w:tabs>
        <w:tab w:val="clear" w:pos="680"/>
      </w:tabs>
    </w:pPr>
  </w:style>
  <w:style w:type="paragraph" w:customStyle="1" w:styleId="SuperHeading">
    <w:name w:val="SuperHeading"/>
    <w:basedOn w:val="Normal"/>
    <w:rsid w:val="00FD43D6"/>
    <w:pPr>
      <w:spacing w:before="240" w:after="120"/>
      <w:outlineLvl w:val="0"/>
    </w:pPr>
    <w:rPr>
      <w:rFonts w:ascii="Times New Roman" w:hAnsi="Times New Roman"/>
      <w:b/>
      <w:sz w:val="28"/>
    </w:rPr>
  </w:style>
  <w:style w:type="paragraph" w:customStyle="1" w:styleId="AllowPageBreak">
    <w:name w:val="AllowPageBreak"/>
    <w:rsid w:val="00FD43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D43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43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43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43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43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43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43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43D6"/>
    <w:rPr>
      <w:rFonts w:ascii="Courier New" w:eastAsia="Times New Roman" w:hAnsi="Courier New" w:cs="Times New Roman"/>
      <w:i/>
      <w:szCs w:val="20"/>
      <w:lang w:eastAsia="en-US"/>
    </w:rPr>
  </w:style>
  <w:style w:type="paragraph" w:customStyle="1" w:styleId="HeadingBase">
    <w:name w:val="Heading Base"/>
    <w:rsid w:val="00FD43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43D6"/>
    <w:pPr>
      <w:tabs>
        <w:tab w:val="right" w:leader="dot" w:pos="9072"/>
      </w:tabs>
      <w:ind w:left="567"/>
    </w:pPr>
    <w:rPr>
      <w:szCs w:val="22"/>
    </w:rPr>
  </w:style>
  <w:style w:type="paragraph" w:customStyle="1" w:styleId="TOCBase">
    <w:name w:val="TOC Base"/>
    <w:rsid w:val="00FD43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43D6"/>
    <w:pPr>
      <w:tabs>
        <w:tab w:val="right" w:leader="dot" w:pos="9072"/>
      </w:tabs>
      <w:spacing w:before="40" w:after="40"/>
      <w:ind w:left="284"/>
    </w:pPr>
    <w:rPr>
      <w:rFonts w:ascii="Times New Roman" w:hAnsi="Times New Roman"/>
    </w:rPr>
  </w:style>
  <w:style w:type="paragraph" w:styleId="TOC1">
    <w:name w:val="toc 1"/>
    <w:basedOn w:val="TOCBase"/>
    <w:next w:val="Normal"/>
    <w:rsid w:val="00FD43D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D43D6"/>
    <w:pPr>
      <w:spacing w:before="5040"/>
      <w:jc w:val="center"/>
    </w:pPr>
    <w:rPr>
      <w:sz w:val="48"/>
      <w:szCs w:val="72"/>
      <w:lang w:val="en-US"/>
    </w:rPr>
  </w:style>
  <w:style w:type="character" w:customStyle="1" w:styleId="TitleChar">
    <w:name w:val="Title Char"/>
    <w:basedOn w:val="DefaultParagraphFont"/>
    <w:link w:val="Title"/>
    <w:rsid w:val="00FD43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43D6"/>
    <w:pPr>
      <w:tabs>
        <w:tab w:val="left" w:pos="3600"/>
        <w:tab w:val="left" w:pos="3958"/>
      </w:tabs>
    </w:pPr>
  </w:style>
  <w:style w:type="paragraph" w:styleId="List">
    <w:name w:val="List"/>
    <w:basedOn w:val="BodyText"/>
    <w:next w:val="BodyText"/>
    <w:rsid w:val="00FD43D6"/>
    <w:pPr>
      <w:tabs>
        <w:tab w:val="left" w:pos="340"/>
      </w:tabs>
      <w:spacing w:before="60" w:after="60"/>
      <w:ind w:left="340" w:hanging="340"/>
    </w:pPr>
  </w:style>
  <w:style w:type="paragraph" w:customStyle="1" w:styleId="Note">
    <w:name w:val="Note"/>
    <w:basedOn w:val="BodyText"/>
    <w:rsid w:val="00FD43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43D6"/>
    <w:pPr>
      <w:framePr w:wrap="auto" w:hAnchor="text" w:y="6049"/>
    </w:pPr>
    <w:rPr>
      <w:color w:val="000000"/>
      <w:sz w:val="40"/>
    </w:rPr>
  </w:style>
  <w:style w:type="paragraph" w:customStyle="1" w:styleId="TOCTitle">
    <w:name w:val="TOCTitle"/>
    <w:basedOn w:val="Heading1"/>
    <w:rsid w:val="00FD43D6"/>
    <w:pPr>
      <w:spacing w:after="240"/>
      <w:jc w:val="center"/>
      <w:outlineLvl w:val="9"/>
    </w:pPr>
    <w:rPr>
      <w:caps/>
    </w:rPr>
  </w:style>
  <w:style w:type="paragraph" w:customStyle="1" w:styleId="Version">
    <w:name w:val="Version"/>
    <w:rsid w:val="00FD43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43D6"/>
    <w:pPr>
      <w:keepNext w:val="0"/>
      <w:tabs>
        <w:tab w:val="right" w:pos="4176"/>
      </w:tabs>
      <w:ind w:left="198" w:hanging="198"/>
    </w:pPr>
    <w:rPr>
      <w:rFonts w:ascii="Garamond" w:hAnsi="Garamond"/>
    </w:rPr>
  </w:style>
  <w:style w:type="paragraph" w:styleId="IndexHeading">
    <w:name w:val="index heading"/>
    <w:basedOn w:val="Normal"/>
    <w:next w:val="Index1"/>
    <w:semiHidden/>
    <w:rsid w:val="00FD43D6"/>
    <w:pPr>
      <w:spacing w:before="120" w:after="120"/>
    </w:pPr>
    <w:rPr>
      <w:rFonts w:ascii="Arial" w:hAnsi="Arial"/>
      <w:b/>
      <w:color w:val="918585"/>
      <w:sz w:val="24"/>
    </w:rPr>
  </w:style>
  <w:style w:type="paragraph" w:styleId="Header">
    <w:name w:val="header"/>
    <w:basedOn w:val="Normal"/>
    <w:link w:val="HeaderChar"/>
    <w:rsid w:val="00FD43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43D6"/>
    <w:rPr>
      <w:rFonts w:ascii="Times New Roman" w:eastAsia="Times New Roman" w:hAnsi="Times New Roman" w:cs="Times New Roman"/>
      <w:sz w:val="16"/>
      <w:szCs w:val="20"/>
      <w:lang w:val="en-GB" w:eastAsia="en-US"/>
    </w:rPr>
  </w:style>
  <w:style w:type="paragraph" w:customStyle="1" w:styleId="Chapter">
    <w:name w:val="Chapter"/>
    <w:basedOn w:val="Normal"/>
    <w:rsid w:val="00FD43D6"/>
    <w:pPr>
      <w:spacing w:before="240"/>
    </w:pPr>
    <w:rPr>
      <w:rFonts w:ascii="Times New Roman" w:hAnsi="Times New Roman"/>
      <w:smallCaps/>
      <w:spacing w:val="80"/>
      <w:sz w:val="28"/>
    </w:rPr>
  </w:style>
  <w:style w:type="paragraph" w:customStyle="1" w:styleId="InChapter">
    <w:name w:val="InChapter"/>
    <w:basedOn w:val="Heading3"/>
    <w:rsid w:val="00FD43D6"/>
    <w:pPr>
      <w:spacing w:after="240"/>
      <w:outlineLvl w:val="9"/>
    </w:pPr>
    <w:rPr>
      <w:noProof/>
    </w:rPr>
  </w:style>
  <w:style w:type="paragraph" w:styleId="Index2">
    <w:name w:val="index 2"/>
    <w:basedOn w:val="Normal"/>
    <w:next w:val="Normal"/>
    <w:semiHidden/>
    <w:rsid w:val="00FD43D6"/>
    <w:pPr>
      <w:tabs>
        <w:tab w:val="right" w:pos="4176"/>
      </w:tabs>
      <w:ind w:left="568" w:hanging="284"/>
    </w:pPr>
    <w:rPr>
      <w:rFonts w:ascii="Garamond" w:hAnsi="Garamond"/>
    </w:rPr>
  </w:style>
  <w:style w:type="paragraph" w:customStyle="1" w:styleId="Byline">
    <w:name w:val="Byline"/>
    <w:rsid w:val="00FD43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43D6"/>
    <w:pPr>
      <w:tabs>
        <w:tab w:val="clear" w:pos="3600"/>
        <w:tab w:val="clear" w:pos="3958"/>
      </w:tabs>
      <w:jc w:val="right"/>
    </w:pPr>
  </w:style>
  <w:style w:type="character" w:styleId="Emphasis">
    <w:name w:val="Emphasis"/>
    <w:basedOn w:val="DefaultParagraphFont"/>
    <w:qFormat/>
    <w:rsid w:val="00FD43D6"/>
    <w:rPr>
      <w:i/>
    </w:rPr>
  </w:style>
  <w:style w:type="paragraph" w:styleId="Caption">
    <w:name w:val="caption"/>
    <w:basedOn w:val="BodyText"/>
    <w:next w:val="Normal"/>
    <w:qFormat/>
    <w:rsid w:val="00FD43D6"/>
    <w:pPr>
      <w:framePr w:w="2268" w:hSpace="181" w:vSpace="181" w:wrap="around" w:vAnchor="text" w:hAnchor="page" w:x="1135" w:y="285" w:anchorLock="1"/>
    </w:pPr>
    <w:rPr>
      <w:i/>
    </w:rPr>
  </w:style>
  <w:style w:type="paragraph" w:customStyle="1" w:styleId="MiniTOCTitle">
    <w:name w:val="MiniTOCTitle"/>
    <w:basedOn w:val="Heading4"/>
    <w:rsid w:val="00FD43D6"/>
    <w:pPr>
      <w:spacing w:before="240"/>
      <w:outlineLvl w:val="9"/>
    </w:pPr>
    <w:rPr>
      <w:noProof/>
      <w:sz w:val="24"/>
    </w:rPr>
  </w:style>
  <w:style w:type="paragraph" w:customStyle="1" w:styleId="MiniTOCItem">
    <w:name w:val="MiniTOCItem"/>
    <w:basedOn w:val="ListBullet"/>
    <w:rsid w:val="00FD43D6"/>
    <w:pPr>
      <w:numPr>
        <w:numId w:val="0"/>
      </w:numPr>
      <w:tabs>
        <w:tab w:val="right" w:leader="dot" w:pos="6521"/>
      </w:tabs>
      <w:spacing w:before="0" w:after="0"/>
    </w:pPr>
  </w:style>
  <w:style w:type="paragraph" w:customStyle="1" w:styleId="TOFTitle">
    <w:name w:val="TOFTitle"/>
    <w:basedOn w:val="TOCTitle"/>
    <w:rsid w:val="00FD43D6"/>
  </w:style>
  <w:style w:type="paragraph" w:styleId="TableofFigures">
    <w:name w:val="table of figures"/>
    <w:basedOn w:val="Normal"/>
    <w:next w:val="Normal"/>
    <w:semiHidden/>
    <w:rsid w:val="00FD43D6"/>
    <w:pPr>
      <w:tabs>
        <w:tab w:val="right" w:leader="dot" w:pos="9072"/>
      </w:tabs>
      <w:ind w:left="970" w:hanging="403"/>
    </w:pPr>
    <w:rPr>
      <w:rFonts w:ascii="Times New Roman" w:hAnsi="Times New Roman"/>
      <w:b/>
    </w:rPr>
  </w:style>
  <w:style w:type="paragraph" w:styleId="ListNumber">
    <w:name w:val="List Number"/>
    <w:basedOn w:val="List"/>
    <w:rsid w:val="00FD43D6"/>
    <w:pPr>
      <w:numPr>
        <w:numId w:val="11"/>
      </w:numPr>
    </w:pPr>
  </w:style>
  <w:style w:type="character" w:customStyle="1" w:styleId="WingdingSymbols">
    <w:name w:val="Wingding Symbols"/>
    <w:rsid w:val="00FD43D6"/>
    <w:rPr>
      <w:rFonts w:ascii="Wingdings" w:hAnsi="Wingdings"/>
    </w:rPr>
  </w:style>
  <w:style w:type="paragraph" w:customStyle="1" w:styleId="TableHeading">
    <w:name w:val="Table Heading"/>
    <w:basedOn w:val="HeadingBase"/>
    <w:rsid w:val="00FD43D6"/>
    <w:pPr>
      <w:keepLines/>
      <w:pBdr>
        <w:bottom w:val="single" w:sz="6" w:space="1" w:color="918585"/>
      </w:pBdr>
      <w:spacing w:before="240"/>
    </w:pPr>
  </w:style>
  <w:style w:type="character" w:customStyle="1" w:styleId="HotSpot">
    <w:name w:val="HotSpot"/>
    <w:rsid w:val="00FD43D6"/>
    <w:rPr>
      <w:color w:val="0033CC"/>
      <w:u w:val="none"/>
    </w:rPr>
  </w:style>
  <w:style w:type="paragraph" w:customStyle="1" w:styleId="BodyTextRight">
    <w:name w:val="Body Text Right"/>
    <w:basedOn w:val="BodyText"/>
    <w:rsid w:val="00FD43D6"/>
    <w:pPr>
      <w:spacing w:before="0" w:after="0"/>
      <w:jc w:val="right"/>
    </w:pPr>
  </w:style>
  <w:style w:type="paragraph" w:styleId="Index3">
    <w:name w:val="index 3"/>
    <w:basedOn w:val="ListNumber2"/>
    <w:next w:val="Normal"/>
    <w:semiHidden/>
    <w:rsid w:val="00FD43D6"/>
    <w:pPr>
      <w:numPr>
        <w:numId w:val="0"/>
      </w:numPr>
      <w:tabs>
        <w:tab w:val="right" w:leader="dot" w:pos="4176"/>
      </w:tabs>
    </w:pPr>
  </w:style>
  <w:style w:type="paragraph" w:styleId="ListNumber2">
    <w:name w:val="List Number 2"/>
    <w:basedOn w:val="List2"/>
    <w:rsid w:val="00FD43D6"/>
    <w:pPr>
      <w:numPr>
        <w:numId w:val="10"/>
      </w:numPr>
      <w:tabs>
        <w:tab w:val="clear" w:pos="1060"/>
      </w:tabs>
    </w:pPr>
  </w:style>
  <w:style w:type="paragraph" w:customStyle="1" w:styleId="MarginNote">
    <w:name w:val="Margin Note"/>
    <w:basedOn w:val="BodyText"/>
    <w:rsid w:val="00FD43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43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43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43D6"/>
    <w:rPr>
      <w:sz w:val="32"/>
    </w:rPr>
  </w:style>
  <w:style w:type="paragraph" w:customStyle="1" w:styleId="HeadingProcedure">
    <w:name w:val="Heading Procedure"/>
    <w:basedOn w:val="HeadingBase"/>
    <w:next w:val="Normal"/>
    <w:rsid w:val="00FD43D6"/>
    <w:pPr>
      <w:tabs>
        <w:tab w:val="left" w:pos="0"/>
      </w:tabs>
      <w:spacing w:before="120" w:after="60"/>
    </w:pPr>
    <w:rPr>
      <w:i/>
      <w:color w:val="918585"/>
      <w:sz w:val="22"/>
    </w:rPr>
  </w:style>
  <w:style w:type="paragraph" w:customStyle="1" w:styleId="TableBodyText">
    <w:name w:val="Table Body Text"/>
    <w:basedOn w:val="BodyText"/>
    <w:rsid w:val="00FD43D6"/>
    <w:pPr>
      <w:spacing w:before="60" w:after="60"/>
    </w:pPr>
  </w:style>
  <w:style w:type="paragraph" w:styleId="ListContinue">
    <w:name w:val="List Continue"/>
    <w:basedOn w:val="List"/>
    <w:rsid w:val="00FD43D6"/>
    <w:pPr>
      <w:ind w:firstLine="0"/>
    </w:pPr>
  </w:style>
  <w:style w:type="paragraph" w:customStyle="1" w:styleId="ListNote">
    <w:name w:val="List Note"/>
    <w:basedOn w:val="List"/>
    <w:rsid w:val="00FD43D6"/>
    <w:pPr>
      <w:pBdr>
        <w:top w:val="single" w:sz="6" w:space="2" w:color="918585"/>
        <w:bottom w:val="single" w:sz="6" w:space="2" w:color="918585"/>
      </w:pBdr>
      <w:tabs>
        <w:tab w:val="left" w:pos="1021"/>
      </w:tabs>
      <w:ind w:firstLine="0"/>
    </w:pPr>
  </w:style>
  <w:style w:type="paragraph" w:customStyle="1" w:styleId="Warning">
    <w:name w:val="Warning"/>
    <w:basedOn w:val="BodyText"/>
    <w:rsid w:val="00FD43D6"/>
    <w:pPr>
      <w:shd w:val="clear" w:color="auto" w:fill="D9D9D9"/>
      <w:tabs>
        <w:tab w:val="left" w:pos="992"/>
      </w:tabs>
      <w:ind w:left="119" w:right="119"/>
    </w:pPr>
    <w:rPr>
      <w:sz w:val="20"/>
    </w:rPr>
  </w:style>
  <w:style w:type="paragraph" w:customStyle="1" w:styleId="MarginIcons">
    <w:name w:val="Margin Icons"/>
    <w:basedOn w:val="BodyText"/>
    <w:rsid w:val="00FD43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43D6"/>
    <w:rPr>
      <w:rFonts w:ascii="Courier New" w:hAnsi="Courier New"/>
    </w:rPr>
  </w:style>
  <w:style w:type="paragraph" w:customStyle="1" w:styleId="NoteBullet">
    <w:name w:val="Note Bullet"/>
    <w:basedOn w:val="Note"/>
    <w:rsid w:val="00FD43D6"/>
    <w:pPr>
      <w:tabs>
        <w:tab w:val="clear" w:pos="680"/>
      </w:tabs>
      <w:spacing w:before="60" w:after="60"/>
    </w:pPr>
  </w:style>
  <w:style w:type="paragraph" w:customStyle="1" w:styleId="SubHeading2">
    <w:name w:val="SubHeading2"/>
    <w:basedOn w:val="HeadingBase"/>
    <w:rsid w:val="00FD43D6"/>
    <w:pPr>
      <w:spacing w:before="240" w:after="60"/>
    </w:pPr>
    <w:rPr>
      <w:sz w:val="20"/>
    </w:rPr>
  </w:style>
  <w:style w:type="paragraph" w:customStyle="1" w:styleId="SubHeading1">
    <w:name w:val="SubHeading1"/>
    <w:basedOn w:val="HeadingBase"/>
    <w:rsid w:val="00FD43D6"/>
    <w:pPr>
      <w:spacing w:before="240" w:after="60"/>
    </w:pPr>
    <w:rPr>
      <w:color w:val="918585"/>
      <w:sz w:val="22"/>
    </w:rPr>
  </w:style>
  <w:style w:type="paragraph" w:customStyle="1" w:styleId="SideHeading">
    <w:name w:val="Side Heading"/>
    <w:basedOn w:val="HeadingBase"/>
    <w:rsid w:val="00FD43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43D6"/>
    <w:pPr>
      <w:numPr>
        <w:numId w:val="12"/>
      </w:numPr>
    </w:pPr>
  </w:style>
  <w:style w:type="paragraph" w:styleId="PlainText">
    <w:name w:val="Plain Text"/>
    <w:basedOn w:val="Normal"/>
    <w:link w:val="PlainTextChar"/>
    <w:rsid w:val="00FD43D6"/>
    <w:rPr>
      <w:sz w:val="20"/>
    </w:rPr>
  </w:style>
  <w:style w:type="character" w:customStyle="1" w:styleId="PlainTextChar">
    <w:name w:val="Plain Text Char"/>
    <w:basedOn w:val="DefaultParagraphFont"/>
    <w:link w:val="PlainText"/>
    <w:rsid w:val="00FD43D6"/>
    <w:rPr>
      <w:rFonts w:ascii="Courier New" w:eastAsia="Times New Roman" w:hAnsi="Courier New" w:cs="Times New Roman"/>
      <w:sz w:val="20"/>
      <w:szCs w:val="20"/>
      <w:lang w:eastAsia="en-US"/>
    </w:rPr>
  </w:style>
  <w:style w:type="character" w:customStyle="1" w:styleId="MenuOption">
    <w:name w:val="Menu Option"/>
    <w:basedOn w:val="DefaultParagraphFont"/>
    <w:rsid w:val="00FD43D6"/>
    <w:rPr>
      <w:b/>
      <w:smallCaps/>
    </w:rPr>
  </w:style>
  <w:style w:type="paragraph" w:customStyle="1" w:styleId="TableListNumber">
    <w:name w:val="Table List Number"/>
    <w:basedOn w:val="ListNumber"/>
    <w:rsid w:val="00FD43D6"/>
    <w:pPr>
      <w:numPr>
        <w:numId w:val="0"/>
      </w:numPr>
    </w:pPr>
  </w:style>
  <w:style w:type="paragraph" w:styleId="TOC4">
    <w:name w:val="toc 4"/>
    <w:basedOn w:val="TOCBase"/>
    <w:next w:val="Normal"/>
    <w:semiHidden/>
    <w:rsid w:val="00FD43D6"/>
    <w:pPr>
      <w:tabs>
        <w:tab w:val="right" w:leader="dot" w:pos="9071"/>
      </w:tabs>
      <w:ind w:left="1701"/>
    </w:pPr>
  </w:style>
  <w:style w:type="paragraph" w:customStyle="1" w:styleId="ListAlpha">
    <w:name w:val="List Alpha"/>
    <w:basedOn w:val="List"/>
    <w:rsid w:val="00FD43D6"/>
    <w:pPr>
      <w:numPr>
        <w:numId w:val="9"/>
      </w:numPr>
    </w:pPr>
  </w:style>
  <w:style w:type="paragraph" w:customStyle="1" w:styleId="ListAlpha2">
    <w:name w:val="List Alpha 2"/>
    <w:basedOn w:val="List2"/>
    <w:rsid w:val="00FD43D6"/>
    <w:pPr>
      <w:numPr>
        <w:numId w:val="8"/>
      </w:numPr>
    </w:pPr>
  </w:style>
  <w:style w:type="paragraph" w:styleId="List2">
    <w:name w:val="List 2"/>
    <w:basedOn w:val="BodyText"/>
    <w:rsid w:val="00FD43D6"/>
    <w:pPr>
      <w:tabs>
        <w:tab w:val="left" w:pos="680"/>
      </w:tabs>
      <w:spacing w:before="60" w:after="60"/>
      <w:ind w:left="680" w:hanging="340"/>
    </w:pPr>
  </w:style>
  <w:style w:type="paragraph" w:styleId="List3">
    <w:name w:val="List 3"/>
    <w:basedOn w:val="BodyText"/>
    <w:rsid w:val="00FD43D6"/>
    <w:pPr>
      <w:tabs>
        <w:tab w:val="left" w:pos="1021"/>
      </w:tabs>
      <w:spacing w:before="60" w:after="60"/>
      <w:ind w:left="1020" w:hanging="340"/>
    </w:pPr>
  </w:style>
  <w:style w:type="paragraph" w:styleId="List4">
    <w:name w:val="List 4"/>
    <w:basedOn w:val="BodyText"/>
    <w:rsid w:val="00FD43D6"/>
    <w:pPr>
      <w:tabs>
        <w:tab w:val="left" w:pos="1361"/>
      </w:tabs>
      <w:spacing w:before="60" w:after="60"/>
      <w:ind w:left="1361" w:hanging="340"/>
    </w:pPr>
  </w:style>
  <w:style w:type="paragraph" w:styleId="List5">
    <w:name w:val="List 5"/>
    <w:basedOn w:val="BodyText"/>
    <w:rsid w:val="00FD43D6"/>
    <w:pPr>
      <w:tabs>
        <w:tab w:val="left" w:pos="1701"/>
      </w:tabs>
      <w:spacing w:before="60" w:after="60"/>
      <w:ind w:left="1701" w:hanging="340"/>
    </w:pPr>
  </w:style>
  <w:style w:type="paragraph" w:styleId="ListBullet3">
    <w:name w:val="List Bullet 3"/>
    <w:basedOn w:val="List3"/>
    <w:rsid w:val="00FD43D6"/>
    <w:pPr>
      <w:numPr>
        <w:numId w:val="15"/>
      </w:numPr>
      <w:tabs>
        <w:tab w:val="clear" w:pos="1021"/>
      </w:tabs>
      <w:ind w:left="1037" w:hanging="357"/>
    </w:pPr>
  </w:style>
  <w:style w:type="paragraph" w:styleId="ListBullet4">
    <w:name w:val="List Bullet 4"/>
    <w:basedOn w:val="List4"/>
    <w:rsid w:val="00FD43D6"/>
    <w:pPr>
      <w:numPr>
        <w:numId w:val="3"/>
      </w:numPr>
    </w:pPr>
  </w:style>
  <w:style w:type="paragraph" w:styleId="ListBullet5">
    <w:name w:val="List Bullet 5"/>
    <w:basedOn w:val="List5"/>
    <w:rsid w:val="00FD43D6"/>
    <w:pPr>
      <w:numPr>
        <w:numId w:val="4"/>
      </w:numPr>
    </w:pPr>
  </w:style>
  <w:style w:type="paragraph" w:styleId="ListContinue2">
    <w:name w:val="List Continue 2"/>
    <w:basedOn w:val="List2"/>
    <w:rsid w:val="00FD43D6"/>
    <w:pPr>
      <w:ind w:firstLine="0"/>
    </w:pPr>
  </w:style>
  <w:style w:type="paragraph" w:styleId="ListContinue3">
    <w:name w:val="List Continue 3"/>
    <w:basedOn w:val="List3"/>
    <w:rsid w:val="00FD43D6"/>
    <w:pPr>
      <w:ind w:left="1021" w:firstLine="0"/>
    </w:pPr>
  </w:style>
  <w:style w:type="paragraph" w:styleId="ListContinue4">
    <w:name w:val="List Continue 4"/>
    <w:basedOn w:val="List4"/>
    <w:rsid w:val="00FD43D6"/>
    <w:pPr>
      <w:ind w:firstLine="0"/>
    </w:pPr>
  </w:style>
  <w:style w:type="paragraph" w:styleId="ListContinue5">
    <w:name w:val="List Continue 5"/>
    <w:basedOn w:val="List5"/>
    <w:rsid w:val="00FD43D6"/>
    <w:pPr>
      <w:ind w:firstLine="0"/>
    </w:pPr>
  </w:style>
  <w:style w:type="paragraph" w:styleId="ListNumber3">
    <w:name w:val="List Number 3"/>
    <w:basedOn w:val="List3"/>
    <w:rsid w:val="00FD43D6"/>
    <w:pPr>
      <w:numPr>
        <w:numId w:val="5"/>
      </w:numPr>
    </w:pPr>
  </w:style>
  <w:style w:type="paragraph" w:styleId="ListNumber4">
    <w:name w:val="List Number 4"/>
    <w:basedOn w:val="List4"/>
    <w:rsid w:val="00FD43D6"/>
    <w:pPr>
      <w:numPr>
        <w:numId w:val="6"/>
      </w:numPr>
    </w:pPr>
  </w:style>
  <w:style w:type="paragraph" w:styleId="ListNumber5">
    <w:name w:val="List Number 5"/>
    <w:basedOn w:val="List5"/>
    <w:rsid w:val="00FD43D6"/>
    <w:pPr>
      <w:numPr>
        <w:numId w:val="7"/>
      </w:numPr>
    </w:pPr>
  </w:style>
  <w:style w:type="paragraph" w:styleId="BlockText">
    <w:name w:val="Block Text"/>
    <w:basedOn w:val="Normal"/>
    <w:rsid w:val="00FD43D6"/>
    <w:pPr>
      <w:spacing w:after="120"/>
      <w:ind w:left="1440" w:right="1440"/>
    </w:pPr>
  </w:style>
  <w:style w:type="character" w:customStyle="1" w:styleId="Subscript">
    <w:name w:val="Subscript"/>
    <w:basedOn w:val="DefaultParagraphFont"/>
    <w:rsid w:val="00FD43D6"/>
    <w:rPr>
      <w:sz w:val="16"/>
      <w:vertAlign w:val="subscript"/>
    </w:rPr>
  </w:style>
  <w:style w:type="character" w:customStyle="1" w:styleId="Superscript">
    <w:name w:val="Superscript"/>
    <w:basedOn w:val="DefaultParagraphFont"/>
    <w:rsid w:val="00FD43D6"/>
    <w:rPr>
      <w:sz w:val="16"/>
      <w:vertAlign w:val="superscript"/>
    </w:rPr>
  </w:style>
  <w:style w:type="character" w:customStyle="1" w:styleId="Symbols">
    <w:name w:val="Symbols"/>
    <w:basedOn w:val="DefaultParagraphFont"/>
    <w:rsid w:val="00FD43D6"/>
    <w:rPr>
      <w:rFonts w:ascii="Symbol" w:hAnsi="Symbol"/>
    </w:rPr>
  </w:style>
  <w:style w:type="character" w:customStyle="1" w:styleId="MenuOptions">
    <w:name w:val="Menu Options"/>
    <w:basedOn w:val="DefaultParagraphFont"/>
    <w:rsid w:val="00FD43D6"/>
    <w:rPr>
      <w:rFonts w:ascii="Arial Narrow" w:hAnsi="Arial Narrow"/>
      <w:smallCaps/>
    </w:rPr>
  </w:style>
  <w:style w:type="character" w:customStyle="1" w:styleId="Buttons">
    <w:name w:val="Buttons"/>
    <w:basedOn w:val="DefaultParagraphFont"/>
    <w:rsid w:val="00FD43D6"/>
    <w:rPr>
      <w:b/>
    </w:rPr>
  </w:style>
  <w:style w:type="character" w:customStyle="1" w:styleId="Underlined">
    <w:name w:val="Underlined"/>
    <w:basedOn w:val="DefaultParagraphFont"/>
    <w:rsid w:val="00FD43D6"/>
    <w:rPr>
      <w:u w:val="single"/>
    </w:rPr>
  </w:style>
  <w:style w:type="paragraph" w:customStyle="1" w:styleId="TableBodyTextRight">
    <w:name w:val="Table Body Text Right"/>
    <w:basedOn w:val="TableBodyText"/>
    <w:rsid w:val="00FD43D6"/>
    <w:pPr>
      <w:widowControl w:val="0"/>
      <w:autoSpaceDE w:val="0"/>
      <w:autoSpaceDN w:val="0"/>
      <w:adjustRightInd w:val="0"/>
      <w:jc w:val="right"/>
    </w:pPr>
    <w:rPr>
      <w:rFonts w:cs="Arial"/>
      <w:szCs w:val="18"/>
    </w:rPr>
  </w:style>
  <w:style w:type="paragraph" w:customStyle="1" w:styleId="CopyrightText">
    <w:name w:val="Copyright Text"/>
    <w:basedOn w:val="BodyText"/>
    <w:rsid w:val="00FD43D6"/>
    <w:rPr>
      <w:sz w:val="18"/>
    </w:rPr>
  </w:style>
  <w:style w:type="paragraph" w:customStyle="1" w:styleId="BodySmallRight">
    <w:name w:val="Body Small Right"/>
    <w:basedOn w:val="BodyTextRight"/>
    <w:rsid w:val="00FD43D6"/>
    <w:rPr>
      <w:sz w:val="18"/>
      <w:szCs w:val="18"/>
    </w:rPr>
  </w:style>
  <w:style w:type="paragraph" w:customStyle="1" w:styleId="MarginEdition">
    <w:name w:val="Margin Edition"/>
    <w:basedOn w:val="MarginNote"/>
    <w:rsid w:val="00FD43D6"/>
    <w:pPr>
      <w:spacing w:before="0" w:after="0"/>
    </w:pPr>
    <w:rPr>
      <w:rFonts w:ascii="Times New Roman" w:hAnsi="Times New Roman"/>
      <w:color w:val="999999"/>
    </w:rPr>
  </w:style>
  <w:style w:type="paragraph" w:customStyle="1" w:styleId="Spacer">
    <w:name w:val="Spacer"/>
    <w:basedOn w:val="Normal"/>
    <w:rsid w:val="00FD43D6"/>
    <w:rPr>
      <w:sz w:val="2"/>
      <w:szCs w:val="2"/>
    </w:rPr>
  </w:style>
  <w:style w:type="character" w:customStyle="1" w:styleId="Small">
    <w:name w:val="Small"/>
    <w:basedOn w:val="DefaultParagraphFont"/>
    <w:rsid w:val="00FD43D6"/>
    <w:rPr>
      <w:sz w:val="16"/>
    </w:rPr>
  </w:style>
  <w:style w:type="paragraph" w:customStyle="1" w:styleId="WideTable">
    <w:name w:val="Wide Table"/>
    <w:basedOn w:val="Normal"/>
    <w:rsid w:val="00FD43D6"/>
    <w:pPr>
      <w:ind w:left="-1418"/>
    </w:pPr>
    <w:rPr>
      <w:sz w:val="2"/>
      <w:szCs w:val="2"/>
    </w:rPr>
  </w:style>
  <w:style w:type="character" w:styleId="PageNumber">
    <w:name w:val="page number"/>
    <w:basedOn w:val="DefaultParagraphFont"/>
    <w:rsid w:val="00FD43D6"/>
  </w:style>
  <w:style w:type="paragraph" w:styleId="Quote">
    <w:name w:val="Quote"/>
    <w:basedOn w:val="Heading1"/>
    <w:link w:val="QuoteChar"/>
    <w:qFormat/>
    <w:rsid w:val="00FD43D6"/>
    <w:rPr>
      <w:b w:val="0"/>
      <w:sz w:val="72"/>
      <w:szCs w:val="72"/>
      <w:lang w:val="en-NZ"/>
    </w:rPr>
  </w:style>
  <w:style w:type="character" w:customStyle="1" w:styleId="QuoteChar">
    <w:name w:val="Quote Char"/>
    <w:basedOn w:val="DefaultParagraphFont"/>
    <w:link w:val="Quote"/>
    <w:rsid w:val="00FD43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43D6"/>
    <w:pPr>
      <w:pageBreakBefore/>
    </w:pPr>
  </w:style>
  <w:style w:type="paragraph" w:customStyle="1" w:styleId="Border">
    <w:name w:val="Border"/>
    <w:basedOn w:val="Normal"/>
    <w:qFormat/>
    <w:rsid w:val="00FD43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43D6"/>
    <w:rPr>
      <w:b/>
      <w:bCs/>
      <w:i/>
      <w:iCs/>
      <w:color w:val="auto"/>
    </w:rPr>
  </w:style>
  <w:style w:type="paragraph" w:styleId="IntenseQuote">
    <w:name w:val="Intense Quote"/>
    <w:basedOn w:val="Normal"/>
    <w:next w:val="Normal"/>
    <w:link w:val="IntenseQuoteChar"/>
    <w:uiPriority w:val="30"/>
    <w:qFormat/>
    <w:rsid w:val="00FD43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43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43D6"/>
    <w:rPr>
      <w:smallCaps/>
      <w:color w:val="auto"/>
      <w:u w:val="single"/>
    </w:rPr>
  </w:style>
  <w:style w:type="character" w:styleId="IntenseReference">
    <w:name w:val="Intense Reference"/>
    <w:basedOn w:val="DefaultParagraphFont"/>
    <w:uiPriority w:val="32"/>
    <w:qFormat/>
    <w:rsid w:val="00FD43D6"/>
    <w:rPr>
      <w:b/>
      <w:bCs/>
      <w:smallCaps/>
      <w:color w:val="auto"/>
      <w:spacing w:val="5"/>
      <w:u w:val="single"/>
    </w:rPr>
  </w:style>
  <w:style w:type="paragraph" w:customStyle="1" w:styleId="2ColumnHeading">
    <w:name w:val="2Column Heading"/>
    <w:basedOn w:val="BodyText"/>
    <w:qFormat/>
    <w:rsid w:val="00FD43D6"/>
    <w:pPr>
      <w:spacing w:after="60"/>
      <w:ind w:left="-2268"/>
    </w:pPr>
    <w:rPr>
      <w:b/>
    </w:rPr>
  </w:style>
  <w:style w:type="paragraph" w:customStyle="1" w:styleId="Heading1TOC">
    <w:name w:val="Heading1 TOC"/>
    <w:basedOn w:val="Normal"/>
    <w:qFormat/>
    <w:rsid w:val="00FD43D6"/>
    <w:pPr>
      <w:spacing w:before="240" w:after="120"/>
    </w:pPr>
    <w:rPr>
      <w:rFonts w:ascii="Times New Roman" w:hAnsi="Times New Roman"/>
      <w:b/>
      <w:sz w:val="32"/>
    </w:rPr>
  </w:style>
  <w:style w:type="paragraph" w:customStyle="1" w:styleId="Heading2TOC">
    <w:name w:val="Heading2 TOC"/>
    <w:basedOn w:val="Normal"/>
    <w:qFormat/>
    <w:rsid w:val="00FD43D6"/>
    <w:pPr>
      <w:spacing w:before="240" w:after="60"/>
    </w:pPr>
    <w:rPr>
      <w:rFonts w:ascii="Times New Roman" w:hAnsi="Times New Roman"/>
      <w:b/>
      <w:sz w:val="28"/>
    </w:rPr>
  </w:style>
  <w:style w:type="character" w:customStyle="1" w:styleId="Underline">
    <w:name w:val="Underline"/>
    <w:basedOn w:val="DefaultParagraphFont"/>
    <w:qFormat/>
    <w:rsid w:val="00FD43D6"/>
    <w:rPr>
      <w:u w:val="single"/>
    </w:rPr>
  </w:style>
  <w:style w:type="character" w:customStyle="1" w:styleId="BoldandItalics">
    <w:name w:val="Bold and Italics"/>
    <w:qFormat/>
    <w:rsid w:val="00FD43D6"/>
    <w:rPr>
      <w:b/>
      <w:i/>
      <w:u w:val="none"/>
    </w:rPr>
  </w:style>
  <w:style w:type="paragraph" w:styleId="BalloonText">
    <w:name w:val="Balloon Text"/>
    <w:basedOn w:val="Normal"/>
    <w:link w:val="BalloonTextChar"/>
    <w:rsid w:val="00FD43D6"/>
    <w:rPr>
      <w:rFonts w:ascii="Tahoma" w:hAnsi="Tahoma" w:cs="Tahoma"/>
      <w:sz w:val="16"/>
      <w:szCs w:val="16"/>
    </w:rPr>
  </w:style>
  <w:style w:type="character" w:customStyle="1" w:styleId="BalloonTextChar">
    <w:name w:val="Balloon Text Char"/>
    <w:basedOn w:val="DefaultParagraphFont"/>
    <w:link w:val="BalloonText"/>
    <w:rsid w:val="00FD43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43D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D43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43D6"/>
    <w:rPr>
      <w:b/>
      <w:color w:val="660033"/>
      <w:spacing w:val="0"/>
    </w:rPr>
  </w:style>
  <w:style w:type="paragraph" w:customStyle="1" w:styleId="Nameditemlist">
    <w:name w:val="Named item list"/>
    <w:basedOn w:val="BodyText"/>
    <w:qFormat/>
    <w:rsid w:val="00FD43D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2407</Words>
  <Characters>14827</Characters>
  <Application>Microsoft Office Word</Application>
  <DocSecurity>0</DocSecurity>
  <Lines>543</Lines>
  <Paragraphs>234</Paragraphs>
  <ScaleCrop>false</ScaleCrop>
  <Company>Author-it Software Corporation Ltd.</Company>
  <LinksUpToDate>false</LinksUpToDate>
  <CharactersWithSpaces>17034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UEPOPS210B Conduct first response within a workplace team</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2012-07-25T16:37:00Z</dcterms:created>
  <dcterms:modified xsi:type="dcterms:W3CDTF">2012-07-25T16:37:00Z</dcterms:modified>
</cp:coreProperties>
</file>