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1CB" w:rsidP="00FC61CB">
      <w:pPr>
        <w:pStyle w:val="Title"/>
      </w:pPr>
      <w:bookmarkStart w:id="0" w:name="_GoBack"/>
      <w:bookmarkEnd w:id="0"/>
      <w:r>
        <w:fldChar w:fldCharType="begin"/>
      </w:r>
      <w:r>
        <w:instrText xml:space="preserve"> TITLE   \* MERGEFORMAT </w:instrText>
      </w:r>
      <w:r>
        <w:fldChar w:fldCharType="separate"/>
      </w:r>
      <w:r>
        <w:t>UEPOPS207B Perform plant lubrication</w:t>
      </w:r>
      <w:r>
        <w:fldChar w:fldCharType="end"/>
      </w:r>
    </w:p>
    <w:p w:rsidR="00FC61CB" w:rsidP="00FC61CB">
      <w:pPr>
        <w:pStyle w:val="Version"/>
        <w:sectPr w:rsidSect="005D4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D6E" w:rsidP="005D4D6E">
      <w:pPr>
        <w:pStyle w:val="SuperHeading"/>
      </w:pPr>
      <w:r w:rsidRPr="005D4D6E">
        <w:t>UEPOPS207B Perform plant lubrication</w:t>
      </w:r>
    </w:p>
    <w:p w:rsidR="00000000" w:rsidRPr="005D4D6E" w:rsidP="005D4D6E">
      <w:pPr>
        <w:pStyle w:val="Heading1"/>
      </w:pPr>
      <w:bookmarkStart w:id="1" w:name="O_470973"/>
      <w:bookmarkEnd w:id="1"/>
      <w:r w:rsidRPr="005D4D6E">
        <w:t>Modification History</w:t>
      </w:r>
    </w:p>
    <w:p w:rsidR="00000000" w:rsidRPr="005D4D6E" w:rsidP="005D4D6E">
      <w:pPr>
        <w:pStyle w:val="BodyText"/>
      </w:pPr>
      <w:r w:rsidRPr="005D4D6E">
        <w:t>Not applicable.</w:t>
      </w:r>
    </w:p>
    <w:p w:rsidR="00000000" w:rsidRPr="005D4D6E" w:rsidP="005D4D6E">
      <w:pPr>
        <w:pStyle w:val="AllowPageBreak"/>
      </w:pPr>
    </w:p>
    <w:p w:rsidR="00000000" w:rsidRPr="005D4D6E" w:rsidP="005D4D6E">
      <w:pPr>
        <w:pStyle w:val="Heading1"/>
      </w:pPr>
      <w:bookmarkStart w:id="2" w:name="O_470971"/>
      <w:bookmarkEnd w:id="2"/>
      <w:r w:rsidRPr="005D4D6E">
        <w:t>Unit Descriptor</w:t>
      </w:r>
    </w:p>
    <w:tbl>
      <w:tblPr>
        <w:tblW w:w="0" w:type="auto"/>
        <w:tblLayout w:type="fixed"/>
        <w:tblCellMar>
          <w:left w:w="62" w:type="dxa"/>
          <w:right w:w="62" w:type="dxa"/>
        </w:tblCellMar>
        <w:tblLook w:val="0000"/>
      </w:tblPr>
      <w:tblGrid>
        <w:gridCol w:w="2700"/>
        <w:gridCol w:w="5760"/>
      </w:tblGrid>
      <w:tr w:rsidTr="00FC6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1)</w:t>
            </w:r>
            <w:r w:rsidRPr="005D4D6E">
              <w:t xml:space="preserve"> </w:t>
            </w:r>
            <w:r w:rsidRPr="005D4D6E">
              <w:rPr>
                <w:rStyle w:val="SpecialBold"/>
              </w:rPr>
              <w:t>Scope:</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4D6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1.1) Descriptor</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This unit deals with the skills and knowledge required to maintain grease, oil levels and quality in all areas of plant.</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3" w:name="O_470960"/>
      <w:bookmarkEnd w:id="3"/>
      <w:r w:rsidRPr="005D4D6E">
        <w:t>Application of the Unit</w:t>
      </w:r>
    </w:p>
    <w:tbl>
      <w:tblPr>
        <w:tblW w:w="0" w:type="auto"/>
        <w:tblLayout w:type="fixed"/>
        <w:tblCellMar>
          <w:left w:w="62" w:type="dxa"/>
          <w:right w:w="62" w:type="dxa"/>
        </w:tblCellMar>
        <w:tblLook w:val="0000"/>
      </w:tblPr>
      <w:tblGrid>
        <w:gridCol w:w="2672"/>
        <w:gridCol w:w="5699"/>
      </w:tblGrid>
      <w:tr w:rsidTr="00FC61C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2)</w:t>
            </w:r>
          </w:p>
        </w:tc>
      </w:tr>
      <w:tr w:rsidTr="00FC61C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This unit is intended to augment formally acquired competencies. It is suitable for employment-based programs under an approved contract of training.</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4" w:name="O_470967"/>
      <w:bookmarkEnd w:id="4"/>
      <w:r w:rsidRPr="005D4D6E">
        <w:t>Licensing/Regulatory Information</w:t>
      </w:r>
    </w:p>
    <w:tbl>
      <w:tblPr>
        <w:tblW w:w="0" w:type="auto"/>
        <w:tblLayout w:type="fixed"/>
        <w:tblCellMar>
          <w:left w:w="62" w:type="dxa"/>
          <w:right w:w="62" w:type="dxa"/>
        </w:tblCellMar>
        <w:tblLook w:val="0000"/>
      </w:tblPr>
      <w:tblGrid>
        <w:gridCol w:w="2700"/>
        <w:gridCol w:w="5760"/>
      </w:tblGrid>
      <w:tr w:rsidTr="00FC6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 xml:space="preserve">3) </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The skills and knowledge des</w:t>
            </w:r>
            <w:r w:rsidRPr="005D4D6E">
              <w:t>cribed in this unit do not require a licence to practise in the workplace. However, practice in this unit is subject to regulations directly related to Occupational Health and Safety and where applicable contracts of training such as apprenticeships and th</w:t>
            </w:r>
            <w:r w:rsidRPr="005D4D6E">
              <w:t>e like.</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5" w:name="O_470968"/>
      <w:bookmarkEnd w:id="5"/>
      <w:r w:rsidRPr="005D4D6E">
        <w:t>Pre-Requisites</w:t>
      </w:r>
    </w:p>
    <w:tbl>
      <w:tblPr>
        <w:tblW w:w="0" w:type="auto"/>
        <w:tblLayout w:type="fixed"/>
        <w:tblCellMar>
          <w:left w:w="62" w:type="dxa"/>
          <w:right w:w="62" w:type="dxa"/>
        </w:tblCellMar>
        <w:tblLook w:val="0000"/>
      </w:tblPr>
      <w:tblGrid>
        <w:gridCol w:w="2700"/>
        <w:gridCol w:w="5764"/>
      </w:tblGrid>
      <w:tr w:rsidTr="00FC6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 xml:space="preserve">4) </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4.1)</w:t>
            </w:r>
          </w:p>
        </w:tc>
      </w:tr>
      <w:tr w:rsidTr="00FC61CB">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Granting of competency in this unit shall be made only after competency in the following unit(s) has/have been confirmed.</w:t>
            </w:r>
          </w:p>
          <w:p w:rsidR="00000000" w:rsidRPr="005D4D6E" w:rsidP="005D4D6E">
            <w:pPr>
              <w:pStyle w:val="BodyText"/>
            </w:pPr>
            <w:r w:rsidRPr="005D4D6E">
              <w:t>Where pre-requisite pathways have been identified. All competencies in the Common Unit Group must be have been completed.</w:t>
            </w:r>
          </w:p>
          <w:p w:rsidR="00000000" w:rsidRPr="005D4D6E" w:rsidP="005D4D6E">
            <w:pPr>
              <w:pStyle w:val="BodyText"/>
            </w:pPr>
            <w:r w:rsidRPr="005D4D6E">
              <w:t>There are no pre-requisite units.</w:t>
            </w:r>
          </w:p>
        </w:tc>
      </w:tr>
    </w:tbl>
    <w:p w:rsidR="00000000" w:rsidRPr="005D4D6E" w:rsidP="005D4D6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61C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 xml:space="preserve">4.2) </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Participants are best equipped to achieve this unit if they have reading, writing and numeracy skills indicated by the following levels. A description of what each level entails is provided in Section 2.3.1 Language, Literacy and Numeracy.</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Reading</w:t>
            </w:r>
          </w:p>
        </w:tc>
        <w:tc>
          <w:tcPr>
            <w:tcW w:w="81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2</w:t>
            </w:r>
          </w:p>
        </w:tc>
        <w:tc>
          <w:tcPr>
            <w:tcW w:w="99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Writing</w:t>
            </w: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2</w:t>
            </w:r>
          </w:p>
        </w:tc>
        <w:tc>
          <w:tcPr>
            <w:tcW w:w="12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Numeracy</w:t>
            </w:r>
          </w:p>
        </w:tc>
        <w:tc>
          <w:tcPr>
            <w:tcW w:w="72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2</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6" w:name="O_470964"/>
      <w:bookmarkEnd w:id="6"/>
      <w:r w:rsidRPr="005D4D6E">
        <w:t>Employability Skills Information</w:t>
      </w:r>
    </w:p>
    <w:tbl>
      <w:tblPr>
        <w:tblW w:w="0" w:type="auto"/>
        <w:tblLayout w:type="fixed"/>
        <w:tblCellMar>
          <w:left w:w="62" w:type="dxa"/>
          <w:right w:w="62" w:type="dxa"/>
        </w:tblCellMar>
        <w:tblLook w:val="0000"/>
      </w:tblPr>
      <w:tblGrid>
        <w:gridCol w:w="2700"/>
        <w:gridCol w:w="5760"/>
      </w:tblGrid>
      <w:tr w:rsidTr="00FC6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 xml:space="preserve">5) </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The required outcomes described in this unit of competency contain applicable facets of Employability Skills. The Employability Skills Summary of the qua</w:t>
            </w:r>
            <w:r w:rsidRPr="005D4D6E">
              <w:t>lification in which this unit of competency is packaged will assist in identifying Employability Skill requirements.</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7" w:name="O_470963"/>
      <w:bookmarkEnd w:id="7"/>
      <w:r w:rsidRPr="005D4D6E">
        <w:t>Elements and Performance Criteria Pre-Content</w:t>
      </w:r>
    </w:p>
    <w:tbl>
      <w:tblPr>
        <w:tblW w:w="0" w:type="auto"/>
        <w:tblLayout w:type="fixed"/>
        <w:tblCellMar>
          <w:left w:w="62" w:type="dxa"/>
          <w:right w:w="62" w:type="dxa"/>
        </w:tblCellMar>
        <w:tblLook w:val="0000"/>
      </w:tblPr>
      <w:tblGrid>
        <w:gridCol w:w="2700"/>
        <w:gridCol w:w="5760"/>
      </w:tblGrid>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6)</w:t>
            </w:r>
            <w:r w:rsidRPr="005D4D6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Performance Criteria describe the required performance needed to demonstrate achievement of the element. Assessment of performance is to be consistent with the Evidence Guide.</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8" w:name="O_470962"/>
      <w:bookmarkEnd w:id="8"/>
      <w:r w:rsidRPr="005D4D6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C61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PERFORMANCE CRIT</w:t>
            </w:r>
            <w:r w:rsidRPr="005D4D6E">
              <w:rPr>
                <w:rStyle w:val="SpecialBold"/>
              </w:rPr>
              <w:t>ERIA</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w:t>
            </w:r>
          </w:p>
        </w:tc>
        <w:tc>
          <w:tcPr>
            <w:tcW w:w="2296" w:type="dxa"/>
            <w:vMerge w:val="restart"/>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Plan and prepare</w:t>
            </w: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1.1</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Safety issues are identified to comply with enterprise/site requirements</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1.2</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Work requirements are identified from relevant personnel and documentation</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1.3</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Documentation to determine plant status is assessed and evaluated</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1.4</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Isolation of plant is arranged where applicable in accordance with enterprise/site procedures</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1.5</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Tools and lubricants are acquired as required in accordance with enterprise/site p</w:t>
            </w:r>
            <w:r w:rsidRPr="005D4D6E">
              <w:t>rocedures</w:t>
            </w:r>
          </w:p>
        </w:tc>
      </w:tr>
      <w:tr w:rsidTr="00FC61CB">
        <w:tblPrEx>
          <w:tblW w:w="0" w:type="auto"/>
          <w:tblLayout w:type="fixed"/>
          <w:tblCellMar>
            <w:left w:w="62" w:type="dxa"/>
            <w:right w:w="62" w:type="dxa"/>
          </w:tblCellMar>
          <w:tblLook w:val="0000"/>
        </w:tblPrEx>
        <w:trPr>
          <w:trHeight w:val="102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1.6</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Where appropriate, the teams and individuals roles and responsibilities within the team are identified and, where required, assist in the provision of the on-the-job training</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2</w:t>
            </w:r>
          </w:p>
        </w:tc>
        <w:tc>
          <w:tcPr>
            <w:tcW w:w="2296" w:type="dxa"/>
            <w:vMerge w:val="restart"/>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Perform routine checks</w:t>
            </w: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2.1</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Plant is checked in accordance with enterprise/site procedures</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2.2</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Abnormal lubricating and plant conditions are identified. Appropriate personnel are informed of abnormal conditions</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3</w:t>
            </w:r>
          </w:p>
        </w:tc>
        <w:tc>
          <w:tcPr>
            <w:tcW w:w="2296" w:type="dxa"/>
            <w:vMerge w:val="restart"/>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Lubricate plant</w:t>
            </w: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3.1</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Plant to be lubricated is cleaned before work is carried out</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3.2</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Plant is lubricated in accordance with manufacturers and enterprise/site procedures</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3.3</w:t>
            </w:r>
          </w:p>
        </w:tc>
        <w:tc>
          <w:tcPr>
            <w:tcW w:w="48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Plant is left in a condition that ensures safety to personnel and plant integrity</w:t>
            </w:r>
          </w:p>
        </w:tc>
      </w:tr>
      <w:tr w:rsidTr="00FC61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4</w:t>
            </w:r>
          </w:p>
        </w:tc>
        <w:tc>
          <w:tcPr>
            <w:tcW w:w="2296"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Complete documentation</w:t>
            </w:r>
          </w:p>
        </w:tc>
        <w:tc>
          <w:tcPr>
            <w:tcW w:w="90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t>4.1</w:t>
            </w:r>
          </w:p>
        </w:tc>
        <w:tc>
          <w:tcPr>
            <w:tcW w:w="48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Documentation is updated and plant problems, movements, abnormalities and status are reported and logged in accordance with enterprise/site procedures</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9" w:name="O_470970"/>
      <w:bookmarkEnd w:id="9"/>
      <w:r w:rsidRPr="005D4D6E">
        <w:t>Required Skills and Knowledge</w:t>
      </w:r>
    </w:p>
    <w:tbl>
      <w:tblPr>
        <w:tblW w:w="0" w:type="auto"/>
        <w:tblLayout w:type="fixed"/>
        <w:tblCellMar>
          <w:left w:w="62" w:type="dxa"/>
          <w:right w:w="62" w:type="dxa"/>
        </w:tblCellMar>
        <w:tblLook w:val="0000"/>
      </w:tblPr>
      <w:tblGrid>
        <w:gridCol w:w="8460"/>
      </w:tblGrid>
      <w:tr w:rsidTr="00FC61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REQUIRED SKILLS AND KNOWLEDGE</w:t>
            </w:r>
          </w:p>
        </w:tc>
      </w:tr>
      <w:tr w:rsidTr="00FC61C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8)</w:t>
            </w:r>
            <w:r w:rsidRPr="005D4D6E">
              <w:t xml:space="preserve"> This describes the essential skills and knowledge and their level, required for this unit.</w:t>
            </w:r>
          </w:p>
          <w:p w:rsidR="00000000" w:rsidRPr="005D4D6E" w:rsidP="005D4D6E">
            <w:pPr>
              <w:pStyle w:val="BodyText"/>
            </w:pPr>
            <w:r w:rsidRPr="005D4D6E">
              <w:t>Evidence must show that knowledge has been acquired of safe working practices and lubrication of generation plant equipment.</w:t>
            </w:r>
          </w:p>
          <w:p w:rsidR="00000000" w:rsidRPr="005D4D6E" w:rsidP="005D4D6E">
            <w:pPr>
              <w:pStyle w:val="BodyText"/>
            </w:pPr>
            <w:r w:rsidRPr="005D4D6E">
              <w:t>All knowledge and skills detailed in this unit should be contextualised to current industry practices and technologies.</w:t>
            </w:r>
          </w:p>
          <w:p w:rsidR="00000000" w:rsidRPr="005D4D6E" w:rsidP="005D4D6E">
            <w:pPr>
              <w:pStyle w:val="BodyText"/>
            </w:pPr>
            <w:r w:rsidRPr="005D4D6E">
              <w:t xml:space="preserve">KS01-PO207B          Lubrication of Generation Plant Equipment </w:t>
            </w:r>
          </w:p>
          <w:p w:rsidR="00000000" w:rsidRPr="005D4D6E" w:rsidP="005D4D6E">
            <w:pPr>
              <w:pStyle w:val="BodyText"/>
            </w:pPr>
            <w:r w:rsidRPr="005D4D6E">
              <w:t xml:space="preserve">Evidence shall show an understanding of how to undertake lubrication of </w:t>
            </w:r>
            <w:r w:rsidRPr="005D4D6E">
              <w:t>plant equipment found in an electricity generation context to an extent indicated by the following aspects:</w:t>
            </w:r>
          </w:p>
          <w:p w:rsidR="00000000" w:rsidRPr="005D4D6E" w:rsidP="005D4D6E">
            <w:pPr>
              <w:pStyle w:val="BodyText"/>
            </w:pPr>
            <w:r w:rsidRPr="005D4D6E">
              <w:t>T1 Function, types and purposes of lubricants, including:</w:t>
            </w:r>
          </w:p>
          <w:p w:rsidR="00000000" w:rsidRPr="005D4D6E" w:rsidP="005D4D6E">
            <w:pPr>
              <w:pStyle w:val="ListBullet"/>
            </w:pPr>
            <w:r w:rsidRPr="005D4D6E">
              <w:t>Oils</w:t>
            </w:r>
          </w:p>
          <w:p w:rsidR="00000000" w:rsidRPr="005D4D6E" w:rsidP="005D4D6E">
            <w:pPr>
              <w:pStyle w:val="ListBullet"/>
            </w:pPr>
            <w:r w:rsidRPr="005D4D6E">
              <w:t>Greases</w:t>
            </w:r>
          </w:p>
          <w:p w:rsidR="00000000" w:rsidRPr="005D4D6E" w:rsidP="005D4D6E">
            <w:pPr>
              <w:pStyle w:val="ListBullet"/>
            </w:pPr>
            <w:r w:rsidRPr="005D4D6E">
              <w:t>Synthetic lubricants</w:t>
            </w:r>
          </w:p>
          <w:p w:rsidR="00000000" w:rsidRPr="005D4D6E" w:rsidP="005D4D6E">
            <w:pPr>
              <w:pStyle w:val="BodyText"/>
            </w:pPr>
            <w:r w:rsidRPr="005D4D6E">
              <w:t>T2 Lubrication of machinery, including</w:t>
            </w:r>
          </w:p>
          <w:p w:rsidR="00000000" w:rsidRPr="005D4D6E" w:rsidP="005D4D6E">
            <w:pPr>
              <w:pStyle w:val="ListBullet"/>
            </w:pPr>
            <w:r w:rsidRPr="005D4D6E">
              <w:t xml:space="preserve">Application of </w:t>
            </w:r>
            <w:r w:rsidRPr="005D4D6E">
              <w:t>lubricants via –</w:t>
            </w:r>
          </w:p>
          <w:p w:rsidR="00000000" w:rsidRPr="005D4D6E" w:rsidP="005D4D6E">
            <w:pPr>
              <w:pStyle w:val="BodyText"/>
            </w:pPr>
            <w:r w:rsidRPr="005D4D6E">
              <w:t>i.</w:t>
            </w:r>
            <w:r w:rsidRPr="005D4D6E">
              <w:tab/>
              <w:t>grease guns</w:t>
            </w:r>
          </w:p>
          <w:p w:rsidR="00000000" w:rsidRPr="005D4D6E" w:rsidP="005D4D6E">
            <w:pPr>
              <w:pStyle w:val="BodyText"/>
            </w:pPr>
            <w:r w:rsidRPr="005D4D6E">
              <w:t>ii.</w:t>
            </w:r>
            <w:r w:rsidRPr="005D4D6E">
              <w:tab/>
              <w:t>oilers</w:t>
            </w:r>
          </w:p>
          <w:p w:rsidR="00000000" w:rsidRPr="005D4D6E" w:rsidP="005D4D6E">
            <w:pPr>
              <w:pStyle w:val="BodyText"/>
            </w:pPr>
            <w:r w:rsidRPr="005D4D6E">
              <w:t>iii.</w:t>
            </w:r>
            <w:r w:rsidRPr="005D4D6E">
              <w:tab/>
              <w:t>automatic systems</w:t>
            </w:r>
          </w:p>
          <w:p w:rsidR="00000000" w:rsidRPr="005D4D6E" w:rsidP="005D4D6E">
            <w:pPr>
              <w:pStyle w:val="BodyText"/>
            </w:pPr>
            <w:r w:rsidRPr="005D4D6E">
              <w:t>iv.</w:t>
            </w:r>
            <w:r w:rsidRPr="005D4D6E">
              <w:tab/>
              <w:t>bearing grease points</w:t>
            </w:r>
          </w:p>
          <w:p w:rsidR="00000000" w:rsidRPr="005D4D6E" w:rsidP="005D4D6E">
            <w:pPr>
              <w:pStyle w:val="BodyText"/>
            </w:pPr>
            <w:r w:rsidRPr="005D4D6E">
              <w:t>v.</w:t>
            </w:r>
            <w:r w:rsidRPr="005D4D6E">
              <w:tab/>
              <w:t>bearing oil reservoirs</w:t>
            </w:r>
          </w:p>
          <w:p w:rsidR="00000000" w:rsidRPr="005D4D6E" w:rsidP="005D4D6E">
            <w:pPr>
              <w:pStyle w:val="BodyText"/>
            </w:pPr>
            <w:r w:rsidRPr="005D4D6E">
              <w:t>vi.</w:t>
            </w:r>
            <w:r w:rsidRPr="005D4D6E">
              <w:tab/>
              <w:t>oil tanks</w:t>
            </w:r>
          </w:p>
          <w:p w:rsidR="00000000" w:rsidRPr="005D4D6E" w:rsidP="005D4D6E">
            <w:pPr>
              <w:pStyle w:val="ListBullet"/>
            </w:pPr>
            <w:r w:rsidRPr="005D4D6E">
              <w:t>Problems resulting from excessive or inadequate lubricants</w:t>
            </w:r>
          </w:p>
          <w:p w:rsidR="00000000" w:rsidRPr="005D4D6E" w:rsidP="005D4D6E">
            <w:pPr>
              <w:pStyle w:val="BodyText"/>
            </w:pPr>
            <w:r w:rsidRPr="005D4D6E">
              <w:t>T3 Lubricant testing and analysis, including:</w:t>
            </w:r>
          </w:p>
          <w:p w:rsidR="00000000" w:rsidRPr="005D4D6E" w:rsidP="005D4D6E">
            <w:pPr>
              <w:pStyle w:val="ListBullet"/>
            </w:pPr>
            <w:r w:rsidRPr="005D4D6E">
              <w:t>Sources of lubricant contamination</w:t>
            </w:r>
          </w:p>
          <w:p w:rsidR="00000000" w:rsidRPr="005D4D6E" w:rsidP="005D4D6E">
            <w:pPr>
              <w:pStyle w:val="ListBullet"/>
            </w:pPr>
            <w:r w:rsidRPr="005D4D6E">
              <w:t>Sampling techniques</w:t>
            </w:r>
          </w:p>
          <w:p w:rsidR="00000000" w:rsidRPr="005D4D6E" w:rsidP="005D4D6E">
            <w:pPr>
              <w:pStyle w:val="ListBullet"/>
            </w:pPr>
            <w:r w:rsidRPr="005D4D6E">
              <w:t>Testing techniques</w:t>
            </w:r>
          </w:p>
          <w:p w:rsidR="00000000" w:rsidRPr="005D4D6E" w:rsidP="005D4D6E">
            <w:pPr>
              <w:pStyle w:val="BodyText"/>
            </w:pPr>
            <w:r w:rsidRPr="005D4D6E">
              <w:t>T4 Health, Safety and Environment practices and procedures, including:</w:t>
            </w:r>
          </w:p>
          <w:p w:rsidR="00000000" w:rsidRPr="005D4D6E" w:rsidP="005D4D6E">
            <w:pPr>
              <w:pStyle w:val="ListBullet"/>
            </w:pPr>
            <w:r w:rsidRPr="005D4D6E">
              <w:t>Risk assessment</w:t>
            </w:r>
          </w:p>
          <w:p w:rsidR="00000000" w:rsidRPr="005D4D6E" w:rsidP="005D4D6E">
            <w:pPr>
              <w:pStyle w:val="ListBullet"/>
            </w:pPr>
            <w:r w:rsidRPr="005D4D6E">
              <w:t>Control of hazards</w:t>
            </w:r>
          </w:p>
          <w:p w:rsidR="00000000" w:rsidRPr="005D4D6E" w:rsidP="005D4D6E">
            <w:pPr>
              <w:pStyle w:val="ListBullet"/>
            </w:pPr>
            <w:r w:rsidRPr="005D4D6E">
              <w:t>Identification and correct use of personal protective equipment</w:t>
            </w:r>
          </w:p>
          <w:p w:rsidR="00000000" w:rsidRPr="005D4D6E" w:rsidP="005D4D6E">
            <w:pPr>
              <w:pStyle w:val="ListBullet"/>
            </w:pPr>
            <w:r w:rsidRPr="005D4D6E">
              <w:t xml:space="preserve">Compliance </w:t>
            </w:r>
            <w:r w:rsidRPr="005D4D6E">
              <w:t>with ‘Permit-to-Work’ requirements and equipment isolation procedures.</w:t>
            </w:r>
          </w:p>
          <w:p w:rsidR="00000000" w:rsidRPr="005D4D6E" w:rsidP="005D4D6E">
            <w:pPr>
              <w:pStyle w:val="ListBullet"/>
            </w:pPr>
            <w:r w:rsidRPr="005D4D6E">
              <w:t>Material handling procedures</w:t>
            </w:r>
          </w:p>
          <w:p w:rsidR="00000000" w:rsidRPr="005D4D6E" w:rsidP="005D4D6E">
            <w:pPr>
              <w:pStyle w:val="BodyText"/>
            </w:pPr>
            <w:r w:rsidRPr="005D4D6E">
              <w:t>i.</w:t>
            </w:r>
            <w:r w:rsidRPr="005D4D6E">
              <w:tab/>
              <w:t>Use of Material Safety Data Sheets (MSDSs)</w:t>
            </w:r>
          </w:p>
          <w:p w:rsidR="00000000" w:rsidRPr="005D4D6E" w:rsidP="005D4D6E">
            <w:pPr>
              <w:pStyle w:val="ListBullet"/>
            </w:pPr>
            <w:r w:rsidRPr="005D4D6E">
              <w:t>Dealing with waste in an environmentally appropriate manner</w:t>
            </w:r>
          </w:p>
          <w:p w:rsidR="00000000" w:rsidRPr="005D4D6E" w:rsidP="005D4D6E">
            <w:pPr>
              <w:pStyle w:val="ListBullet"/>
            </w:pPr>
            <w:r w:rsidRPr="005D4D6E">
              <w:t>Housekeeping</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10" w:name="O_470965"/>
      <w:bookmarkEnd w:id="10"/>
      <w:r w:rsidRPr="005D4D6E">
        <w:t>Evidence Guide</w:t>
      </w:r>
    </w:p>
    <w:tbl>
      <w:tblPr>
        <w:tblW w:w="0" w:type="auto"/>
        <w:tblLayout w:type="fixed"/>
        <w:tblCellMar>
          <w:left w:w="62" w:type="dxa"/>
          <w:right w:w="62" w:type="dxa"/>
        </w:tblCellMar>
        <w:tblLook w:val="0000"/>
      </w:tblPr>
      <w:tblGrid>
        <w:gridCol w:w="8460"/>
      </w:tblGrid>
      <w:tr w:rsidTr="00FC61CB">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EVIDENCE GUIDE</w:t>
            </w:r>
          </w:p>
        </w:tc>
      </w:tr>
      <w:tr w:rsidTr="00FC61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9)</w:t>
            </w:r>
            <w:r w:rsidRPr="005D4D6E">
              <w:t xml:space="preserve"> This provides essential advice for assessment of the competency standard unit and must be read in conjunction with the Performance Criteria and the Range Statement of the competency standard unit and the Training Package Assessment Guide</w:t>
            </w:r>
            <w:r w:rsidRPr="005D4D6E">
              <w:t>lines.</w:t>
            </w:r>
          </w:p>
          <w:p w:rsidR="00000000" w:rsidRPr="005D4D6E" w:rsidP="005D4D6E">
            <w:pPr>
              <w:pStyle w:val="BodyText"/>
            </w:pPr>
            <w:r w:rsidRPr="005D4D6E">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5D4D6E" w:rsidP="005D4D6E">
      <w:pPr>
        <w:pStyle w:val="BodyText"/>
      </w:pPr>
    </w:p>
    <w:tbl>
      <w:tblPr>
        <w:tblW w:w="0" w:type="auto"/>
        <w:tblLayout w:type="fixed"/>
        <w:tblCellMar>
          <w:left w:w="62" w:type="dxa"/>
          <w:right w:w="62" w:type="dxa"/>
        </w:tblCellMar>
        <w:tblLook w:val="0000"/>
      </w:tblPr>
      <w:tblGrid>
        <w:gridCol w:w="1890"/>
        <w:gridCol w:w="6570"/>
      </w:tblGrid>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Overview of As</w:t>
            </w:r>
            <w:r w:rsidRPr="005D4D6E">
              <w:rPr>
                <w:rStyle w:val="SpecialBold"/>
              </w:rPr>
              <w:t>sessment</w:t>
            </w:r>
          </w:p>
        </w:tc>
        <w:tc>
          <w:tcPr>
            <w:tcW w:w="657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9.1)</w:t>
            </w:r>
          </w:p>
        </w:tc>
      </w:tr>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 xml:space="preserve">Longitudinal competency development approaches to assessment, such as Profiling, require data to be reliably gathered in a form that can be </w:t>
            </w:r>
            <w:r w:rsidRPr="005D4D6E">
              <w:t>consistently interpreted over time. This approach is best utilised in Apprenticeship programs and reduces assessment intervention. It is the Industry’s preferred model for apprenticeships. However, where summative (or final) assessment is used it is to inc</w:t>
            </w:r>
            <w:r w:rsidRPr="005D4D6E">
              <w:t>lude the application of the competency in the normal work environment or, at a minimum, the application of the competency in a realistically simulated work environment. It is recognised that, in some circumstances, assessment in part or full can occur outs</w:t>
            </w:r>
            <w:r w:rsidRPr="005D4D6E">
              <w:t>ide the workplace. However, it must be in accord with Industry and, Regulatory policy in this regard.</w:t>
            </w:r>
          </w:p>
          <w:p w:rsidR="00000000" w:rsidRPr="005D4D6E" w:rsidP="005D4D6E">
            <w:pPr>
              <w:pStyle w:val="BodyText"/>
            </w:pPr>
            <w:r w:rsidRPr="005D4D6E">
              <w:t>Methods chosen for a particular assessment will be influenced by various factors. These include the extent of the assessment, the most effective locations</w:t>
            </w:r>
            <w:r w:rsidRPr="005D4D6E">
              <w:t xml:space="preserve"> for the assessment activities to take place, access to physical resources, additional safety measures that may be required and the critical nature of the competencies being assessed.</w:t>
            </w:r>
          </w:p>
          <w:p w:rsidR="00000000" w:rsidRPr="005D4D6E" w:rsidP="005D4D6E">
            <w:pPr>
              <w:pStyle w:val="BodyText"/>
            </w:pPr>
            <w:r w:rsidRPr="005D4D6E">
              <w:t>The critical safety nature of working with electricity, electrical equip</w:t>
            </w:r>
            <w:r w:rsidRPr="005D4D6E">
              <w:t>ment, gas or any other hazardous substance/material carries risk in deeming a person competent. Hence, sources of evidence need to be ‘rich’ in nature to minimise error in judgment.</w:t>
            </w:r>
          </w:p>
          <w:p w:rsidR="00000000" w:rsidRPr="005D4D6E" w:rsidP="005D4D6E">
            <w:pPr>
              <w:pStyle w:val="BodyText"/>
            </w:pPr>
            <w:r w:rsidRPr="005D4D6E">
              <w:t>Activities associated with normal every day work have a bearing on the dec</w:t>
            </w:r>
            <w:r w:rsidRPr="005D4D6E">
              <w:t xml:space="preserve">ision as to how much and how detailed the data gathered will contribute to its ‘richness’. Some skills are more critical to safety and operational requirements while the same skills may be more or less frequently practised. These points are raised for the </w:t>
            </w:r>
            <w:r w:rsidRPr="005D4D6E">
              <w:t>assessors to consider when choosing an assessment method and developing assessment instruments. Sample assessment instruments are included for Assessors in the Assessment Guidelines of this Training Package.</w:t>
            </w:r>
          </w:p>
        </w:tc>
      </w:tr>
    </w:tbl>
    <w:p w:rsidR="00000000" w:rsidRPr="005D4D6E" w:rsidP="005D4D6E">
      <w:pPr>
        <w:pStyle w:val="BodyText"/>
      </w:pPr>
    </w:p>
    <w:tbl>
      <w:tblPr>
        <w:tblW w:w="0" w:type="auto"/>
        <w:tblLayout w:type="fixed"/>
        <w:tblCellMar>
          <w:left w:w="62" w:type="dxa"/>
          <w:right w:w="62" w:type="dxa"/>
        </w:tblCellMar>
        <w:tblLook w:val="0000"/>
      </w:tblPr>
      <w:tblGrid>
        <w:gridCol w:w="1890"/>
        <w:gridCol w:w="6570"/>
      </w:tblGrid>
      <w:tr w:rsidTr="00FC61CB">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Critical aspects of evidence required to demon</w:t>
            </w:r>
            <w:r w:rsidRPr="005D4D6E">
              <w:rPr>
                <w:rStyle w:val="SpecialBold"/>
              </w:rPr>
              <w:t>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9.2)</w:t>
            </w:r>
          </w:p>
        </w:tc>
      </w:tr>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Before the critical aspects of evidence are considered all pre-requisites shall be met.</w:t>
            </w:r>
          </w:p>
          <w:p w:rsidR="00000000" w:rsidRPr="005D4D6E" w:rsidP="005D4D6E">
            <w:pPr>
              <w:pStyle w:val="BodyText"/>
            </w:pPr>
            <w:r w:rsidRPr="005D4D6E">
              <w:t xml:space="preserve">Evidence for competence in this unit shall be considered holistically.  Each Element and associated Performance Criteria shall be </w:t>
            </w:r>
            <w:r w:rsidRPr="005D4D6E">
              <w:t>demonstrated on at least two occasions in accordance with the “Assessment Guidelines – UEP12”.  Evidence shall also comprise:</w:t>
            </w:r>
          </w:p>
          <w:p w:rsidR="00000000" w:rsidRPr="005D4D6E" w:rsidP="005D4D6E">
            <w:pPr>
              <w:pStyle w:val="ListBullet"/>
            </w:pPr>
            <w:r w:rsidRPr="005D4D6E">
              <w:t xml:space="preserve">A representative body of work performance demonstrated within the timeframes typically expected of the discipline, work function </w:t>
            </w:r>
            <w:r w:rsidRPr="005D4D6E">
              <w:t>and industrial environment. In particular this shall incorporate evidence that shows a candidate is able to:</w:t>
            </w:r>
          </w:p>
          <w:p w:rsidR="00000000" w:rsidRPr="005D4D6E" w:rsidP="005D4D6E">
            <w:pPr>
              <w:pStyle w:val="ListBullet2"/>
            </w:pPr>
            <w:r w:rsidRPr="005D4D6E">
              <w:t>Implement Occupational Health and Safety workplace procedures and practices including the use of risk control measures as s</w:t>
            </w:r>
            <w:r w:rsidRPr="005D4D6E">
              <w:t>pecified in the Performance Criteria and Range Statement</w:t>
            </w:r>
          </w:p>
          <w:p w:rsidR="00000000" w:rsidRPr="005D4D6E" w:rsidP="005D4D6E">
            <w:pPr>
              <w:pStyle w:val="ListBullet2"/>
            </w:pPr>
            <w:r w:rsidRPr="005D4D6E">
              <w:t>Apply sustainable energy principles and practices as specified in the Performance Criteria and Range Statement</w:t>
            </w:r>
          </w:p>
          <w:p w:rsidR="00000000" w:rsidRPr="005D4D6E" w:rsidP="005D4D6E">
            <w:pPr>
              <w:pStyle w:val="ListBullet2"/>
            </w:pPr>
            <w:r w:rsidRPr="005D4D6E">
              <w:t>Demonstrate an understanding of the Essential Knowledge and Associated Skills as describ</w:t>
            </w:r>
            <w:r w:rsidRPr="005D4D6E">
              <w:t>ed in 6) Essential Knowledge and Associated Skills of this unit</w:t>
            </w:r>
          </w:p>
          <w:p w:rsidR="00000000" w:rsidRPr="005D4D6E" w:rsidP="005D4D6E">
            <w:pPr>
              <w:pStyle w:val="ListBullet2"/>
            </w:pPr>
            <w:r w:rsidRPr="005D4D6E">
              <w:t>Demonstrate an appropriate level of employability skills</w:t>
            </w:r>
          </w:p>
          <w:p w:rsidR="00000000" w:rsidRPr="005D4D6E" w:rsidP="005D4D6E">
            <w:pPr>
              <w:pStyle w:val="ListBullet2"/>
            </w:pPr>
            <w:r w:rsidRPr="005D4D6E">
              <w:t>Conduct work observing the relevant Anti-Discrimination legislation, regulations, polices and workplace procedures</w:t>
            </w:r>
          </w:p>
          <w:p w:rsidR="00000000" w:rsidRPr="005D4D6E" w:rsidP="005D4D6E">
            <w:pPr>
              <w:pStyle w:val="ListBullet"/>
            </w:pPr>
            <w:r w:rsidRPr="005D4D6E">
              <w:t>Demonstrated perfor</w:t>
            </w:r>
            <w:r w:rsidRPr="005D4D6E">
              <w:t>mance across a representative range of contexts from the prescribed items below:</w:t>
            </w:r>
          </w:p>
          <w:p w:rsidR="00000000" w:rsidRPr="005D4D6E" w:rsidP="005D4D6E">
            <w:pPr>
              <w:pStyle w:val="ListBullet2"/>
            </w:pPr>
            <w:r w:rsidRPr="005D4D6E">
              <w:t>Knowledge and application of relevant sections of: Occupational, health and safety legislation; Statutory legislation; Enterprise/site safety procedures; Enterprise/site emer</w:t>
            </w:r>
            <w:r w:rsidRPr="005D4D6E">
              <w:t>gency procedures</w:t>
            </w:r>
          </w:p>
          <w:p w:rsidR="00000000" w:rsidRPr="005D4D6E" w:rsidP="005D4D6E">
            <w:pPr>
              <w:pStyle w:val="ListBullet2"/>
            </w:pPr>
            <w:r w:rsidRPr="005D4D6E">
              <w:t>The preparation and planning of work</w:t>
            </w:r>
          </w:p>
          <w:p w:rsidR="00000000" w:rsidRPr="005D4D6E" w:rsidP="005D4D6E">
            <w:pPr>
              <w:pStyle w:val="ListBullet2"/>
            </w:pPr>
            <w:r w:rsidRPr="005D4D6E">
              <w:t>Knowledge of the types of lubricants and their application</w:t>
            </w:r>
          </w:p>
          <w:p w:rsidR="00000000" w:rsidRPr="005D4D6E" w:rsidP="005D4D6E">
            <w:pPr>
              <w:pStyle w:val="ListBullet2"/>
            </w:pPr>
            <w:r w:rsidRPr="005D4D6E">
              <w:t>Lubricating procedures</w:t>
            </w:r>
          </w:p>
          <w:p w:rsidR="00000000" w:rsidRPr="005D4D6E" w:rsidP="005D4D6E">
            <w:pPr>
              <w:pStyle w:val="ListBullet2"/>
            </w:pPr>
            <w:r w:rsidRPr="005D4D6E">
              <w:t>Dealing with an unplanned event by drawing on Essential Knowledge and Skills to provide appropriate solutions incorporat</w:t>
            </w:r>
            <w:r w:rsidRPr="005D4D6E">
              <w:t>ed in the holistic assessment with the above listed items.</w:t>
            </w:r>
          </w:p>
        </w:tc>
      </w:tr>
    </w:tbl>
    <w:p w:rsidR="00000000" w:rsidRPr="005D4D6E" w:rsidP="005D4D6E">
      <w:pPr>
        <w:pStyle w:val="BodyText"/>
      </w:pPr>
    </w:p>
    <w:tbl>
      <w:tblPr>
        <w:tblW w:w="0" w:type="auto"/>
        <w:tblLayout w:type="fixed"/>
        <w:tblCellMar>
          <w:left w:w="62" w:type="dxa"/>
          <w:right w:w="62" w:type="dxa"/>
        </w:tblCellMar>
        <w:tblLook w:val="0000"/>
      </w:tblPr>
      <w:tblGrid>
        <w:gridCol w:w="1890"/>
        <w:gridCol w:w="6570"/>
      </w:tblGrid>
      <w:tr w:rsidTr="00FC61C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9.3)</w:t>
            </w:r>
          </w:p>
        </w:tc>
      </w:tr>
      <w:tr w:rsidTr="00FC61C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This unit should be assessed as it relates to normal work practice using procedures, information and resources typical of a workplace. This should include:</w:t>
            </w:r>
          </w:p>
          <w:p w:rsidR="00000000" w:rsidRPr="005D4D6E" w:rsidP="005D4D6E">
            <w:pPr>
              <w:pStyle w:val="ListBullet"/>
            </w:pPr>
            <w:r w:rsidRPr="005D4D6E">
              <w:t>OHS policy and work procedures and instructions</w:t>
            </w:r>
          </w:p>
          <w:p w:rsidR="00000000" w:rsidRPr="005D4D6E" w:rsidP="005D4D6E">
            <w:pPr>
              <w:pStyle w:val="ListBullet"/>
            </w:pPr>
            <w:r w:rsidRPr="005D4D6E">
              <w:t>Suitable work environment, facilities, equipment an</w:t>
            </w:r>
            <w:r w:rsidRPr="005D4D6E">
              <w:t>d materials to undertake actual work as prescribed by this competency standard unit</w:t>
            </w:r>
          </w:p>
          <w:p w:rsidR="00000000" w:rsidRPr="005D4D6E" w:rsidP="005D4D6E">
            <w:pPr>
              <w:pStyle w:val="BodyText"/>
            </w:pPr>
            <w:r w:rsidRPr="005D4D6E">
              <w:t>Competency Standards should be assessed in the workplace or simulated workplace and under the normal range of workplace conditions.</w:t>
            </w:r>
          </w:p>
          <w:p w:rsidR="00000000" w:rsidRPr="005D4D6E" w:rsidP="005D4D6E">
            <w:pPr>
              <w:pStyle w:val="BodyText"/>
            </w:pPr>
            <w:r w:rsidRPr="005D4D6E">
              <w:t>Assessment of this unit will be supported with documentary evidence, by means of endorsement stating type and application of work.</w:t>
            </w:r>
          </w:p>
          <w:p w:rsidR="00000000" w:rsidRPr="005D4D6E" w:rsidP="005D4D6E">
            <w:pPr>
              <w:pStyle w:val="BodyText"/>
            </w:pPr>
            <w:r w:rsidRPr="005D4D6E">
              <w:t>In addition to the resources listed above in Context of assessment’, evidence should show competency working in confined spac</w:t>
            </w:r>
            <w:r w:rsidRPr="005D4D6E">
              <w:t>es, with different types of plant and equipment as well as different structural/construction types and method and in a variety of environments</w:t>
            </w:r>
          </w:p>
        </w:tc>
      </w:tr>
    </w:tbl>
    <w:p w:rsidR="00000000" w:rsidRPr="005D4D6E" w:rsidP="005D4D6E">
      <w:pPr>
        <w:pStyle w:val="BodyText"/>
      </w:pPr>
    </w:p>
    <w:tbl>
      <w:tblPr>
        <w:tblW w:w="0" w:type="auto"/>
        <w:tblLayout w:type="fixed"/>
        <w:tblCellMar>
          <w:left w:w="62" w:type="dxa"/>
          <w:right w:w="62" w:type="dxa"/>
        </w:tblCellMar>
        <w:tblLook w:val="0000"/>
      </w:tblPr>
      <w:tblGrid>
        <w:gridCol w:w="1890"/>
        <w:gridCol w:w="6570"/>
      </w:tblGrid>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9.4)</w:t>
            </w:r>
          </w:p>
        </w:tc>
      </w:tr>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This unit shall be assessed by methods given in Section 1.3.00 Assessment Guidelines.</w:t>
            </w:r>
          </w:p>
          <w:p w:rsidR="00000000" w:rsidRPr="005D4D6E" w:rsidP="005D4D6E">
            <w:pPr>
              <w:pStyle w:val="BodyText"/>
            </w:pPr>
            <w:r w:rsidRPr="005D4D6E">
              <w:t xml:space="preserve">Note: </w:t>
            </w:r>
          </w:p>
          <w:p w:rsidR="00000000" w:rsidRPr="005D4D6E" w:rsidP="005D4D6E">
            <w:pPr>
              <w:pStyle w:val="BodyText"/>
            </w:pPr>
            <w:r w:rsidRPr="005D4D6E">
              <w:t>Competent performance with inherent safe working practices is expected in the Industry to which this competency standard unit applies. This requires that the speci</w:t>
            </w:r>
            <w:r w:rsidRPr="005D4D6E">
              <w:t>fied Essential Knowledge and Associated Skills be assessed in a structured environment, which is primarily intended for learning/assessment and incorporates all necessary equipment and facilities for learners to develop and demonstrate the Essential Knowle</w:t>
            </w:r>
            <w:r w:rsidRPr="005D4D6E">
              <w:t>dge and Skills described in this unit.</w:t>
            </w:r>
          </w:p>
        </w:tc>
      </w:tr>
    </w:tbl>
    <w:p w:rsidR="00000000" w:rsidRPr="005D4D6E" w:rsidP="005D4D6E">
      <w:pPr>
        <w:pStyle w:val="BodyText"/>
      </w:pPr>
    </w:p>
    <w:tbl>
      <w:tblPr>
        <w:tblW w:w="0" w:type="auto"/>
        <w:tblLayout w:type="fixed"/>
        <w:tblCellMar>
          <w:left w:w="62" w:type="dxa"/>
          <w:right w:w="62" w:type="dxa"/>
        </w:tblCellMar>
        <w:tblLook w:val="0000"/>
      </w:tblPr>
      <w:tblGrid>
        <w:gridCol w:w="1890"/>
        <w:gridCol w:w="6570"/>
      </w:tblGrid>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9.5)</w:t>
            </w:r>
          </w:p>
        </w:tc>
      </w:tr>
      <w:tr w:rsidTr="00FC61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There are no recommended concurrent assessments with this unit, however in some cases efficiencies may be gained in terms of learning and assessment eff</w:t>
            </w:r>
            <w:r w:rsidRPr="005D4D6E">
              <w:t>ort being concurrently managed with allied competency standard units where listed.</w:t>
            </w:r>
          </w:p>
          <w:p w:rsidR="00000000" w:rsidRPr="005D4D6E" w:rsidP="005D4D6E">
            <w:pPr>
              <w:pStyle w:val="BodyText"/>
            </w:pPr>
            <w:r w:rsidRPr="005D4D6E">
              <w:t>Nil</w:t>
            </w:r>
            <w:r w:rsidRPr="005D4D6E">
              <w:tab/>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11" w:name="O_470969"/>
      <w:bookmarkEnd w:id="11"/>
      <w:r w:rsidRPr="005D4D6E">
        <w:t>Range Statement</w:t>
      </w:r>
    </w:p>
    <w:tbl>
      <w:tblPr>
        <w:tblW w:w="0" w:type="auto"/>
        <w:tblLayout w:type="fixed"/>
        <w:tblCellMar>
          <w:left w:w="62" w:type="dxa"/>
          <w:right w:w="62" w:type="dxa"/>
        </w:tblCellMar>
        <w:tblLook w:val="0000"/>
      </w:tblPr>
      <w:tblGrid>
        <w:gridCol w:w="8460"/>
      </w:tblGrid>
      <w:tr w:rsidTr="00FC61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RANGE STATEMENT</w:t>
            </w:r>
          </w:p>
        </w:tc>
      </w:tr>
      <w:tr w:rsidTr="00FC61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10)</w:t>
            </w:r>
            <w:r w:rsidRPr="005D4D6E">
              <w:t xml:space="preserve"> This relates to the competency standard unit as a whole providing the range of contexts and condition</w:t>
            </w:r>
            <w:r w:rsidRPr="005D4D6E">
              <w:t>s to which the Performance Criteria apply. It allows for different work environments and situations that will affect performance.</w:t>
            </w:r>
          </w:p>
          <w:p w:rsidR="00000000" w:rsidRPr="005D4D6E" w:rsidP="005D4D6E">
            <w:pPr>
              <w:pStyle w:val="BodyText"/>
            </w:pPr>
            <w:r w:rsidRPr="005D4D6E">
              <w:t>Systems, plant and/or equipment may include automatic lubrication systems, oil tanks, bearing grease points and bearing oil re</w:t>
            </w:r>
            <w:r w:rsidRPr="005D4D6E">
              <w:t>servoir</w:t>
            </w:r>
          </w:p>
          <w:p w:rsidR="00000000" w:rsidRPr="005D4D6E" w:rsidP="005D4D6E">
            <w:pPr>
              <w:pStyle w:val="BodyText"/>
            </w:pPr>
            <w:r w:rsidRPr="005D4D6E">
              <w:t>Safety standards may include relevant sections of Occupational Health and Safety legislation, enterprise safety rules, relevant state and federal legislation and national standards for plant.</w:t>
            </w:r>
          </w:p>
          <w:p w:rsidR="00000000" w:rsidRPr="005D4D6E" w:rsidP="005D4D6E">
            <w:pPr>
              <w:pStyle w:val="BodyText"/>
            </w:pPr>
            <w:r w:rsidRPr="005D4D6E">
              <w:t>Information and documentation sources may include verbal</w:t>
            </w:r>
            <w:r w:rsidRPr="005D4D6E">
              <w:t xml:space="preserve"> and written communications, enterprise/site safety rules documentation/form(s), equipment and alarm manuals, dedicated computer equipment, enterprise/site standing and operating instructions, enterprise/site logbook and manufacturer’s operation and mainte</w:t>
            </w:r>
            <w:r w:rsidRPr="005D4D6E">
              <w:t>nance manuals.</w:t>
            </w:r>
          </w:p>
          <w:p w:rsidR="00000000" w:rsidRPr="005D4D6E" w:rsidP="005D4D6E">
            <w:pPr>
              <w:pStyle w:val="BodyText"/>
            </w:pPr>
            <w:r w:rsidRPr="005D4D6E">
              <w:t>Technical and operational indicators may include stimuli (audio, smell, touch, visual), local indicators and recorders and alarms (visible and or audible).</w:t>
            </w:r>
          </w:p>
          <w:p w:rsidR="00000000" w:rsidRPr="005D4D6E" w:rsidP="005D4D6E">
            <w:pPr>
              <w:pStyle w:val="BodyText"/>
            </w:pPr>
            <w:r w:rsidRPr="005D4D6E">
              <w:t>Communications may be by means of telephone, two way radio, pager, public address sys</w:t>
            </w:r>
            <w:r w:rsidRPr="005D4D6E">
              <w:t>tem, facsimile, computer (electronic mail) and operating log (written or verbal).</w:t>
            </w:r>
          </w:p>
          <w:p w:rsidR="00000000" w:rsidRPr="005D4D6E" w:rsidP="005D4D6E">
            <w:pPr>
              <w:pStyle w:val="BodyText"/>
            </w:pPr>
            <w:r w:rsidRPr="005D4D6E">
              <w:t>Appropriate personnel to consult, give or receive direction may include supervisor/team leader or equivalent, technical and engineering officers or equivalent, contractor sta</w:t>
            </w:r>
            <w:r w:rsidRPr="005D4D6E">
              <w:t>ff, maintenance staff and power plant operations personnel.</w:t>
            </w:r>
          </w:p>
          <w:p w:rsidR="00000000" w:rsidRPr="005D4D6E" w:rsidP="005D4D6E">
            <w:pPr>
              <w:pStyle w:val="BodyText"/>
            </w:pPr>
            <w:r w:rsidRPr="005D4D6E">
              <w:t>Operating environment may be, during inclement or otherwise harsh weather conditions, in wet/noisy/dusty/hot areas or during night periods.</w:t>
            </w:r>
          </w:p>
          <w:p w:rsidR="00000000" w:rsidRPr="005D4D6E" w:rsidP="005D4D6E">
            <w:pPr>
              <w:pStyle w:val="BodyText"/>
            </w:pPr>
            <w:r w:rsidRPr="005D4D6E">
              <w:t xml:space="preserve">Generic terms are used throughout this Training Package </w:t>
            </w:r>
            <w:r w:rsidRPr="005D4D6E">
              <w:t>for vocational standard shall be regarded as part of the Range Statement in which competency is demonstrated. The definition of these and other terms are given in Section 2.1 Preliminary Information and Glossaries .</w:t>
            </w:r>
          </w:p>
        </w:tc>
      </w:tr>
    </w:tbl>
    <w:p w:rsidR="00000000" w:rsidRPr="005D4D6E" w:rsidP="005D4D6E">
      <w:pPr>
        <w:pStyle w:val="BodyText"/>
      </w:pPr>
    </w:p>
    <w:p w:rsidR="00000000" w:rsidRPr="005D4D6E" w:rsidP="005D4D6E">
      <w:pPr>
        <w:pStyle w:val="AllowPageBreak"/>
      </w:pPr>
    </w:p>
    <w:p w:rsidR="00000000" w:rsidRPr="005D4D6E" w:rsidP="005D4D6E">
      <w:pPr>
        <w:pStyle w:val="Heading1"/>
      </w:pPr>
      <w:bookmarkStart w:id="12" w:name="O_470972"/>
      <w:bookmarkEnd w:id="12"/>
      <w:r w:rsidRPr="005D4D6E">
        <w:t>Unit Sector(s)</w:t>
      </w:r>
    </w:p>
    <w:p w:rsidR="00000000" w:rsidRPr="005D4D6E" w:rsidP="005D4D6E">
      <w:pPr>
        <w:pStyle w:val="BodyText"/>
      </w:pPr>
      <w:r w:rsidRPr="005D4D6E">
        <w:t>Not ap</w:t>
      </w:r>
      <w:r w:rsidRPr="005D4D6E">
        <w:t>plicable.</w:t>
      </w:r>
    </w:p>
    <w:p w:rsidR="00000000" w:rsidRPr="005D4D6E" w:rsidP="005D4D6E">
      <w:pPr>
        <w:pStyle w:val="AllowPageBreak"/>
      </w:pPr>
    </w:p>
    <w:p w:rsidR="00000000" w:rsidRPr="005D4D6E" w:rsidP="005D4D6E">
      <w:pPr>
        <w:pStyle w:val="Heading1"/>
      </w:pPr>
      <w:bookmarkStart w:id="13" w:name="O_470961"/>
      <w:bookmarkEnd w:id="13"/>
      <w:r w:rsidRPr="005D4D6E">
        <w:t>Competency Field</w:t>
      </w:r>
    </w:p>
    <w:tbl>
      <w:tblPr>
        <w:tblW w:w="0" w:type="auto"/>
        <w:tblLayout w:type="fixed"/>
        <w:tblCellMar>
          <w:left w:w="62" w:type="dxa"/>
          <w:right w:w="62" w:type="dxa"/>
        </w:tblCellMar>
        <w:tblLook w:val="0000"/>
      </w:tblPr>
      <w:tblGrid>
        <w:gridCol w:w="2700"/>
        <w:gridCol w:w="5760"/>
      </w:tblGrid>
      <w:tr w:rsidTr="00FC61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4D6E">
            <w:pPr>
              <w:pStyle w:val="BodyText"/>
              <w:rPr>
                <w:lang w:val="en-NZ"/>
              </w:rPr>
            </w:pPr>
            <w:r w:rsidRPr="005D4D6E">
              <w:rPr>
                <w:rStyle w:val="SpecialBold"/>
              </w:rPr>
              <w:t xml:space="preserve">11) </w:t>
            </w:r>
          </w:p>
        </w:tc>
      </w:tr>
      <w:tr w:rsidTr="00FC61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D6E" w:rsidP="005D4D6E">
            <w:pPr>
              <w:pStyle w:val="BodyText"/>
            </w:pPr>
            <w:r w:rsidRPr="005D4D6E">
              <w:t>Operations</w:t>
            </w:r>
          </w:p>
        </w:tc>
      </w:tr>
    </w:tbl>
    <w:p w:rsidR="00000000" w:rsidRPr="005D4D6E" w:rsidP="005D4D6E">
      <w:pPr>
        <w:pStyle w:val="BodyText"/>
      </w:pPr>
    </w:p>
    <w:p w:rsidR="00000000" w:rsidRPr="005D4D6E" w:rsidP="005D4D6E"/>
    <w:sectPr w:rsidSect="005D4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1CB" w:rsidP="00FC61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CB" w:rsidP="005D4D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61CB" w:rsidP="005D4D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61CB" w:rsidP="005D4D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6E" w:rsidRPr="00FC61CB" w:rsidP="00FC6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1CB" w:rsidRPr="002D2AF8" w:rsidP="005D4D6E">
    <w:pPr>
      <w:pStyle w:val="Header"/>
      <w:framePr w:wrap="around"/>
    </w:pPr>
    <w:r>
      <w:fldChar w:fldCharType="begin"/>
    </w:r>
    <w:r>
      <w:instrText xml:space="preserve"> TITLE   \* MERGEFORMAT </w:instrText>
    </w:r>
    <w:r>
      <w:fldChar w:fldCharType="separate"/>
    </w:r>
    <w:r>
      <w:t>UEPOPS207B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C61CB" w:rsidP="005D4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0F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AB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EA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D6E"/>
    <w:pPr>
      <w:spacing w:before="360" w:after="60"/>
      <w:outlineLvl w:val="0"/>
    </w:pPr>
    <w:rPr>
      <w:sz w:val="32"/>
    </w:rPr>
  </w:style>
  <w:style w:type="paragraph" w:styleId="Heading2">
    <w:name w:val="heading 2"/>
    <w:basedOn w:val="HeadingBase"/>
    <w:next w:val="BodyText"/>
    <w:link w:val="Heading2Char"/>
    <w:qFormat/>
    <w:rsid w:val="005D4D6E"/>
    <w:pPr>
      <w:keepLines/>
      <w:spacing w:before="240" w:after="120"/>
      <w:outlineLvl w:val="1"/>
    </w:pPr>
    <w:rPr>
      <w:sz w:val="28"/>
      <w:szCs w:val="40"/>
    </w:rPr>
  </w:style>
  <w:style w:type="paragraph" w:styleId="Heading3">
    <w:name w:val="heading 3"/>
    <w:basedOn w:val="HeadingBase"/>
    <w:next w:val="BodyText"/>
    <w:link w:val="Heading3Char"/>
    <w:qFormat/>
    <w:rsid w:val="005D4D6E"/>
    <w:pPr>
      <w:spacing w:before="180" w:after="120"/>
      <w:outlineLvl w:val="2"/>
    </w:pPr>
    <w:rPr>
      <w:spacing w:val="-10"/>
      <w:kern w:val="32"/>
    </w:rPr>
  </w:style>
  <w:style w:type="paragraph" w:styleId="Heading4">
    <w:name w:val="heading 4"/>
    <w:basedOn w:val="HeadingBase"/>
    <w:next w:val="BodyText"/>
    <w:link w:val="Heading4Char"/>
    <w:qFormat/>
    <w:rsid w:val="005D4D6E"/>
    <w:pPr>
      <w:spacing w:before="160" w:after="120"/>
      <w:outlineLvl w:val="3"/>
    </w:pPr>
    <w:rPr>
      <w:sz w:val="22"/>
    </w:rPr>
  </w:style>
  <w:style w:type="paragraph" w:styleId="Heading5">
    <w:name w:val="heading 5"/>
    <w:basedOn w:val="HeadingBase"/>
    <w:next w:val="Normal"/>
    <w:link w:val="Heading5Char"/>
    <w:qFormat/>
    <w:rsid w:val="005D4D6E"/>
    <w:pPr>
      <w:spacing w:before="80"/>
      <w:outlineLvl w:val="4"/>
    </w:pPr>
    <w:rPr>
      <w:color w:val="918585"/>
      <w:sz w:val="20"/>
    </w:rPr>
  </w:style>
  <w:style w:type="paragraph" w:styleId="Heading6">
    <w:name w:val="heading 6"/>
    <w:basedOn w:val="HeadingBase"/>
    <w:next w:val="Normal"/>
    <w:link w:val="Heading6Char"/>
    <w:qFormat/>
    <w:rsid w:val="005D4D6E"/>
    <w:pPr>
      <w:spacing w:before="60"/>
      <w:outlineLvl w:val="5"/>
    </w:pPr>
    <w:rPr>
      <w:color w:val="918585"/>
      <w:sz w:val="20"/>
    </w:rPr>
  </w:style>
  <w:style w:type="paragraph" w:styleId="Heading7">
    <w:name w:val="heading 7"/>
    <w:basedOn w:val="Normal"/>
    <w:next w:val="Normal"/>
    <w:link w:val="Heading7Char"/>
    <w:qFormat/>
    <w:rsid w:val="005D4D6E"/>
    <w:pPr>
      <w:ind w:left="720"/>
      <w:outlineLvl w:val="6"/>
    </w:pPr>
    <w:rPr>
      <w:i/>
    </w:rPr>
  </w:style>
  <w:style w:type="paragraph" w:styleId="Heading8">
    <w:name w:val="heading 8"/>
    <w:basedOn w:val="Normal"/>
    <w:next w:val="Normal"/>
    <w:link w:val="Heading8Char"/>
    <w:qFormat/>
    <w:rsid w:val="005D4D6E"/>
    <w:pPr>
      <w:ind w:left="720"/>
      <w:outlineLvl w:val="7"/>
    </w:pPr>
    <w:rPr>
      <w:i/>
    </w:rPr>
  </w:style>
  <w:style w:type="paragraph" w:styleId="Heading9">
    <w:name w:val="heading 9"/>
    <w:basedOn w:val="Normal"/>
    <w:next w:val="Normal"/>
    <w:link w:val="Heading9Char"/>
    <w:qFormat/>
    <w:rsid w:val="005D4D6E"/>
    <w:pPr>
      <w:ind w:left="720"/>
      <w:outlineLvl w:val="8"/>
    </w:pPr>
    <w:rPr>
      <w:i/>
    </w:rPr>
  </w:style>
  <w:style w:type="character" w:default="1" w:styleId="DefaultParagraphFont">
    <w:name w:val="Default Paragraph Font"/>
    <w:uiPriority w:val="1"/>
    <w:unhideWhenUsed/>
    <w:rsid w:val="005D4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D6E"/>
  </w:style>
  <w:style w:type="character" w:customStyle="1" w:styleId="Heading1Char">
    <w:name w:val="Heading 1 Char"/>
    <w:basedOn w:val="DefaultParagraphFont"/>
    <w:link w:val="Heading1"/>
    <w:rsid w:val="005D4D6E"/>
    <w:rPr>
      <w:rFonts w:ascii="Times New Roman" w:eastAsia="Times New Roman" w:hAnsi="Times New Roman" w:cs="Times New Roman"/>
      <w:b/>
      <w:sz w:val="32"/>
      <w:szCs w:val="20"/>
      <w:lang w:eastAsia="en-US"/>
    </w:rPr>
  </w:style>
  <w:style w:type="paragraph" w:styleId="BodyText">
    <w:name w:val="Body Text"/>
    <w:basedOn w:val="Normal"/>
    <w:link w:val="BodyTextChar"/>
    <w:rsid w:val="005D4D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D6E"/>
    <w:rPr>
      <w:rFonts w:ascii="Times New Roman" w:eastAsia="Times New Roman" w:hAnsi="Times New Roman" w:cs="Times New Roman"/>
      <w:sz w:val="24"/>
      <w:lang w:eastAsia="en-US"/>
    </w:rPr>
  </w:style>
  <w:style w:type="paragraph" w:styleId="Footer">
    <w:name w:val="footer"/>
    <w:basedOn w:val="Normal"/>
    <w:link w:val="FooterChar"/>
    <w:rsid w:val="005D4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D6E"/>
    <w:rPr>
      <w:rFonts w:ascii="Times New Roman" w:eastAsia="Times New Roman" w:hAnsi="Times New Roman" w:cs="Times New Roman"/>
      <w:sz w:val="16"/>
      <w:lang w:eastAsia="en-US"/>
    </w:rPr>
  </w:style>
  <w:style w:type="paragraph" w:styleId="ListBullet">
    <w:name w:val="List Bullet"/>
    <w:basedOn w:val="List"/>
    <w:rsid w:val="005D4D6E"/>
    <w:pPr>
      <w:numPr>
        <w:numId w:val="13"/>
      </w:numPr>
      <w:tabs>
        <w:tab w:val="clear" w:pos="340"/>
      </w:tabs>
      <w:spacing w:before="40" w:after="40"/>
    </w:pPr>
  </w:style>
  <w:style w:type="character" w:customStyle="1" w:styleId="SpecialBold">
    <w:name w:val="Special Bold"/>
    <w:basedOn w:val="DefaultParagraphFont"/>
    <w:rsid w:val="005D4D6E"/>
    <w:rPr>
      <w:b/>
      <w:spacing w:val="0"/>
    </w:rPr>
  </w:style>
  <w:style w:type="paragraph" w:styleId="ListBullet2">
    <w:name w:val="List Bullet 2"/>
    <w:basedOn w:val="List2"/>
    <w:rsid w:val="005D4D6E"/>
    <w:pPr>
      <w:numPr>
        <w:numId w:val="14"/>
      </w:numPr>
      <w:tabs>
        <w:tab w:val="clear" w:pos="680"/>
      </w:tabs>
    </w:pPr>
  </w:style>
  <w:style w:type="paragraph" w:customStyle="1" w:styleId="SuperHeading">
    <w:name w:val="SuperHeading"/>
    <w:basedOn w:val="Normal"/>
    <w:rsid w:val="005D4D6E"/>
    <w:pPr>
      <w:spacing w:before="240" w:after="120"/>
      <w:outlineLvl w:val="0"/>
    </w:pPr>
    <w:rPr>
      <w:rFonts w:ascii="Times New Roman" w:hAnsi="Times New Roman"/>
      <w:b/>
      <w:sz w:val="28"/>
    </w:rPr>
  </w:style>
  <w:style w:type="paragraph" w:customStyle="1" w:styleId="AllowPageBreak">
    <w:name w:val="AllowPageBreak"/>
    <w:rsid w:val="005D4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D6E"/>
    <w:rPr>
      <w:rFonts w:ascii="Courier New" w:eastAsia="Times New Roman" w:hAnsi="Courier New" w:cs="Times New Roman"/>
      <w:i/>
      <w:szCs w:val="20"/>
      <w:lang w:eastAsia="en-US"/>
    </w:rPr>
  </w:style>
  <w:style w:type="paragraph" w:customStyle="1" w:styleId="HeadingBase">
    <w:name w:val="Heading Base"/>
    <w:rsid w:val="005D4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D6E"/>
    <w:pPr>
      <w:tabs>
        <w:tab w:val="right" w:leader="dot" w:pos="9072"/>
      </w:tabs>
      <w:ind w:left="567"/>
    </w:pPr>
    <w:rPr>
      <w:szCs w:val="22"/>
    </w:rPr>
  </w:style>
  <w:style w:type="paragraph" w:customStyle="1" w:styleId="TOCBase">
    <w:name w:val="TOC Base"/>
    <w:rsid w:val="005D4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D6E"/>
    <w:pPr>
      <w:tabs>
        <w:tab w:val="right" w:leader="dot" w:pos="9072"/>
      </w:tabs>
      <w:spacing w:before="40" w:after="40"/>
      <w:ind w:left="284"/>
    </w:pPr>
    <w:rPr>
      <w:rFonts w:ascii="Times New Roman" w:hAnsi="Times New Roman"/>
    </w:rPr>
  </w:style>
  <w:style w:type="paragraph" w:styleId="TOC1">
    <w:name w:val="toc 1"/>
    <w:basedOn w:val="TOCBase"/>
    <w:next w:val="Normal"/>
    <w:rsid w:val="005D4D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D6E"/>
    <w:pPr>
      <w:spacing w:before="5040"/>
      <w:jc w:val="center"/>
    </w:pPr>
    <w:rPr>
      <w:sz w:val="48"/>
      <w:szCs w:val="72"/>
      <w:lang w:val="en-US"/>
    </w:rPr>
  </w:style>
  <w:style w:type="character" w:customStyle="1" w:styleId="TitleChar">
    <w:name w:val="Title Char"/>
    <w:basedOn w:val="DefaultParagraphFont"/>
    <w:link w:val="Title"/>
    <w:rsid w:val="005D4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D6E"/>
    <w:pPr>
      <w:tabs>
        <w:tab w:val="left" w:pos="3600"/>
        <w:tab w:val="left" w:pos="3958"/>
      </w:tabs>
    </w:pPr>
  </w:style>
  <w:style w:type="paragraph" w:styleId="List">
    <w:name w:val="List"/>
    <w:basedOn w:val="BodyText"/>
    <w:next w:val="BodyText"/>
    <w:rsid w:val="005D4D6E"/>
    <w:pPr>
      <w:tabs>
        <w:tab w:val="left" w:pos="340"/>
      </w:tabs>
      <w:spacing w:before="60" w:after="60"/>
      <w:ind w:left="340" w:hanging="340"/>
    </w:pPr>
  </w:style>
  <w:style w:type="paragraph" w:customStyle="1" w:styleId="Note">
    <w:name w:val="Note"/>
    <w:basedOn w:val="BodyText"/>
    <w:rsid w:val="005D4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D6E"/>
    <w:pPr>
      <w:framePr w:wrap="auto" w:hAnchor="text" w:y="6049"/>
    </w:pPr>
    <w:rPr>
      <w:color w:val="000000"/>
      <w:sz w:val="40"/>
    </w:rPr>
  </w:style>
  <w:style w:type="paragraph" w:customStyle="1" w:styleId="TOCTitle">
    <w:name w:val="TOCTitle"/>
    <w:basedOn w:val="Heading1"/>
    <w:rsid w:val="005D4D6E"/>
    <w:pPr>
      <w:spacing w:after="240"/>
      <w:jc w:val="center"/>
      <w:outlineLvl w:val="9"/>
    </w:pPr>
    <w:rPr>
      <w:caps/>
    </w:rPr>
  </w:style>
  <w:style w:type="paragraph" w:customStyle="1" w:styleId="Version">
    <w:name w:val="Version"/>
    <w:rsid w:val="005D4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D6E"/>
    <w:pPr>
      <w:keepNext w:val="0"/>
      <w:tabs>
        <w:tab w:val="right" w:pos="4176"/>
      </w:tabs>
      <w:ind w:left="198" w:hanging="198"/>
    </w:pPr>
    <w:rPr>
      <w:rFonts w:ascii="Garamond" w:hAnsi="Garamond"/>
    </w:rPr>
  </w:style>
  <w:style w:type="paragraph" w:styleId="IndexHeading">
    <w:name w:val="index heading"/>
    <w:basedOn w:val="Normal"/>
    <w:next w:val="Index1"/>
    <w:semiHidden/>
    <w:rsid w:val="005D4D6E"/>
    <w:pPr>
      <w:spacing w:before="120" w:after="120"/>
    </w:pPr>
    <w:rPr>
      <w:rFonts w:ascii="Arial" w:hAnsi="Arial"/>
      <w:b/>
      <w:color w:val="918585"/>
      <w:sz w:val="24"/>
    </w:rPr>
  </w:style>
  <w:style w:type="paragraph" w:styleId="Header">
    <w:name w:val="header"/>
    <w:basedOn w:val="Normal"/>
    <w:link w:val="HeaderChar"/>
    <w:rsid w:val="005D4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D6E"/>
    <w:rPr>
      <w:rFonts w:ascii="Times New Roman" w:eastAsia="Times New Roman" w:hAnsi="Times New Roman" w:cs="Times New Roman"/>
      <w:sz w:val="16"/>
      <w:szCs w:val="20"/>
      <w:lang w:val="en-GB" w:eastAsia="en-US"/>
    </w:rPr>
  </w:style>
  <w:style w:type="paragraph" w:customStyle="1" w:styleId="Chapter">
    <w:name w:val="Chapter"/>
    <w:basedOn w:val="Normal"/>
    <w:rsid w:val="005D4D6E"/>
    <w:pPr>
      <w:spacing w:before="240"/>
    </w:pPr>
    <w:rPr>
      <w:rFonts w:ascii="Times New Roman" w:hAnsi="Times New Roman"/>
      <w:smallCaps/>
      <w:spacing w:val="80"/>
      <w:sz w:val="28"/>
    </w:rPr>
  </w:style>
  <w:style w:type="paragraph" w:customStyle="1" w:styleId="InChapter">
    <w:name w:val="InChapter"/>
    <w:basedOn w:val="Heading3"/>
    <w:rsid w:val="005D4D6E"/>
    <w:pPr>
      <w:spacing w:after="240"/>
      <w:outlineLvl w:val="9"/>
    </w:pPr>
    <w:rPr>
      <w:noProof/>
    </w:rPr>
  </w:style>
  <w:style w:type="paragraph" w:styleId="Index2">
    <w:name w:val="index 2"/>
    <w:basedOn w:val="Normal"/>
    <w:next w:val="Normal"/>
    <w:semiHidden/>
    <w:rsid w:val="005D4D6E"/>
    <w:pPr>
      <w:tabs>
        <w:tab w:val="right" w:pos="4176"/>
      </w:tabs>
      <w:ind w:left="568" w:hanging="284"/>
    </w:pPr>
    <w:rPr>
      <w:rFonts w:ascii="Garamond" w:hAnsi="Garamond"/>
    </w:rPr>
  </w:style>
  <w:style w:type="paragraph" w:customStyle="1" w:styleId="Byline">
    <w:name w:val="Byline"/>
    <w:rsid w:val="005D4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D6E"/>
    <w:pPr>
      <w:tabs>
        <w:tab w:val="clear" w:pos="3600"/>
        <w:tab w:val="clear" w:pos="3958"/>
      </w:tabs>
      <w:jc w:val="right"/>
    </w:pPr>
  </w:style>
  <w:style w:type="character" w:styleId="Emphasis">
    <w:name w:val="Emphasis"/>
    <w:basedOn w:val="DefaultParagraphFont"/>
    <w:qFormat/>
    <w:rsid w:val="005D4D6E"/>
    <w:rPr>
      <w:i/>
    </w:rPr>
  </w:style>
  <w:style w:type="paragraph" w:styleId="Caption">
    <w:name w:val="caption"/>
    <w:basedOn w:val="BodyText"/>
    <w:next w:val="Normal"/>
    <w:qFormat/>
    <w:rsid w:val="005D4D6E"/>
    <w:pPr>
      <w:framePr w:w="2268" w:hSpace="181" w:vSpace="181" w:wrap="around" w:vAnchor="text" w:hAnchor="page" w:x="1135" w:y="285" w:anchorLock="1"/>
    </w:pPr>
    <w:rPr>
      <w:i/>
    </w:rPr>
  </w:style>
  <w:style w:type="paragraph" w:customStyle="1" w:styleId="MiniTOCTitle">
    <w:name w:val="MiniTOCTitle"/>
    <w:basedOn w:val="Heading4"/>
    <w:rsid w:val="005D4D6E"/>
    <w:pPr>
      <w:spacing w:before="240"/>
      <w:outlineLvl w:val="9"/>
    </w:pPr>
    <w:rPr>
      <w:noProof/>
      <w:sz w:val="24"/>
    </w:rPr>
  </w:style>
  <w:style w:type="paragraph" w:customStyle="1" w:styleId="MiniTOCItem">
    <w:name w:val="MiniTOCItem"/>
    <w:basedOn w:val="ListBullet"/>
    <w:rsid w:val="005D4D6E"/>
    <w:pPr>
      <w:numPr>
        <w:numId w:val="0"/>
      </w:numPr>
      <w:tabs>
        <w:tab w:val="right" w:leader="dot" w:pos="6521"/>
      </w:tabs>
      <w:spacing w:before="0" w:after="0"/>
    </w:pPr>
  </w:style>
  <w:style w:type="paragraph" w:customStyle="1" w:styleId="TOFTitle">
    <w:name w:val="TOFTitle"/>
    <w:basedOn w:val="TOCTitle"/>
    <w:rsid w:val="005D4D6E"/>
  </w:style>
  <w:style w:type="paragraph" w:styleId="TableofFigures">
    <w:name w:val="table of figures"/>
    <w:basedOn w:val="Normal"/>
    <w:next w:val="Normal"/>
    <w:semiHidden/>
    <w:rsid w:val="005D4D6E"/>
    <w:pPr>
      <w:tabs>
        <w:tab w:val="right" w:leader="dot" w:pos="9072"/>
      </w:tabs>
      <w:ind w:left="970" w:hanging="403"/>
    </w:pPr>
    <w:rPr>
      <w:rFonts w:ascii="Times New Roman" w:hAnsi="Times New Roman"/>
      <w:b/>
    </w:rPr>
  </w:style>
  <w:style w:type="paragraph" w:styleId="ListNumber">
    <w:name w:val="List Number"/>
    <w:basedOn w:val="List"/>
    <w:rsid w:val="005D4D6E"/>
    <w:pPr>
      <w:numPr>
        <w:numId w:val="11"/>
      </w:numPr>
    </w:pPr>
  </w:style>
  <w:style w:type="character" w:customStyle="1" w:styleId="WingdingSymbols">
    <w:name w:val="Wingding Symbols"/>
    <w:rsid w:val="005D4D6E"/>
    <w:rPr>
      <w:rFonts w:ascii="Wingdings" w:hAnsi="Wingdings"/>
    </w:rPr>
  </w:style>
  <w:style w:type="paragraph" w:customStyle="1" w:styleId="TableHeading">
    <w:name w:val="Table Heading"/>
    <w:basedOn w:val="HeadingBase"/>
    <w:rsid w:val="005D4D6E"/>
    <w:pPr>
      <w:keepLines/>
      <w:pBdr>
        <w:bottom w:val="single" w:sz="6" w:space="1" w:color="918585"/>
      </w:pBdr>
      <w:spacing w:before="240"/>
    </w:pPr>
  </w:style>
  <w:style w:type="character" w:customStyle="1" w:styleId="HotSpot">
    <w:name w:val="HotSpot"/>
    <w:rsid w:val="005D4D6E"/>
    <w:rPr>
      <w:color w:val="0033CC"/>
      <w:u w:val="none"/>
    </w:rPr>
  </w:style>
  <w:style w:type="paragraph" w:customStyle="1" w:styleId="BodyTextRight">
    <w:name w:val="Body Text Right"/>
    <w:basedOn w:val="BodyText"/>
    <w:rsid w:val="005D4D6E"/>
    <w:pPr>
      <w:spacing w:before="0" w:after="0"/>
      <w:jc w:val="right"/>
    </w:pPr>
  </w:style>
  <w:style w:type="paragraph" w:styleId="Index3">
    <w:name w:val="index 3"/>
    <w:basedOn w:val="ListNumber2"/>
    <w:next w:val="Normal"/>
    <w:semiHidden/>
    <w:rsid w:val="005D4D6E"/>
    <w:pPr>
      <w:numPr>
        <w:numId w:val="0"/>
      </w:numPr>
      <w:tabs>
        <w:tab w:val="right" w:leader="dot" w:pos="4176"/>
      </w:tabs>
    </w:pPr>
  </w:style>
  <w:style w:type="paragraph" w:styleId="ListNumber2">
    <w:name w:val="List Number 2"/>
    <w:basedOn w:val="List2"/>
    <w:rsid w:val="005D4D6E"/>
    <w:pPr>
      <w:numPr>
        <w:numId w:val="10"/>
      </w:numPr>
      <w:tabs>
        <w:tab w:val="clear" w:pos="1060"/>
      </w:tabs>
    </w:pPr>
  </w:style>
  <w:style w:type="paragraph" w:customStyle="1" w:styleId="MarginNote">
    <w:name w:val="Margin Note"/>
    <w:basedOn w:val="BodyText"/>
    <w:rsid w:val="005D4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D6E"/>
    <w:rPr>
      <w:sz w:val="32"/>
    </w:rPr>
  </w:style>
  <w:style w:type="paragraph" w:customStyle="1" w:styleId="HeadingProcedure">
    <w:name w:val="Heading Procedure"/>
    <w:basedOn w:val="HeadingBase"/>
    <w:next w:val="Normal"/>
    <w:rsid w:val="005D4D6E"/>
    <w:pPr>
      <w:tabs>
        <w:tab w:val="left" w:pos="0"/>
      </w:tabs>
      <w:spacing w:before="120" w:after="60"/>
    </w:pPr>
    <w:rPr>
      <w:i/>
      <w:color w:val="918585"/>
      <w:sz w:val="22"/>
    </w:rPr>
  </w:style>
  <w:style w:type="paragraph" w:customStyle="1" w:styleId="TableBodyText">
    <w:name w:val="Table Body Text"/>
    <w:basedOn w:val="BodyText"/>
    <w:rsid w:val="005D4D6E"/>
    <w:pPr>
      <w:spacing w:before="60" w:after="60"/>
    </w:pPr>
  </w:style>
  <w:style w:type="paragraph" w:styleId="ListContinue">
    <w:name w:val="List Continue"/>
    <w:basedOn w:val="List"/>
    <w:rsid w:val="005D4D6E"/>
    <w:pPr>
      <w:ind w:firstLine="0"/>
    </w:pPr>
  </w:style>
  <w:style w:type="paragraph" w:customStyle="1" w:styleId="ListNote">
    <w:name w:val="List Note"/>
    <w:basedOn w:val="List"/>
    <w:rsid w:val="005D4D6E"/>
    <w:pPr>
      <w:pBdr>
        <w:top w:val="single" w:sz="6" w:space="2" w:color="918585"/>
        <w:bottom w:val="single" w:sz="6" w:space="2" w:color="918585"/>
      </w:pBdr>
      <w:tabs>
        <w:tab w:val="left" w:pos="1021"/>
      </w:tabs>
      <w:ind w:firstLine="0"/>
    </w:pPr>
  </w:style>
  <w:style w:type="paragraph" w:customStyle="1" w:styleId="Warning">
    <w:name w:val="Warning"/>
    <w:basedOn w:val="BodyText"/>
    <w:rsid w:val="005D4D6E"/>
    <w:pPr>
      <w:shd w:val="clear" w:color="auto" w:fill="D9D9D9"/>
      <w:tabs>
        <w:tab w:val="left" w:pos="992"/>
      </w:tabs>
      <w:ind w:left="119" w:right="119"/>
    </w:pPr>
    <w:rPr>
      <w:sz w:val="20"/>
    </w:rPr>
  </w:style>
  <w:style w:type="paragraph" w:customStyle="1" w:styleId="MarginIcons">
    <w:name w:val="Margin Icons"/>
    <w:basedOn w:val="BodyText"/>
    <w:rsid w:val="005D4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D6E"/>
    <w:rPr>
      <w:rFonts w:ascii="Courier New" w:hAnsi="Courier New"/>
    </w:rPr>
  </w:style>
  <w:style w:type="paragraph" w:customStyle="1" w:styleId="NoteBullet">
    <w:name w:val="Note Bullet"/>
    <w:basedOn w:val="Note"/>
    <w:rsid w:val="005D4D6E"/>
    <w:pPr>
      <w:tabs>
        <w:tab w:val="clear" w:pos="680"/>
      </w:tabs>
      <w:spacing w:before="60" w:after="60"/>
    </w:pPr>
  </w:style>
  <w:style w:type="paragraph" w:customStyle="1" w:styleId="SubHeading2">
    <w:name w:val="SubHeading2"/>
    <w:basedOn w:val="HeadingBase"/>
    <w:rsid w:val="005D4D6E"/>
    <w:pPr>
      <w:spacing w:before="240" w:after="60"/>
    </w:pPr>
    <w:rPr>
      <w:sz w:val="20"/>
    </w:rPr>
  </w:style>
  <w:style w:type="paragraph" w:customStyle="1" w:styleId="SubHeading1">
    <w:name w:val="SubHeading1"/>
    <w:basedOn w:val="HeadingBase"/>
    <w:rsid w:val="005D4D6E"/>
    <w:pPr>
      <w:spacing w:before="240" w:after="60"/>
    </w:pPr>
    <w:rPr>
      <w:color w:val="918585"/>
      <w:sz w:val="22"/>
    </w:rPr>
  </w:style>
  <w:style w:type="paragraph" w:customStyle="1" w:styleId="SideHeading">
    <w:name w:val="Side Heading"/>
    <w:basedOn w:val="HeadingBase"/>
    <w:rsid w:val="005D4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D6E"/>
    <w:pPr>
      <w:numPr>
        <w:numId w:val="12"/>
      </w:numPr>
    </w:pPr>
  </w:style>
  <w:style w:type="paragraph" w:styleId="PlainText">
    <w:name w:val="Plain Text"/>
    <w:basedOn w:val="Normal"/>
    <w:link w:val="PlainTextChar"/>
    <w:rsid w:val="005D4D6E"/>
    <w:rPr>
      <w:sz w:val="20"/>
    </w:rPr>
  </w:style>
  <w:style w:type="character" w:customStyle="1" w:styleId="PlainTextChar">
    <w:name w:val="Plain Text Char"/>
    <w:basedOn w:val="DefaultParagraphFont"/>
    <w:link w:val="PlainText"/>
    <w:rsid w:val="005D4D6E"/>
    <w:rPr>
      <w:rFonts w:ascii="Courier New" w:eastAsia="Times New Roman" w:hAnsi="Courier New" w:cs="Times New Roman"/>
      <w:sz w:val="20"/>
      <w:szCs w:val="20"/>
      <w:lang w:eastAsia="en-US"/>
    </w:rPr>
  </w:style>
  <w:style w:type="character" w:customStyle="1" w:styleId="MenuOption">
    <w:name w:val="Menu Option"/>
    <w:basedOn w:val="DefaultParagraphFont"/>
    <w:rsid w:val="005D4D6E"/>
    <w:rPr>
      <w:b/>
      <w:smallCaps/>
    </w:rPr>
  </w:style>
  <w:style w:type="paragraph" w:customStyle="1" w:styleId="TableListNumber">
    <w:name w:val="Table List Number"/>
    <w:basedOn w:val="ListNumber"/>
    <w:rsid w:val="005D4D6E"/>
    <w:pPr>
      <w:numPr>
        <w:numId w:val="0"/>
      </w:numPr>
    </w:pPr>
  </w:style>
  <w:style w:type="paragraph" w:styleId="TOC4">
    <w:name w:val="toc 4"/>
    <w:basedOn w:val="TOCBase"/>
    <w:next w:val="Normal"/>
    <w:semiHidden/>
    <w:rsid w:val="005D4D6E"/>
    <w:pPr>
      <w:tabs>
        <w:tab w:val="right" w:leader="dot" w:pos="9071"/>
      </w:tabs>
      <w:ind w:left="1701"/>
    </w:pPr>
  </w:style>
  <w:style w:type="paragraph" w:customStyle="1" w:styleId="ListAlpha">
    <w:name w:val="List Alpha"/>
    <w:basedOn w:val="List"/>
    <w:rsid w:val="005D4D6E"/>
    <w:pPr>
      <w:numPr>
        <w:numId w:val="9"/>
      </w:numPr>
    </w:pPr>
  </w:style>
  <w:style w:type="paragraph" w:customStyle="1" w:styleId="ListAlpha2">
    <w:name w:val="List Alpha 2"/>
    <w:basedOn w:val="List2"/>
    <w:rsid w:val="005D4D6E"/>
    <w:pPr>
      <w:numPr>
        <w:numId w:val="8"/>
      </w:numPr>
    </w:pPr>
  </w:style>
  <w:style w:type="paragraph" w:styleId="List2">
    <w:name w:val="List 2"/>
    <w:basedOn w:val="BodyText"/>
    <w:rsid w:val="005D4D6E"/>
    <w:pPr>
      <w:tabs>
        <w:tab w:val="left" w:pos="680"/>
      </w:tabs>
      <w:spacing w:before="60" w:after="60"/>
      <w:ind w:left="680" w:hanging="340"/>
    </w:pPr>
  </w:style>
  <w:style w:type="paragraph" w:styleId="List3">
    <w:name w:val="List 3"/>
    <w:basedOn w:val="BodyText"/>
    <w:rsid w:val="005D4D6E"/>
    <w:pPr>
      <w:tabs>
        <w:tab w:val="left" w:pos="1021"/>
      </w:tabs>
      <w:spacing w:before="60" w:after="60"/>
      <w:ind w:left="1020" w:hanging="340"/>
    </w:pPr>
  </w:style>
  <w:style w:type="paragraph" w:styleId="List4">
    <w:name w:val="List 4"/>
    <w:basedOn w:val="BodyText"/>
    <w:rsid w:val="005D4D6E"/>
    <w:pPr>
      <w:tabs>
        <w:tab w:val="left" w:pos="1361"/>
      </w:tabs>
      <w:spacing w:before="60" w:after="60"/>
      <w:ind w:left="1361" w:hanging="340"/>
    </w:pPr>
  </w:style>
  <w:style w:type="paragraph" w:styleId="List5">
    <w:name w:val="List 5"/>
    <w:basedOn w:val="BodyText"/>
    <w:rsid w:val="005D4D6E"/>
    <w:pPr>
      <w:tabs>
        <w:tab w:val="left" w:pos="1701"/>
      </w:tabs>
      <w:spacing w:before="60" w:after="60"/>
      <w:ind w:left="1701" w:hanging="340"/>
    </w:pPr>
  </w:style>
  <w:style w:type="paragraph" w:styleId="ListBullet3">
    <w:name w:val="List Bullet 3"/>
    <w:basedOn w:val="List3"/>
    <w:rsid w:val="005D4D6E"/>
    <w:pPr>
      <w:numPr>
        <w:numId w:val="15"/>
      </w:numPr>
      <w:tabs>
        <w:tab w:val="clear" w:pos="1021"/>
      </w:tabs>
      <w:ind w:left="1037" w:hanging="357"/>
    </w:pPr>
  </w:style>
  <w:style w:type="paragraph" w:styleId="ListBullet4">
    <w:name w:val="List Bullet 4"/>
    <w:basedOn w:val="List4"/>
    <w:rsid w:val="005D4D6E"/>
    <w:pPr>
      <w:numPr>
        <w:numId w:val="3"/>
      </w:numPr>
    </w:pPr>
  </w:style>
  <w:style w:type="paragraph" w:styleId="ListBullet5">
    <w:name w:val="List Bullet 5"/>
    <w:basedOn w:val="List5"/>
    <w:rsid w:val="005D4D6E"/>
    <w:pPr>
      <w:numPr>
        <w:numId w:val="4"/>
      </w:numPr>
    </w:pPr>
  </w:style>
  <w:style w:type="paragraph" w:styleId="ListContinue2">
    <w:name w:val="List Continue 2"/>
    <w:basedOn w:val="List2"/>
    <w:rsid w:val="005D4D6E"/>
    <w:pPr>
      <w:ind w:firstLine="0"/>
    </w:pPr>
  </w:style>
  <w:style w:type="paragraph" w:styleId="ListContinue3">
    <w:name w:val="List Continue 3"/>
    <w:basedOn w:val="List3"/>
    <w:rsid w:val="005D4D6E"/>
    <w:pPr>
      <w:ind w:left="1021" w:firstLine="0"/>
    </w:pPr>
  </w:style>
  <w:style w:type="paragraph" w:styleId="ListContinue4">
    <w:name w:val="List Continue 4"/>
    <w:basedOn w:val="List4"/>
    <w:rsid w:val="005D4D6E"/>
    <w:pPr>
      <w:ind w:firstLine="0"/>
    </w:pPr>
  </w:style>
  <w:style w:type="paragraph" w:styleId="ListContinue5">
    <w:name w:val="List Continue 5"/>
    <w:basedOn w:val="List5"/>
    <w:rsid w:val="005D4D6E"/>
    <w:pPr>
      <w:ind w:firstLine="0"/>
    </w:pPr>
  </w:style>
  <w:style w:type="paragraph" w:styleId="ListNumber3">
    <w:name w:val="List Number 3"/>
    <w:basedOn w:val="List3"/>
    <w:rsid w:val="005D4D6E"/>
    <w:pPr>
      <w:numPr>
        <w:numId w:val="5"/>
      </w:numPr>
    </w:pPr>
  </w:style>
  <w:style w:type="paragraph" w:styleId="ListNumber4">
    <w:name w:val="List Number 4"/>
    <w:basedOn w:val="List4"/>
    <w:rsid w:val="005D4D6E"/>
    <w:pPr>
      <w:numPr>
        <w:numId w:val="6"/>
      </w:numPr>
    </w:pPr>
  </w:style>
  <w:style w:type="paragraph" w:styleId="ListNumber5">
    <w:name w:val="List Number 5"/>
    <w:basedOn w:val="List5"/>
    <w:rsid w:val="005D4D6E"/>
    <w:pPr>
      <w:numPr>
        <w:numId w:val="7"/>
      </w:numPr>
    </w:pPr>
  </w:style>
  <w:style w:type="paragraph" w:styleId="BlockText">
    <w:name w:val="Block Text"/>
    <w:basedOn w:val="Normal"/>
    <w:rsid w:val="005D4D6E"/>
    <w:pPr>
      <w:spacing w:after="120"/>
      <w:ind w:left="1440" w:right="1440"/>
    </w:pPr>
  </w:style>
  <w:style w:type="character" w:customStyle="1" w:styleId="Subscript">
    <w:name w:val="Subscript"/>
    <w:basedOn w:val="DefaultParagraphFont"/>
    <w:rsid w:val="005D4D6E"/>
    <w:rPr>
      <w:sz w:val="16"/>
      <w:vertAlign w:val="subscript"/>
    </w:rPr>
  </w:style>
  <w:style w:type="character" w:customStyle="1" w:styleId="Superscript">
    <w:name w:val="Superscript"/>
    <w:basedOn w:val="DefaultParagraphFont"/>
    <w:rsid w:val="005D4D6E"/>
    <w:rPr>
      <w:sz w:val="16"/>
      <w:vertAlign w:val="superscript"/>
    </w:rPr>
  </w:style>
  <w:style w:type="character" w:customStyle="1" w:styleId="Symbols">
    <w:name w:val="Symbols"/>
    <w:basedOn w:val="DefaultParagraphFont"/>
    <w:rsid w:val="005D4D6E"/>
    <w:rPr>
      <w:rFonts w:ascii="Symbol" w:hAnsi="Symbol"/>
    </w:rPr>
  </w:style>
  <w:style w:type="character" w:customStyle="1" w:styleId="MenuOptions">
    <w:name w:val="Menu Options"/>
    <w:basedOn w:val="DefaultParagraphFont"/>
    <w:rsid w:val="005D4D6E"/>
    <w:rPr>
      <w:rFonts w:ascii="Arial Narrow" w:hAnsi="Arial Narrow"/>
      <w:smallCaps/>
    </w:rPr>
  </w:style>
  <w:style w:type="character" w:customStyle="1" w:styleId="Buttons">
    <w:name w:val="Buttons"/>
    <w:basedOn w:val="DefaultParagraphFont"/>
    <w:rsid w:val="005D4D6E"/>
    <w:rPr>
      <w:b/>
    </w:rPr>
  </w:style>
  <w:style w:type="character" w:customStyle="1" w:styleId="Underlined">
    <w:name w:val="Underlined"/>
    <w:basedOn w:val="DefaultParagraphFont"/>
    <w:rsid w:val="005D4D6E"/>
    <w:rPr>
      <w:u w:val="single"/>
    </w:rPr>
  </w:style>
  <w:style w:type="paragraph" w:customStyle="1" w:styleId="TableBodyTextRight">
    <w:name w:val="Table Body Text Right"/>
    <w:basedOn w:val="TableBodyText"/>
    <w:rsid w:val="005D4D6E"/>
    <w:pPr>
      <w:widowControl w:val="0"/>
      <w:autoSpaceDE w:val="0"/>
      <w:autoSpaceDN w:val="0"/>
      <w:adjustRightInd w:val="0"/>
      <w:jc w:val="right"/>
    </w:pPr>
    <w:rPr>
      <w:rFonts w:cs="Arial"/>
      <w:szCs w:val="18"/>
    </w:rPr>
  </w:style>
  <w:style w:type="paragraph" w:customStyle="1" w:styleId="CopyrightText">
    <w:name w:val="Copyright Text"/>
    <w:basedOn w:val="BodyText"/>
    <w:rsid w:val="005D4D6E"/>
    <w:rPr>
      <w:sz w:val="18"/>
    </w:rPr>
  </w:style>
  <w:style w:type="paragraph" w:customStyle="1" w:styleId="BodySmallRight">
    <w:name w:val="Body Small Right"/>
    <w:basedOn w:val="BodyTextRight"/>
    <w:rsid w:val="005D4D6E"/>
    <w:rPr>
      <w:sz w:val="18"/>
      <w:szCs w:val="18"/>
    </w:rPr>
  </w:style>
  <w:style w:type="paragraph" w:customStyle="1" w:styleId="MarginEdition">
    <w:name w:val="Margin Edition"/>
    <w:basedOn w:val="MarginNote"/>
    <w:rsid w:val="005D4D6E"/>
    <w:pPr>
      <w:spacing w:before="0" w:after="0"/>
    </w:pPr>
    <w:rPr>
      <w:rFonts w:ascii="Times New Roman" w:hAnsi="Times New Roman"/>
      <w:color w:val="999999"/>
    </w:rPr>
  </w:style>
  <w:style w:type="paragraph" w:customStyle="1" w:styleId="Spacer">
    <w:name w:val="Spacer"/>
    <w:basedOn w:val="Normal"/>
    <w:rsid w:val="005D4D6E"/>
    <w:rPr>
      <w:sz w:val="2"/>
      <w:szCs w:val="2"/>
    </w:rPr>
  </w:style>
  <w:style w:type="character" w:customStyle="1" w:styleId="Small">
    <w:name w:val="Small"/>
    <w:basedOn w:val="DefaultParagraphFont"/>
    <w:rsid w:val="005D4D6E"/>
    <w:rPr>
      <w:sz w:val="16"/>
    </w:rPr>
  </w:style>
  <w:style w:type="paragraph" w:customStyle="1" w:styleId="WideTable">
    <w:name w:val="Wide Table"/>
    <w:basedOn w:val="Normal"/>
    <w:rsid w:val="005D4D6E"/>
    <w:pPr>
      <w:ind w:left="-1418"/>
    </w:pPr>
    <w:rPr>
      <w:sz w:val="2"/>
      <w:szCs w:val="2"/>
    </w:rPr>
  </w:style>
  <w:style w:type="character" w:styleId="PageNumber">
    <w:name w:val="page number"/>
    <w:basedOn w:val="DefaultParagraphFont"/>
    <w:rsid w:val="005D4D6E"/>
  </w:style>
  <w:style w:type="paragraph" w:styleId="Quote">
    <w:name w:val="Quote"/>
    <w:basedOn w:val="Heading1"/>
    <w:link w:val="QuoteChar"/>
    <w:qFormat/>
    <w:rsid w:val="005D4D6E"/>
    <w:rPr>
      <w:b w:val="0"/>
      <w:sz w:val="72"/>
      <w:szCs w:val="72"/>
      <w:lang w:val="en-NZ"/>
    </w:rPr>
  </w:style>
  <w:style w:type="character" w:customStyle="1" w:styleId="QuoteChar">
    <w:name w:val="Quote Char"/>
    <w:basedOn w:val="DefaultParagraphFont"/>
    <w:link w:val="Quote"/>
    <w:rsid w:val="005D4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D6E"/>
    <w:pPr>
      <w:pageBreakBefore/>
    </w:pPr>
  </w:style>
  <w:style w:type="paragraph" w:customStyle="1" w:styleId="Border">
    <w:name w:val="Border"/>
    <w:basedOn w:val="Normal"/>
    <w:qFormat/>
    <w:rsid w:val="005D4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D6E"/>
    <w:rPr>
      <w:b/>
      <w:bCs/>
      <w:i/>
      <w:iCs/>
      <w:color w:val="auto"/>
    </w:rPr>
  </w:style>
  <w:style w:type="paragraph" w:styleId="IntenseQuote">
    <w:name w:val="Intense Quote"/>
    <w:basedOn w:val="Normal"/>
    <w:next w:val="Normal"/>
    <w:link w:val="IntenseQuoteChar"/>
    <w:uiPriority w:val="30"/>
    <w:qFormat/>
    <w:rsid w:val="005D4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D6E"/>
    <w:rPr>
      <w:smallCaps/>
      <w:color w:val="auto"/>
      <w:u w:val="single"/>
    </w:rPr>
  </w:style>
  <w:style w:type="character" w:styleId="IntenseReference">
    <w:name w:val="Intense Reference"/>
    <w:basedOn w:val="DefaultParagraphFont"/>
    <w:uiPriority w:val="32"/>
    <w:qFormat/>
    <w:rsid w:val="005D4D6E"/>
    <w:rPr>
      <w:b/>
      <w:bCs/>
      <w:smallCaps/>
      <w:color w:val="auto"/>
      <w:spacing w:val="5"/>
      <w:u w:val="single"/>
    </w:rPr>
  </w:style>
  <w:style w:type="paragraph" w:customStyle="1" w:styleId="2ColumnHeading">
    <w:name w:val="2Column Heading"/>
    <w:basedOn w:val="BodyText"/>
    <w:qFormat/>
    <w:rsid w:val="005D4D6E"/>
    <w:pPr>
      <w:spacing w:after="60"/>
      <w:ind w:left="-2268"/>
    </w:pPr>
    <w:rPr>
      <w:b/>
    </w:rPr>
  </w:style>
  <w:style w:type="paragraph" w:customStyle="1" w:styleId="Heading1TOC">
    <w:name w:val="Heading1 TOC"/>
    <w:basedOn w:val="Normal"/>
    <w:qFormat/>
    <w:rsid w:val="005D4D6E"/>
    <w:pPr>
      <w:spacing w:before="240" w:after="120"/>
    </w:pPr>
    <w:rPr>
      <w:rFonts w:ascii="Times New Roman" w:hAnsi="Times New Roman"/>
      <w:b/>
      <w:sz w:val="32"/>
    </w:rPr>
  </w:style>
  <w:style w:type="paragraph" w:customStyle="1" w:styleId="Heading2TOC">
    <w:name w:val="Heading2 TOC"/>
    <w:basedOn w:val="Normal"/>
    <w:qFormat/>
    <w:rsid w:val="005D4D6E"/>
    <w:pPr>
      <w:spacing w:before="240" w:after="60"/>
    </w:pPr>
    <w:rPr>
      <w:rFonts w:ascii="Times New Roman" w:hAnsi="Times New Roman"/>
      <w:b/>
      <w:sz w:val="28"/>
    </w:rPr>
  </w:style>
  <w:style w:type="character" w:customStyle="1" w:styleId="Underline">
    <w:name w:val="Underline"/>
    <w:basedOn w:val="DefaultParagraphFont"/>
    <w:qFormat/>
    <w:rsid w:val="005D4D6E"/>
    <w:rPr>
      <w:u w:val="single"/>
    </w:rPr>
  </w:style>
  <w:style w:type="character" w:customStyle="1" w:styleId="BoldandItalics">
    <w:name w:val="Bold and Italics"/>
    <w:qFormat/>
    <w:rsid w:val="005D4D6E"/>
    <w:rPr>
      <w:b/>
      <w:i/>
      <w:u w:val="none"/>
    </w:rPr>
  </w:style>
  <w:style w:type="paragraph" w:styleId="BalloonText">
    <w:name w:val="Balloon Text"/>
    <w:basedOn w:val="Normal"/>
    <w:link w:val="BalloonTextChar"/>
    <w:rsid w:val="005D4D6E"/>
    <w:rPr>
      <w:rFonts w:ascii="Tahoma" w:hAnsi="Tahoma" w:cs="Tahoma"/>
      <w:sz w:val="16"/>
      <w:szCs w:val="16"/>
    </w:rPr>
  </w:style>
  <w:style w:type="character" w:customStyle="1" w:styleId="BalloonTextChar">
    <w:name w:val="Balloon Text Char"/>
    <w:basedOn w:val="DefaultParagraphFont"/>
    <w:link w:val="BalloonText"/>
    <w:rsid w:val="005D4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D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D6E"/>
    <w:rPr>
      <w:b/>
      <w:color w:val="660033"/>
      <w:spacing w:val="0"/>
    </w:rPr>
  </w:style>
  <w:style w:type="paragraph" w:customStyle="1" w:styleId="Nameditemlist">
    <w:name w:val="Named item list"/>
    <w:basedOn w:val="BodyText"/>
    <w:qFormat/>
    <w:rsid w:val="005D4D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11190</Characters>
  <Application>Microsoft Office Word</Application>
  <DocSecurity>0</DocSecurity>
  <Lines>387</Lines>
  <Paragraphs>170</Paragraphs>
  <ScaleCrop>false</ScaleCrop>
  <Company>Author-it Software Corporation Ltd.</Company>
  <LinksUpToDate>false</LinksUpToDate>
  <CharactersWithSpaces>12896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UEPOPS207B Perform plant lubrication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