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1B35" w:rsidP="000C1B35">
      <w:pPr>
        <w:pStyle w:val="Title"/>
      </w:pPr>
      <w:bookmarkStart w:id="0" w:name="_GoBack"/>
      <w:bookmarkEnd w:id="0"/>
      <w:r>
        <w:fldChar w:fldCharType="begin"/>
      </w:r>
      <w:r>
        <w:instrText xml:space="preserve"> TITLE   \* MERGEFORMAT </w:instrText>
      </w:r>
      <w:r>
        <w:fldChar w:fldCharType="separate"/>
      </w:r>
      <w:r>
        <w:t>UEPOPS203B Operate and monitor communications system</w:t>
      </w:r>
      <w:r>
        <w:fldChar w:fldCharType="end"/>
      </w:r>
    </w:p>
    <w:p w:rsidR="000C1B35" w:rsidP="000C1B35">
      <w:pPr>
        <w:pStyle w:val="Version"/>
        <w:sectPr w:rsidSect="00AE6F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6FD5" w:rsidP="00AE6FD5">
      <w:pPr>
        <w:pStyle w:val="SuperHeading"/>
      </w:pPr>
      <w:r w:rsidRPr="00AE6FD5">
        <w:t>UEPOPS203B Operate and monitor communications system</w:t>
      </w:r>
    </w:p>
    <w:p w:rsidR="00000000" w:rsidRPr="00AE6FD5" w:rsidP="00AE6FD5">
      <w:pPr>
        <w:pStyle w:val="Heading1"/>
      </w:pPr>
      <w:bookmarkStart w:id="1" w:name="O_470913"/>
      <w:bookmarkEnd w:id="1"/>
      <w:r w:rsidRPr="00AE6FD5">
        <w:t>Modification History</w:t>
      </w:r>
    </w:p>
    <w:p w:rsidR="00000000" w:rsidRPr="00AE6FD5" w:rsidP="00AE6FD5">
      <w:pPr>
        <w:pStyle w:val="BodyText"/>
      </w:pPr>
      <w:r w:rsidRPr="00AE6FD5">
        <w:t>Not applicable.</w:t>
      </w:r>
    </w:p>
    <w:p w:rsidR="00000000" w:rsidRPr="00AE6FD5" w:rsidP="00AE6FD5">
      <w:pPr>
        <w:pStyle w:val="AllowPageBreak"/>
      </w:pPr>
    </w:p>
    <w:p w:rsidR="00000000" w:rsidRPr="00AE6FD5" w:rsidP="00AE6FD5">
      <w:pPr>
        <w:pStyle w:val="Heading1"/>
      </w:pPr>
      <w:bookmarkStart w:id="2" w:name="O_470911"/>
      <w:bookmarkEnd w:id="2"/>
      <w:r w:rsidRPr="00AE6FD5">
        <w:t>Unit Descriptor</w:t>
      </w:r>
    </w:p>
    <w:tbl>
      <w:tblPr>
        <w:tblW w:w="0" w:type="auto"/>
        <w:tblLayout w:type="fixed"/>
        <w:tblCellMar>
          <w:left w:w="62" w:type="dxa"/>
          <w:right w:w="62" w:type="dxa"/>
        </w:tblCellMar>
        <w:tblLook w:val="0000"/>
      </w:tblPr>
      <w:tblGrid>
        <w:gridCol w:w="2700"/>
        <w:gridCol w:w="5760"/>
      </w:tblGrid>
      <w:tr w:rsidTr="000C1B3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E6FD5" w:rsidP="00AE6FD5">
            <w:pPr>
              <w:pStyle w:val="BodyText"/>
            </w:pPr>
            <w:r w:rsidRPr="00AE6FD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AE6FD5">
            <w:pPr>
              <w:pStyle w:val="BodyText"/>
              <w:rPr>
                <w:lang w:val="en-NZ"/>
              </w:rPr>
            </w:pPr>
            <w:r w:rsidRPr="00AE6FD5">
              <w:rPr>
                <w:rStyle w:val="SpecialBold"/>
              </w:rPr>
              <w:t>1)</w:t>
            </w:r>
            <w:r w:rsidRPr="00AE6FD5">
              <w:t xml:space="preserve"> </w:t>
            </w:r>
            <w:r w:rsidRPr="00AE6FD5">
              <w:rPr>
                <w:rStyle w:val="SpecialBold"/>
              </w:rPr>
              <w:t>Scope:</w:t>
            </w:r>
          </w:p>
        </w:tc>
      </w:tr>
      <w:tr w:rsidTr="000C1B3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E6FD5">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E6FD5">
            <w:pPr>
              <w:pStyle w:val="BodyText"/>
              <w:rPr>
                <w:lang w:val="en-NZ"/>
              </w:rPr>
            </w:pPr>
            <w:r w:rsidRPr="00AE6FD5">
              <w:rPr>
                <w:rStyle w:val="SpecialBold"/>
              </w:rPr>
              <w:t>1.1) Descriptor</w:t>
            </w:r>
          </w:p>
        </w:tc>
      </w:tr>
      <w:tr w:rsidTr="000C1B3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E6FD5" w:rsidP="00AE6FD5">
            <w:pPr>
              <w:pStyle w:val="BodyText"/>
            </w:pPr>
            <w:r w:rsidRPr="00AE6FD5">
              <w:t>This unit deals with the skills and knowledge required to operate and monitor the application of communications systems.</w:t>
            </w:r>
          </w:p>
        </w:tc>
      </w:tr>
    </w:tbl>
    <w:p w:rsidR="00000000" w:rsidRPr="00AE6FD5" w:rsidP="00AE6FD5">
      <w:pPr>
        <w:pStyle w:val="BodyText"/>
      </w:pPr>
    </w:p>
    <w:p w:rsidR="00000000" w:rsidRPr="00AE6FD5" w:rsidP="00AE6FD5">
      <w:pPr>
        <w:pStyle w:val="AllowPageBreak"/>
      </w:pPr>
    </w:p>
    <w:p w:rsidR="00000000" w:rsidRPr="00AE6FD5" w:rsidP="00AE6FD5">
      <w:pPr>
        <w:pStyle w:val="Heading1"/>
      </w:pPr>
      <w:bookmarkStart w:id="3" w:name="O_470900"/>
      <w:bookmarkEnd w:id="3"/>
      <w:r w:rsidRPr="00AE6FD5">
        <w:t>Application of the Unit</w:t>
      </w:r>
    </w:p>
    <w:tbl>
      <w:tblPr>
        <w:tblW w:w="0" w:type="auto"/>
        <w:tblLayout w:type="fixed"/>
        <w:tblCellMar>
          <w:left w:w="62" w:type="dxa"/>
          <w:right w:w="62" w:type="dxa"/>
        </w:tblCellMar>
        <w:tblLook w:val="0000"/>
      </w:tblPr>
      <w:tblGrid>
        <w:gridCol w:w="2672"/>
        <w:gridCol w:w="5699"/>
      </w:tblGrid>
      <w:tr w:rsidTr="000C1B3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AE6FD5" w:rsidP="00AE6FD5">
            <w:pPr>
              <w:pStyle w:val="BodyText"/>
            </w:pPr>
            <w:r w:rsidRPr="00AE6FD5">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AE6FD5">
            <w:pPr>
              <w:pStyle w:val="BodyText"/>
              <w:rPr>
                <w:lang w:val="en-NZ"/>
              </w:rPr>
            </w:pPr>
            <w:r w:rsidRPr="00AE6FD5">
              <w:rPr>
                <w:rStyle w:val="SpecialBold"/>
              </w:rPr>
              <w:t>2)</w:t>
            </w:r>
          </w:p>
        </w:tc>
      </w:tr>
      <w:tr w:rsidTr="000C1B3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AE6FD5" w:rsidP="00AE6FD5">
            <w:pPr>
              <w:pStyle w:val="BodyText"/>
            </w:pPr>
            <w:r w:rsidRPr="00AE6FD5">
              <w:t>This unit is intended to augment formally acquired competencies. It is suitable for employment-based programs under an approved contract of training.</w:t>
            </w:r>
          </w:p>
        </w:tc>
      </w:tr>
    </w:tbl>
    <w:p w:rsidR="00000000" w:rsidRPr="00AE6FD5" w:rsidP="00AE6FD5">
      <w:pPr>
        <w:pStyle w:val="BodyText"/>
      </w:pPr>
    </w:p>
    <w:p w:rsidR="00000000" w:rsidRPr="00AE6FD5" w:rsidP="00AE6FD5">
      <w:pPr>
        <w:pStyle w:val="AllowPageBreak"/>
      </w:pPr>
    </w:p>
    <w:p w:rsidR="00000000" w:rsidRPr="00AE6FD5" w:rsidP="00AE6FD5">
      <w:pPr>
        <w:pStyle w:val="Heading1"/>
      </w:pPr>
      <w:bookmarkStart w:id="4" w:name="O_470907"/>
      <w:bookmarkEnd w:id="4"/>
      <w:r w:rsidRPr="00AE6FD5">
        <w:t>Licensing/Regulatory Information</w:t>
      </w:r>
    </w:p>
    <w:tbl>
      <w:tblPr>
        <w:tblW w:w="0" w:type="auto"/>
        <w:tblLayout w:type="fixed"/>
        <w:tblCellMar>
          <w:left w:w="62" w:type="dxa"/>
          <w:right w:w="62" w:type="dxa"/>
        </w:tblCellMar>
        <w:tblLook w:val="0000"/>
      </w:tblPr>
      <w:tblGrid>
        <w:gridCol w:w="2700"/>
        <w:gridCol w:w="5760"/>
      </w:tblGrid>
      <w:tr w:rsidTr="000C1B3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E6FD5" w:rsidP="00AE6FD5">
            <w:pPr>
              <w:pStyle w:val="BodyText"/>
            </w:pPr>
            <w:r w:rsidRPr="00AE6FD5">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AE6FD5">
            <w:pPr>
              <w:pStyle w:val="BodyText"/>
              <w:rPr>
                <w:lang w:val="en-NZ"/>
              </w:rPr>
            </w:pPr>
            <w:r w:rsidRPr="00AE6FD5">
              <w:rPr>
                <w:rStyle w:val="SpecialBold"/>
              </w:rPr>
              <w:t xml:space="preserve">3) </w:t>
            </w:r>
          </w:p>
        </w:tc>
      </w:tr>
      <w:tr w:rsidTr="000C1B3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E6FD5" w:rsidP="00AE6FD5">
            <w:pPr>
              <w:pStyle w:val="BodyText"/>
            </w:pPr>
            <w:r w:rsidRPr="00AE6FD5">
              <w:t>The skills and knowledge des</w:t>
            </w:r>
            <w:r w:rsidRPr="00AE6FD5">
              <w:t>cribed in this unit do not require a licence to practise in the workplace. However, practice in this unit is subject to regulations directly related to Occupational Health and Safety and where applicable contracts of training such as apprenticeships and th</w:t>
            </w:r>
            <w:r w:rsidRPr="00AE6FD5">
              <w:t>e like.</w:t>
            </w:r>
          </w:p>
        </w:tc>
      </w:tr>
    </w:tbl>
    <w:p w:rsidR="00000000" w:rsidRPr="00AE6FD5" w:rsidP="00AE6FD5">
      <w:pPr>
        <w:pStyle w:val="BodyText"/>
      </w:pPr>
    </w:p>
    <w:p w:rsidR="00000000" w:rsidRPr="00AE6FD5" w:rsidP="00AE6FD5">
      <w:pPr>
        <w:pStyle w:val="AllowPageBreak"/>
      </w:pPr>
    </w:p>
    <w:p w:rsidR="00000000" w:rsidRPr="00AE6FD5" w:rsidP="00AE6FD5">
      <w:pPr>
        <w:pStyle w:val="Heading1"/>
      </w:pPr>
      <w:bookmarkStart w:id="5" w:name="O_470908"/>
      <w:bookmarkEnd w:id="5"/>
      <w:r w:rsidRPr="00AE6FD5">
        <w:t>Pre-Requisites</w:t>
      </w:r>
    </w:p>
    <w:tbl>
      <w:tblPr>
        <w:tblW w:w="0" w:type="auto"/>
        <w:tblLayout w:type="fixed"/>
        <w:tblCellMar>
          <w:left w:w="62" w:type="dxa"/>
          <w:right w:w="62" w:type="dxa"/>
        </w:tblCellMar>
        <w:tblLook w:val="0000"/>
      </w:tblPr>
      <w:tblGrid>
        <w:gridCol w:w="2700"/>
        <w:gridCol w:w="5764"/>
      </w:tblGrid>
      <w:tr w:rsidTr="000C1B3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E6FD5" w:rsidP="00AE6FD5">
            <w:pPr>
              <w:pStyle w:val="BodyText"/>
            </w:pPr>
            <w:r w:rsidRPr="00AE6FD5">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AE6FD5">
            <w:pPr>
              <w:pStyle w:val="BodyText"/>
              <w:rPr>
                <w:lang w:val="en-NZ"/>
              </w:rPr>
            </w:pPr>
            <w:r w:rsidRPr="00AE6FD5">
              <w:rPr>
                <w:rStyle w:val="SpecialBold"/>
              </w:rPr>
              <w:t xml:space="preserve">4) </w:t>
            </w:r>
          </w:p>
        </w:tc>
      </w:tr>
      <w:tr w:rsidTr="000C1B3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E6FD5" w:rsidP="00AE6FD5">
            <w:pPr>
              <w:pStyle w:val="BodyText"/>
            </w:pPr>
            <w:r w:rsidRPr="00AE6FD5">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AE6FD5">
            <w:pPr>
              <w:pStyle w:val="BodyText"/>
              <w:rPr>
                <w:lang w:val="en-NZ"/>
              </w:rPr>
            </w:pPr>
            <w:r w:rsidRPr="00AE6FD5">
              <w:rPr>
                <w:rStyle w:val="SpecialBold"/>
              </w:rPr>
              <w:t>4.1)</w:t>
            </w:r>
          </w:p>
        </w:tc>
      </w:tr>
      <w:tr w:rsidTr="000C1B3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AE6FD5" w:rsidP="00AE6FD5">
            <w:pPr>
              <w:pStyle w:val="BodyText"/>
            </w:pPr>
            <w:r w:rsidRPr="00AE6FD5">
              <w:t>Granting of competency in this unit shall be made only after competency in the following unit(s) has/have been confirmed.</w:t>
            </w:r>
          </w:p>
          <w:p w:rsidR="00000000" w:rsidRPr="00AE6FD5" w:rsidP="00AE6FD5">
            <w:pPr>
              <w:pStyle w:val="BodyText"/>
            </w:pPr>
            <w:r w:rsidRPr="00AE6FD5">
              <w:t>Where pre-requisite pathways have been identified. All competencies in the Common Unit Group must be have been completed.</w:t>
            </w:r>
          </w:p>
          <w:p w:rsidR="00000000" w:rsidRPr="00AE6FD5" w:rsidP="00AE6FD5">
            <w:pPr>
              <w:pStyle w:val="BodyText"/>
            </w:pPr>
            <w:r w:rsidRPr="00AE6FD5">
              <w:t>There are no pre-requisite units</w:t>
            </w:r>
          </w:p>
        </w:tc>
      </w:tr>
    </w:tbl>
    <w:p w:rsidR="00000000" w:rsidRPr="00AE6FD5" w:rsidP="00AE6FD5">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0C1B35">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AE6FD5" w:rsidP="00AE6FD5">
            <w:pPr>
              <w:pStyle w:val="BodyText"/>
            </w:pPr>
            <w:r w:rsidRPr="00AE6FD5">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AE6FD5">
            <w:pPr>
              <w:pStyle w:val="BodyText"/>
              <w:rPr>
                <w:lang w:val="en-NZ"/>
              </w:rPr>
            </w:pPr>
            <w:r w:rsidRPr="00AE6FD5">
              <w:rPr>
                <w:rStyle w:val="SpecialBold"/>
              </w:rPr>
              <w:t xml:space="preserve">4.2) </w:t>
            </w:r>
          </w:p>
        </w:tc>
      </w:tr>
      <w:tr w:rsidTr="000C1B3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AE6FD5">
            <w:pPr>
              <w:pStyle w:val="BodyText"/>
              <w:rPr>
                <w:lang w:val="en-NZ"/>
              </w:rPr>
            </w:pPr>
            <w:r w:rsidRPr="00AE6FD5">
              <w:t>Participants are best equipped to achieve this unit if they have reading, writing and numeracy skills indicated by the following levels. A description of what each level entails is provided in Section 2.3.1 Language, Literacy and Numeracy.</w:t>
            </w:r>
          </w:p>
        </w:tc>
      </w:tr>
      <w:tr w:rsidTr="000C1B3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E6FD5">
            <w:pPr>
              <w:pStyle w:val="BodyText"/>
              <w:rPr>
                <w:lang w:val="en-NZ"/>
              </w:rPr>
            </w:pPr>
            <w:r w:rsidRPr="00AE6FD5">
              <w:t>Reading</w:t>
            </w:r>
          </w:p>
        </w:tc>
        <w:tc>
          <w:tcPr>
            <w:tcW w:w="810" w:type="dxa"/>
            <w:tcBorders>
              <w:top w:val="nil"/>
              <w:left w:val="nil"/>
              <w:bottom w:val="nil"/>
              <w:right w:val="nil"/>
            </w:tcBorders>
            <w:tcMar>
              <w:top w:w="0" w:type="dxa"/>
              <w:left w:w="62" w:type="dxa"/>
              <w:bottom w:w="0" w:type="dxa"/>
              <w:right w:w="62" w:type="dxa"/>
            </w:tcMar>
          </w:tcPr>
          <w:p w:rsidR="00000000" w:rsidP="00AE6FD5">
            <w:pPr>
              <w:pStyle w:val="BodyText"/>
              <w:rPr>
                <w:lang w:val="en-NZ"/>
              </w:rPr>
            </w:pPr>
            <w:r w:rsidRPr="00AE6FD5">
              <w:t>2</w:t>
            </w:r>
          </w:p>
        </w:tc>
        <w:tc>
          <w:tcPr>
            <w:tcW w:w="990" w:type="dxa"/>
            <w:tcBorders>
              <w:top w:val="nil"/>
              <w:left w:val="nil"/>
              <w:bottom w:val="nil"/>
              <w:right w:val="nil"/>
            </w:tcBorders>
            <w:tcMar>
              <w:top w:w="0" w:type="dxa"/>
              <w:left w:w="62" w:type="dxa"/>
              <w:bottom w:w="0" w:type="dxa"/>
              <w:right w:w="62" w:type="dxa"/>
            </w:tcMar>
          </w:tcPr>
          <w:p w:rsidR="00000000" w:rsidP="00AE6FD5">
            <w:pPr>
              <w:pStyle w:val="BodyText"/>
              <w:rPr>
                <w:lang w:val="en-NZ"/>
              </w:rPr>
            </w:pPr>
            <w:r w:rsidRPr="00AE6FD5">
              <w:t>Writing</w:t>
            </w:r>
          </w:p>
        </w:tc>
        <w:tc>
          <w:tcPr>
            <w:tcW w:w="900" w:type="dxa"/>
            <w:tcBorders>
              <w:top w:val="nil"/>
              <w:left w:val="nil"/>
              <w:bottom w:val="nil"/>
              <w:right w:val="nil"/>
            </w:tcBorders>
            <w:tcMar>
              <w:top w:w="0" w:type="dxa"/>
              <w:left w:w="62" w:type="dxa"/>
              <w:bottom w:w="0" w:type="dxa"/>
              <w:right w:w="62" w:type="dxa"/>
            </w:tcMar>
          </w:tcPr>
          <w:p w:rsidR="00000000" w:rsidP="00AE6FD5">
            <w:pPr>
              <w:pStyle w:val="BodyText"/>
              <w:rPr>
                <w:lang w:val="en-NZ"/>
              </w:rPr>
            </w:pPr>
            <w:r w:rsidRPr="00AE6FD5">
              <w:t>2</w:t>
            </w:r>
          </w:p>
        </w:tc>
        <w:tc>
          <w:tcPr>
            <w:tcW w:w="1260" w:type="dxa"/>
            <w:tcBorders>
              <w:top w:val="nil"/>
              <w:left w:val="nil"/>
              <w:bottom w:val="nil"/>
              <w:right w:val="nil"/>
            </w:tcBorders>
            <w:tcMar>
              <w:top w:w="0" w:type="dxa"/>
              <w:left w:w="62" w:type="dxa"/>
              <w:bottom w:w="0" w:type="dxa"/>
              <w:right w:w="62" w:type="dxa"/>
            </w:tcMar>
          </w:tcPr>
          <w:p w:rsidR="00000000" w:rsidP="00AE6FD5">
            <w:pPr>
              <w:pStyle w:val="BodyText"/>
              <w:rPr>
                <w:lang w:val="en-NZ"/>
              </w:rPr>
            </w:pPr>
            <w:r w:rsidRPr="00AE6FD5">
              <w:t>Numeracy</w:t>
            </w:r>
          </w:p>
        </w:tc>
        <w:tc>
          <w:tcPr>
            <w:tcW w:w="720" w:type="dxa"/>
            <w:tcBorders>
              <w:top w:val="nil"/>
              <w:left w:val="nil"/>
              <w:bottom w:val="nil"/>
              <w:right w:val="nil"/>
            </w:tcBorders>
            <w:tcMar>
              <w:top w:w="0" w:type="dxa"/>
              <w:left w:w="62" w:type="dxa"/>
              <w:bottom w:w="0" w:type="dxa"/>
              <w:right w:w="62" w:type="dxa"/>
            </w:tcMar>
          </w:tcPr>
          <w:p w:rsidR="00000000" w:rsidRPr="00AE6FD5" w:rsidP="00AE6FD5">
            <w:pPr>
              <w:pStyle w:val="BodyText"/>
            </w:pPr>
            <w:r w:rsidRPr="00AE6FD5">
              <w:t>2</w:t>
            </w:r>
          </w:p>
        </w:tc>
      </w:tr>
    </w:tbl>
    <w:p w:rsidR="00000000" w:rsidRPr="00AE6FD5" w:rsidP="00AE6FD5">
      <w:pPr>
        <w:pStyle w:val="BodyText"/>
      </w:pPr>
    </w:p>
    <w:p w:rsidR="00000000" w:rsidRPr="00AE6FD5" w:rsidP="00AE6FD5">
      <w:pPr>
        <w:pStyle w:val="AllowPageBreak"/>
      </w:pPr>
    </w:p>
    <w:p w:rsidR="00000000" w:rsidRPr="00AE6FD5" w:rsidP="00AE6FD5">
      <w:pPr>
        <w:pStyle w:val="Heading1"/>
      </w:pPr>
      <w:bookmarkStart w:id="6" w:name="O_470904"/>
      <w:bookmarkEnd w:id="6"/>
      <w:r w:rsidRPr="00AE6FD5">
        <w:t>Employability Skills Information</w:t>
      </w:r>
    </w:p>
    <w:tbl>
      <w:tblPr>
        <w:tblW w:w="0" w:type="auto"/>
        <w:tblLayout w:type="fixed"/>
        <w:tblCellMar>
          <w:left w:w="62" w:type="dxa"/>
          <w:right w:w="62" w:type="dxa"/>
        </w:tblCellMar>
        <w:tblLook w:val="0000"/>
      </w:tblPr>
      <w:tblGrid>
        <w:gridCol w:w="2700"/>
        <w:gridCol w:w="5760"/>
      </w:tblGrid>
      <w:tr w:rsidTr="000C1B3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E6FD5" w:rsidP="00AE6FD5">
            <w:pPr>
              <w:pStyle w:val="BodyText"/>
            </w:pPr>
            <w:r w:rsidRPr="00AE6FD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AE6FD5">
            <w:pPr>
              <w:pStyle w:val="BodyText"/>
              <w:rPr>
                <w:lang w:val="en-NZ"/>
              </w:rPr>
            </w:pPr>
            <w:r w:rsidRPr="00AE6FD5">
              <w:rPr>
                <w:rStyle w:val="SpecialBold"/>
              </w:rPr>
              <w:t xml:space="preserve">5) </w:t>
            </w:r>
          </w:p>
        </w:tc>
      </w:tr>
      <w:tr w:rsidTr="000C1B3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E6FD5" w:rsidP="00AE6FD5">
            <w:pPr>
              <w:pStyle w:val="BodyText"/>
            </w:pPr>
            <w:r w:rsidRPr="00AE6FD5">
              <w:t>The required outcomes described in this unit of competency contain applicable facets of Employability Skills. The Employability Skills Summary of t</w:t>
            </w:r>
            <w:r w:rsidRPr="00AE6FD5">
              <w:t>he qualification in which this unit of competency is packaged will assist in identifying Employability Skill requirements.</w:t>
            </w:r>
          </w:p>
        </w:tc>
      </w:tr>
    </w:tbl>
    <w:p w:rsidR="00000000" w:rsidRPr="00AE6FD5" w:rsidP="00AE6FD5">
      <w:pPr>
        <w:pStyle w:val="BodyText"/>
      </w:pPr>
    </w:p>
    <w:p w:rsidR="00000000" w:rsidRPr="00AE6FD5" w:rsidP="00AE6FD5">
      <w:pPr>
        <w:pStyle w:val="AllowPageBreak"/>
      </w:pPr>
    </w:p>
    <w:p w:rsidR="00000000" w:rsidRPr="00AE6FD5" w:rsidP="00AE6FD5">
      <w:pPr>
        <w:pStyle w:val="Heading1"/>
      </w:pPr>
      <w:bookmarkStart w:id="7" w:name="O_470903"/>
      <w:bookmarkEnd w:id="7"/>
      <w:r w:rsidRPr="00AE6FD5">
        <w:t>Elements and Performance Criteria Pre-Content</w:t>
      </w:r>
    </w:p>
    <w:tbl>
      <w:tblPr>
        <w:tblW w:w="0" w:type="auto"/>
        <w:tblLayout w:type="fixed"/>
        <w:tblCellMar>
          <w:left w:w="62" w:type="dxa"/>
          <w:right w:w="62" w:type="dxa"/>
        </w:tblCellMar>
        <w:tblLook w:val="0000"/>
      </w:tblPr>
      <w:tblGrid>
        <w:gridCol w:w="2700"/>
        <w:gridCol w:w="5760"/>
      </w:tblGrid>
      <w:tr w:rsidTr="000C1B3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E6FD5">
            <w:pPr>
              <w:pStyle w:val="BodyText"/>
              <w:rPr>
                <w:lang w:val="en-NZ"/>
              </w:rPr>
            </w:pPr>
            <w:r w:rsidRPr="00AE6FD5">
              <w:rPr>
                <w:rStyle w:val="SpecialBold"/>
              </w:rPr>
              <w:t>6)</w:t>
            </w:r>
            <w:r w:rsidRPr="00AE6FD5">
              <w:t xml:space="preserve"> Elements describe the essential outcomes of a competency standard</w:t>
            </w:r>
            <w:r w:rsidRPr="00AE6FD5">
              <w:t xml:space="preserve"> unit</w:t>
            </w:r>
          </w:p>
        </w:tc>
        <w:tc>
          <w:tcPr>
            <w:tcW w:w="5760" w:type="dxa"/>
            <w:tcBorders>
              <w:top w:val="nil"/>
              <w:left w:val="nil"/>
              <w:bottom w:val="nil"/>
              <w:right w:val="nil"/>
            </w:tcBorders>
            <w:tcMar>
              <w:top w:w="0" w:type="dxa"/>
              <w:left w:w="62" w:type="dxa"/>
              <w:bottom w:w="0" w:type="dxa"/>
              <w:right w:w="62" w:type="dxa"/>
            </w:tcMar>
          </w:tcPr>
          <w:p w:rsidR="00000000" w:rsidRPr="00AE6FD5" w:rsidP="00AE6FD5">
            <w:pPr>
              <w:pStyle w:val="BodyText"/>
            </w:pPr>
            <w:r w:rsidRPr="00AE6FD5">
              <w:t>Performance Criteria describe the required performance needed to demonstrate achievement of the element. Assessment of performance is to be consistent with the Evidence Guide.</w:t>
            </w:r>
          </w:p>
        </w:tc>
      </w:tr>
    </w:tbl>
    <w:p w:rsidR="00000000" w:rsidRPr="00AE6FD5" w:rsidP="00AE6FD5">
      <w:pPr>
        <w:pStyle w:val="BodyText"/>
      </w:pPr>
    </w:p>
    <w:p w:rsidR="00000000" w:rsidRPr="00AE6FD5" w:rsidP="00AE6FD5">
      <w:pPr>
        <w:pStyle w:val="AllowPageBreak"/>
      </w:pPr>
    </w:p>
    <w:p w:rsidR="00000000" w:rsidRPr="00AE6FD5" w:rsidP="00AE6FD5">
      <w:pPr>
        <w:pStyle w:val="Heading1"/>
      </w:pPr>
      <w:bookmarkStart w:id="8" w:name="O_470902"/>
      <w:bookmarkEnd w:id="8"/>
      <w:r w:rsidRPr="00AE6FD5">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C1B3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E6FD5" w:rsidP="00AE6FD5">
            <w:pPr>
              <w:pStyle w:val="BodyText"/>
            </w:pPr>
            <w:r w:rsidRPr="00AE6FD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E6FD5">
            <w:pPr>
              <w:pStyle w:val="BodyText"/>
              <w:rPr>
                <w:lang w:val="en-NZ"/>
              </w:rPr>
            </w:pPr>
            <w:r w:rsidRPr="00AE6FD5">
              <w:rPr>
                <w:rStyle w:val="SpecialBold"/>
              </w:rPr>
              <w:t>PERFORMANC</w:t>
            </w:r>
            <w:r w:rsidRPr="00AE6FD5">
              <w:rPr>
                <w:rStyle w:val="SpecialBold"/>
              </w:rPr>
              <w:t>E CRITERIA</w:t>
            </w:r>
          </w:p>
        </w:tc>
      </w:tr>
      <w:tr w:rsidTr="000C1B3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E6FD5">
            <w:pPr>
              <w:pStyle w:val="BodyText"/>
              <w:rPr>
                <w:lang w:val="en-NZ"/>
              </w:rPr>
            </w:pPr>
            <w:r w:rsidRPr="00AE6FD5">
              <w:t>1</w:t>
            </w:r>
          </w:p>
        </w:tc>
        <w:tc>
          <w:tcPr>
            <w:tcW w:w="2296" w:type="dxa"/>
            <w:vMerge w:val="restart"/>
            <w:tcBorders>
              <w:top w:val="nil"/>
              <w:left w:val="nil"/>
              <w:bottom w:val="nil"/>
              <w:right w:val="nil"/>
            </w:tcBorders>
            <w:tcMar>
              <w:top w:w="0" w:type="dxa"/>
              <w:left w:w="62" w:type="dxa"/>
              <w:bottom w:w="0" w:type="dxa"/>
              <w:right w:w="62" w:type="dxa"/>
            </w:tcMar>
          </w:tcPr>
          <w:p w:rsidR="00000000" w:rsidP="00AE6FD5">
            <w:pPr>
              <w:pStyle w:val="BodyText"/>
              <w:rPr>
                <w:lang w:val="en-NZ"/>
              </w:rPr>
            </w:pPr>
            <w:r w:rsidRPr="00AE6FD5">
              <w:t>Select and use equipment</w:t>
            </w:r>
          </w:p>
        </w:tc>
        <w:tc>
          <w:tcPr>
            <w:tcW w:w="900" w:type="dxa"/>
            <w:tcBorders>
              <w:top w:val="nil"/>
              <w:left w:val="nil"/>
              <w:bottom w:val="nil"/>
              <w:right w:val="nil"/>
            </w:tcBorders>
            <w:tcMar>
              <w:top w:w="0" w:type="dxa"/>
              <w:left w:w="62" w:type="dxa"/>
              <w:bottom w:w="0" w:type="dxa"/>
              <w:right w:w="62" w:type="dxa"/>
            </w:tcMar>
          </w:tcPr>
          <w:p w:rsidR="00000000" w:rsidP="00AE6FD5">
            <w:pPr>
              <w:pStyle w:val="BodyText"/>
              <w:rPr>
                <w:lang w:val="en-NZ"/>
              </w:rPr>
            </w:pPr>
            <w:r w:rsidRPr="00AE6FD5">
              <w:t>1.1</w:t>
            </w:r>
          </w:p>
        </w:tc>
        <w:tc>
          <w:tcPr>
            <w:tcW w:w="4860" w:type="dxa"/>
            <w:tcBorders>
              <w:top w:val="nil"/>
              <w:left w:val="nil"/>
              <w:bottom w:val="nil"/>
              <w:right w:val="nil"/>
            </w:tcBorders>
            <w:tcMar>
              <w:top w:w="0" w:type="dxa"/>
              <w:left w:w="62" w:type="dxa"/>
              <w:bottom w:w="0" w:type="dxa"/>
              <w:right w:w="62" w:type="dxa"/>
            </w:tcMar>
          </w:tcPr>
          <w:p w:rsidR="00000000" w:rsidP="00AE6FD5">
            <w:pPr>
              <w:pStyle w:val="BodyText"/>
              <w:rPr>
                <w:lang w:val="en-NZ"/>
              </w:rPr>
            </w:pPr>
            <w:r w:rsidRPr="00AE6FD5">
              <w:t xml:space="preserve">The appropriate medium for communication is determined from analysis of available options, previous communication or current circumstances and used in accordance with enterprise guidelines, manufacturer’s and/or </w:t>
            </w:r>
            <w:r w:rsidRPr="00AE6FD5">
              <w:t>site requirements</w:t>
            </w:r>
          </w:p>
        </w:tc>
      </w:tr>
      <w:tr w:rsidTr="000C1B3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6FD5">
            <w:pPr>
              <w:pStyle w:val="BodyText"/>
              <w:rPr>
                <w:lang w:val="en-NZ"/>
              </w:rPr>
            </w:pPr>
            <w:r w:rsidRPr="00AE6FD5">
              <w:t>1.2</w:t>
            </w:r>
          </w:p>
        </w:tc>
        <w:tc>
          <w:tcPr>
            <w:tcW w:w="4860" w:type="dxa"/>
            <w:tcBorders>
              <w:top w:val="nil"/>
              <w:left w:val="nil"/>
              <w:bottom w:val="nil"/>
              <w:right w:val="nil"/>
            </w:tcBorders>
            <w:tcMar>
              <w:top w:w="0" w:type="dxa"/>
              <w:left w:w="62" w:type="dxa"/>
              <w:bottom w:w="0" w:type="dxa"/>
              <w:right w:w="62" w:type="dxa"/>
            </w:tcMar>
          </w:tcPr>
          <w:p w:rsidR="00000000" w:rsidP="00AE6FD5">
            <w:pPr>
              <w:pStyle w:val="BodyText"/>
              <w:rPr>
                <w:lang w:val="en-NZ"/>
              </w:rPr>
            </w:pPr>
            <w:r w:rsidRPr="00AE6FD5">
              <w:t>Communication procedures for opening, passing and receiving messages are conducted to enterprise/site requirements</w:t>
            </w:r>
          </w:p>
        </w:tc>
      </w:tr>
      <w:tr w:rsidTr="000C1B3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6FD5">
            <w:pPr>
              <w:pStyle w:val="BodyText"/>
              <w:rPr>
                <w:lang w:val="en-NZ"/>
              </w:rPr>
            </w:pPr>
            <w:r w:rsidRPr="00AE6FD5">
              <w:t>1.3</w:t>
            </w:r>
          </w:p>
        </w:tc>
        <w:tc>
          <w:tcPr>
            <w:tcW w:w="4860" w:type="dxa"/>
            <w:tcBorders>
              <w:top w:val="nil"/>
              <w:left w:val="nil"/>
              <w:bottom w:val="nil"/>
              <w:right w:val="nil"/>
            </w:tcBorders>
            <w:tcMar>
              <w:top w:w="0" w:type="dxa"/>
              <w:left w:w="62" w:type="dxa"/>
              <w:bottom w:w="0" w:type="dxa"/>
              <w:right w:w="62" w:type="dxa"/>
            </w:tcMar>
          </w:tcPr>
          <w:p w:rsidR="00000000" w:rsidP="00AE6FD5">
            <w:pPr>
              <w:pStyle w:val="BodyText"/>
              <w:rPr>
                <w:lang w:val="en-NZ"/>
              </w:rPr>
            </w:pPr>
            <w:r w:rsidRPr="00AE6FD5">
              <w:t>Communication equipment is used in accordance with manufacturer’s and enterprise/site procedures</w:t>
            </w:r>
          </w:p>
        </w:tc>
      </w:tr>
      <w:tr w:rsidTr="000C1B3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6FD5">
            <w:pPr>
              <w:pStyle w:val="BodyText"/>
              <w:rPr>
                <w:lang w:val="en-NZ"/>
              </w:rPr>
            </w:pPr>
            <w:r w:rsidRPr="00AE6FD5">
              <w:t>1.4</w:t>
            </w:r>
          </w:p>
        </w:tc>
        <w:tc>
          <w:tcPr>
            <w:tcW w:w="4860" w:type="dxa"/>
            <w:tcBorders>
              <w:top w:val="nil"/>
              <w:left w:val="nil"/>
              <w:bottom w:val="nil"/>
              <w:right w:val="nil"/>
            </w:tcBorders>
            <w:tcMar>
              <w:top w:w="0" w:type="dxa"/>
              <w:left w:w="62" w:type="dxa"/>
              <w:bottom w:w="0" w:type="dxa"/>
              <w:right w:w="62" w:type="dxa"/>
            </w:tcMar>
          </w:tcPr>
          <w:p w:rsidR="00000000" w:rsidP="00AE6FD5">
            <w:pPr>
              <w:pStyle w:val="BodyText"/>
              <w:rPr>
                <w:lang w:val="en-NZ"/>
              </w:rPr>
            </w:pPr>
            <w:r w:rsidRPr="00AE6FD5">
              <w:t>Limitations of communication links are identified and alternatives considered</w:t>
            </w:r>
          </w:p>
        </w:tc>
      </w:tr>
      <w:tr w:rsidTr="000C1B3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6FD5">
            <w:pPr>
              <w:pStyle w:val="BodyText"/>
              <w:rPr>
                <w:lang w:val="en-NZ"/>
              </w:rPr>
            </w:pPr>
            <w:r w:rsidRPr="00AE6FD5">
              <w:t>1.5</w:t>
            </w:r>
          </w:p>
        </w:tc>
        <w:tc>
          <w:tcPr>
            <w:tcW w:w="4860" w:type="dxa"/>
            <w:tcBorders>
              <w:top w:val="nil"/>
              <w:left w:val="nil"/>
              <w:bottom w:val="nil"/>
              <w:right w:val="nil"/>
            </w:tcBorders>
            <w:tcMar>
              <w:top w:w="0" w:type="dxa"/>
              <w:left w:w="62" w:type="dxa"/>
              <w:bottom w:w="0" w:type="dxa"/>
              <w:right w:w="62" w:type="dxa"/>
            </w:tcMar>
          </w:tcPr>
          <w:p w:rsidR="00000000" w:rsidP="00AE6FD5">
            <w:pPr>
              <w:pStyle w:val="BodyText"/>
              <w:rPr>
                <w:lang w:val="en-NZ"/>
              </w:rPr>
            </w:pPr>
            <w:r w:rsidRPr="00AE6FD5">
              <w:t>Communication is conveyed logically, concisely and articulately in a manner appropriate to the situation to satisfy job requirements</w:t>
            </w:r>
          </w:p>
        </w:tc>
      </w:tr>
      <w:tr w:rsidTr="000C1B3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6FD5">
            <w:pPr>
              <w:pStyle w:val="BodyText"/>
              <w:rPr>
                <w:lang w:val="en-NZ"/>
              </w:rPr>
            </w:pPr>
            <w:r w:rsidRPr="00AE6FD5">
              <w:t>1.6</w:t>
            </w:r>
          </w:p>
        </w:tc>
        <w:tc>
          <w:tcPr>
            <w:tcW w:w="4860" w:type="dxa"/>
            <w:tcBorders>
              <w:top w:val="nil"/>
              <w:left w:val="nil"/>
              <w:bottom w:val="nil"/>
              <w:right w:val="nil"/>
            </w:tcBorders>
            <w:tcMar>
              <w:top w:w="0" w:type="dxa"/>
              <w:left w:w="62" w:type="dxa"/>
              <w:bottom w:w="0" w:type="dxa"/>
              <w:right w:w="62" w:type="dxa"/>
            </w:tcMar>
          </w:tcPr>
          <w:p w:rsidR="00000000" w:rsidP="00AE6FD5">
            <w:pPr>
              <w:pStyle w:val="BodyText"/>
              <w:rPr>
                <w:lang w:val="en-NZ"/>
              </w:rPr>
            </w:pPr>
            <w:r w:rsidRPr="00AE6FD5">
              <w:t>Where a</w:t>
            </w:r>
            <w:r w:rsidRPr="00AE6FD5">
              <w:t>ppropriate, the teams and individuals roles and responsibilities within the team are identified and, where required, assist in the provision of the on-the-job training</w:t>
            </w:r>
          </w:p>
        </w:tc>
      </w:tr>
      <w:tr w:rsidTr="000C1B3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E6FD5">
            <w:pPr>
              <w:pStyle w:val="BodyText"/>
              <w:rPr>
                <w:lang w:val="en-NZ"/>
              </w:rPr>
            </w:pPr>
            <w:r w:rsidRPr="00AE6FD5">
              <w:t>2</w:t>
            </w:r>
          </w:p>
        </w:tc>
        <w:tc>
          <w:tcPr>
            <w:tcW w:w="2296" w:type="dxa"/>
            <w:vMerge w:val="restart"/>
            <w:tcBorders>
              <w:top w:val="nil"/>
              <w:left w:val="nil"/>
              <w:bottom w:val="nil"/>
              <w:right w:val="nil"/>
            </w:tcBorders>
            <w:tcMar>
              <w:top w:w="0" w:type="dxa"/>
              <w:left w:w="62" w:type="dxa"/>
              <w:bottom w:w="0" w:type="dxa"/>
              <w:right w:w="62" w:type="dxa"/>
            </w:tcMar>
          </w:tcPr>
          <w:p w:rsidR="00000000" w:rsidP="00AE6FD5">
            <w:pPr>
              <w:pStyle w:val="BodyText"/>
              <w:rPr>
                <w:lang w:val="en-NZ"/>
              </w:rPr>
            </w:pPr>
            <w:r w:rsidRPr="00AE6FD5">
              <w:t xml:space="preserve">Monitor communication </w:t>
            </w:r>
            <w:r w:rsidRPr="00AE6FD5">
              <w:br/>
              <w:t>system</w:t>
            </w:r>
          </w:p>
        </w:tc>
        <w:tc>
          <w:tcPr>
            <w:tcW w:w="900" w:type="dxa"/>
            <w:tcBorders>
              <w:top w:val="nil"/>
              <w:left w:val="nil"/>
              <w:bottom w:val="nil"/>
              <w:right w:val="nil"/>
            </w:tcBorders>
            <w:tcMar>
              <w:top w:w="0" w:type="dxa"/>
              <w:left w:w="62" w:type="dxa"/>
              <w:bottom w:w="0" w:type="dxa"/>
              <w:right w:w="62" w:type="dxa"/>
            </w:tcMar>
          </w:tcPr>
          <w:p w:rsidR="00000000" w:rsidP="00AE6FD5">
            <w:pPr>
              <w:pStyle w:val="BodyText"/>
              <w:rPr>
                <w:lang w:val="en-NZ"/>
              </w:rPr>
            </w:pPr>
            <w:r w:rsidRPr="00AE6FD5">
              <w:t>2.1</w:t>
            </w:r>
          </w:p>
        </w:tc>
        <w:tc>
          <w:tcPr>
            <w:tcW w:w="4860" w:type="dxa"/>
            <w:tcBorders>
              <w:top w:val="nil"/>
              <w:left w:val="nil"/>
              <w:bottom w:val="nil"/>
              <w:right w:val="nil"/>
            </w:tcBorders>
            <w:tcMar>
              <w:top w:w="0" w:type="dxa"/>
              <w:left w:w="62" w:type="dxa"/>
              <w:bottom w:w="0" w:type="dxa"/>
              <w:right w:w="62" w:type="dxa"/>
            </w:tcMar>
          </w:tcPr>
          <w:p w:rsidR="00000000" w:rsidP="00AE6FD5">
            <w:pPr>
              <w:pStyle w:val="BodyText"/>
              <w:rPr>
                <w:lang w:val="en-NZ"/>
              </w:rPr>
            </w:pPr>
            <w:r w:rsidRPr="00AE6FD5">
              <w:t>Data acquisition is monitored and assessed for qual</w:t>
            </w:r>
            <w:r w:rsidRPr="00AE6FD5">
              <w:t>ity and action taken in accordance with enterprise/site procedures</w:t>
            </w:r>
          </w:p>
        </w:tc>
      </w:tr>
      <w:tr w:rsidTr="000C1B3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6FD5">
            <w:pPr>
              <w:pStyle w:val="BodyText"/>
              <w:rPr>
                <w:lang w:val="en-NZ"/>
              </w:rPr>
            </w:pPr>
            <w:r w:rsidRPr="00AE6FD5">
              <w:t>2.2</w:t>
            </w:r>
          </w:p>
        </w:tc>
        <w:tc>
          <w:tcPr>
            <w:tcW w:w="4860" w:type="dxa"/>
            <w:tcBorders>
              <w:top w:val="nil"/>
              <w:left w:val="nil"/>
              <w:bottom w:val="nil"/>
              <w:right w:val="nil"/>
            </w:tcBorders>
            <w:tcMar>
              <w:top w:w="0" w:type="dxa"/>
              <w:left w:w="62" w:type="dxa"/>
              <w:bottom w:w="0" w:type="dxa"/>
              <w:right w:w="62" w:type="dxa"/>
            </w:tcMar>
          </w:tcPr>
          <w:p w:rsidR="00000000" w:rsidP="00AE6FD5">
            <w:pPr>
              <w:pStyle w:val="BodyText"/>
              <w:rPr>
                <w:lang w:val="en-NZ"/>
              </w:rPr>
            </w:pPr>
            <w:r w:rsidRPr="00AE6FD5">
              <w:t>Effectiveness of communication, including understanding of the intent and content, is confirmed between the parties in accordance with site requirements</w:t>
            </w:r>
          </w:p>
        </w:tc>
      </w:tr>
      <w:tr w:rsidTr="000C1B3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6FD5">
            <w:pPr>
              <w:pStyle w:val="BodyText"/>
              <w:rPr>
                <w:lang w:val="en-NZ"/>
              </w:rPr>
            </w:pPr>
            <w:r w:rsidRPr="00AE6FD5">
              <w:t>2.3</w:t>
            </w:r>
          </w:p>
        </w:tc>
        <w:tc>
          <w:tcPr>
            <w:tcW w:w="4860" w:type="dxa"/>
            <w:tcBorders>
              <w:top w:val="nil"/>
              <w:left w:val="nil"/>
              <w:bottom w:val="nil"/>
              <w:right w:val="nil"/>
            </w:tcBorders>
            <w:tcMar>
              <w:top w:w="0" w:type="dxa"/>
              <w:left w:w="62" w:type="dxa"/>
              <w:bottom w:w="0" w:type="dxa"/>
              <w:right w:w="62" w:type="dxa"/>
            </w:tcMar>
          </w:tcPr>
          <w:p w:rsidR="00000000" w:rsidP="00AE6FD5">
            <w:pPr>
              <w:pStyle w:val="BodyText"/>
              <w:rPr>
                <w:lang w:val="en-NZ"/>
              </w:rPr>
            </w:pPr>
            <w:r w:rsidRPr="00AE6FD5">
              <w:t>The need for communication assistance is identified and addressed in accordance with job requirements</w:t>
            </w:r>
          </w:p>
        </w:tc>
      </w:tr>
      <w:tr w:rsidTr="000C1B3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E6FD5">
            <w:pPr>
              <w:pStyle w:val="BodyText"/>
              <w:rPr>
                <w:lang w:val="en-NZ"/>
              </w:rPr>
            </w:pPr>
            <w:r w:rsidRPr="00AE6FD5">
              <w:t>3</w:t>
            </w:r>
          </w:p>
        </w:tc>
        <w:tc>
          <w:tcPr>
            <w:tcW w:w="2296" w:type="dxa"/>
            <w:tcBorders>
              <w:top w:val="nil"/>
              <w:left w:val="nil"/>
              <w:bottom w:val="nil"/>
              <w:right w:val="nil"/>
            </w:tcBorders>
            <w:tcMar>
              <w:top w:w="0" w:type="dxa"/>
              <w:left w:w="62" w:type="dxa"/>
              <w:bottom w:w="0" w:type="dxa"/>
              <w:right w:w="62" w:type="dxa"/>
            </w:tcMar>
          </w:tcPr>
          <w:p w:rsidR="00000000" w:rsidP="00AE6FD5">
            <w:pPr>
              <w:pStyle w:val="BodyText"/>
              <w:rPr>
                <w:lang w:val="en-NZ"/>
              </w:rPr>
            </w:pPr>
            <w:r w:rsidRPr="00AE6FD5">
              <w:t>Complete documentation</w:t>
            </w:r>
          </w:p>
        </w:tc>
        <w:tc>
          <w:tcPr>
            <w:tcW w:w="900" w:type="dxa"/>
            <w:tcBorders>
              <w:top w:val="nil"/>
              <w:left w:val="nil"/>
              <w:bottom w:val="nil"/>
              <w:right w:val="nil"/>
            </w:tcBorders>
            <w:tcMar>
              <w:top w:w="0" w:type="dxa"/>
              <w:left w:w="62" w:type="dxa"/>
              <w:bottom w:w="0" w:type="dxa"/>
              <w:right w:w="62" w:type="dxa"/>
            </w:tcMar>
          </w:tcPr>
          <w:p w:rsidR="00000000" w:rsidP="00AE6FD5">
            <w:pPr>
              <w:pStyle w:val="BodyText"/>
              <w:rPr>
                <w:lang w:val="en-NZ"/>
              </w:rPr>
            </w:pPr>
            <w:r w:rsidRPr="00AE6FD5">
              <w:t>3.1</w:t>
            </w:r>
          </w:p>
        </w:tc>
        <w:tc>
          <w:tcPr>
            <w:tcW w:w="4860" w:type="dxa"/>
            <w:tcBorders>
              <w:top w:val="nil"/>
              <w:left w:val="nil"/>
              <w:bottom w:val="nil"/>
              <w:right w:val="nil"/>
            </w:tcBorders>
            <w:tcMar>
              <w:top w:w="0" w:type="dxa"/>
              <w:left w:w="62" w:type="dxa"/>
              <w:bottom w:w="0" w:type="dxa"/>
              <w:right w:w="62" w:type="dxa"/>
            </w:tcMar>
          </w:tcPr>
          <w:p w:rsidR="00000000" w:rsidRPr="00AE6FD5" w:rsidP="00AE6FD5">
            <w:pPr>
              <w:pStyle w:val="BodyText"/>
            </w:pPr>
            <w:r w:rsidRPr="00AE6FD5">
              <w:t>Documentation is updated, logs maintained and equipment problems, abnormalities and status are reported and logged in accord</w:t>
            </w:r>
            <w:r w:rsidRPr="00AE6FD5">
              <w:t>ance with enterprise/site procedures</w:t>
            </w:r>
          </w:p>
        </w:tc>
      </w:tr>
    </w:tbl>
    <w:p w:rsidR="00000000" w:rsidRPr="00AE6FD5" w:rsidP="00AE6FD5">
      <w:pPr>
        <w:pStyle w:val="BodyText"/>
      </w:pPr>
    </w:p>
    <w:p w:rsidR="00000000" w:rsidRPr="00AE6FD5" w:rsidP="00AE6FD5">
      <w:pPr>
        <w:pStyle w:val="AllowPageBreak"/>
      </w:pPr>
    </w:p>
    <w:p w:rsidR="00000000" w:rsidRPr="00AE6FD5" w:rsidP="00AE6FD5">
      <w:pPr>
        <w:pStyle w:val="Heading1"/>
      </w:pPr>
      <w:bookmarkStart w:id="9" w:name="O_470910"/>
      <w:bookmarkEnd w:id="9"/>
      <w:r w:rsidRPr="00AE6FD5">
        <w:t>Required Skills and Knowledge</w:t>
      </w:r>
    </w:p>
    <w:tbl>
      <w:tblPr>
        <w:tblW w:w="0" w:type="auto"/>
        <w:tblLayout w:type="fixed"/>
        <w:tblCellMar>
          <w:left w:w="62" w:type="dxa"/>
          <w:right w:w="62" w:type="dxa"/>
        </w:tblCellMar>
        <w:tblLook w:val="0000"/>
      </w:tblPr>
      <w:tblGrid>
        <w:gridCol w:w="8460"/>
      </w:tblGrid>
      <w:tr w:rsidTr="000C1B3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E6FD5">
            <w:pPr>
              <w:pStyle w:val="BodyText"/>
              <w:rPr>
                <w:lang w:val="en-NZ"/>
              </w:rPr>
            </w:pPr>
            <w:r w:rsidRPr="00AE6FD5">
              <w:rPr>
                <w:rStyle w:val="SpecialBold"/>
              </w:rPr>
              <w:t>REQUIRED SKILLS AND KNOWLEDGE</w:t>
            </w:r>
          </w:p>
        </w:tc>
      </w:tr>
      <w:tr w:rsidTr="000C1B35">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AE6FD5" w:rsidP="00AE6FD5">
            <w:pPr>
              <w:pStyle w:val="BodyText"/>
            </w:pPr>
            <w:r w:rsidRPr="00AE6FD5">
              <w:rPr>
                <w:rStyle w:val="SpecialBold"/>
              </w:rPr>
              <w:t>8)</w:t>
            </w:r>
            <w:r w:rsidRPr="00AE6FD5">
              <w:t xml:space="preserve"> This describes the essential skills and knowledge and their level, required for this unit.</w:t>
            </w:r>
          </w:p>
          <w:p w:rsidR="00000000" w:rsidRPr="00AE6FD5" w:rsidP="00AE6FD5">
            <w:pPr>
              <w:pStyle w:val="BodyText"/>
            </w:pPr>
            <w:r w:rsidRPr="00AE6FD5">
              <w:t>Evidence must show that knowledge has been acquired of safe working practices and communication systems.</w:t>
            </w:r>
          </w:p>
          <w:p w:rsidR="00000000" w:rsidRPr="00AE6FD5" w:rsidP="00AE6FD5">
            <w:pPr>
              <w:pStyle w:val="BodyText"/>
            </w:pPr>
            <w:r w:rsidRPr="00AE6FD5">
              <w:t>All knowledge and skills detailed in this unit should be contextualised to current industry practices and technologies.</w:t>
            </w:r>
            <w:r w:rsidRPr="00AE6FD5">
              <w:tab/>
            </w:r>
            <w:r w:rsidRPr="00AE6FD5">
              <w:tab/>
            </w:r>
          </w:p>
          <w:p w:rsidR="00000000" w:rsidRPr="00AE6FD5" w:rsidP="00AE6FD5">
            <w:pPr>
              <w:pStyle w:val="BodyText"/>
            </w:pPr>
            <w:r w:rsidRPr="00AE6FD5">
              <w:t>KS01-PO203B</w:t>
            </w:r>
            <w:r w:rsidRPr="00AE6FD5">
              <w:tab/>
              <w:t>Communication Sys</w:t>
            </w:r>
            <w:r w:rsidRPr="00AE6FD5">
              <w:t>tems</w:t>
            </w:r>
          </w:p>
          <w:p w:rsidR="00000000" w:rsidRPr="00AE6FD5" w:rsidP="00AE6FD5">
            <w:pPr>
              <w:pStyle w:val="BodyText"/>
            </w:pPr>
            <w:r w:rsidRPr="00AE6FD5">
              <w:t>Evidence shall show an understanding of communication systems to an extent indicated by the following aspects:</w:t>
            </w:r>
          </w:p>
          <w:p w:rsidR="00000000" w:rsidRPr="00AE6FD5" w:rsidP="00AE6FD5">
            <w:pPr>
              <w:pStyle w:val="BodyText"/>
            </w:pPr>
            <w:r w:rsidRPr="00AE6FD5">
              <w:t>T1</w:t>
            </w:r>
            <w:r w:rsidRPr="00AE6FD5">
              <w:tab/>
              <w:t>Use of a range of electronic communication tools including:</w:t>
            </w:r>
          </w:p>
          <w:p w:rsidR="00000000" w:rsidRPr="00AE6FD5" w:rsidP="00AE6FD5">
            <w:pPr>
              <w:pStyle w:val="ListBullet"/>
            </w:pPr>
            <w:r w:rsidRPr="00AE6FD5">
              <w:t>facsimile;</w:t>
            </w:r>
          </w:p>
          <w:p w:rsidR="00000000" w:rsidRPr="00AE6FD5" w:rsidP="00AE6FD5">
            <w:pPr>
              <w:pStyle w:val="ListBullet"/>
            </w:pPr>
            <w:r w:rsidRPr="00AE6FD5">
              <w:t>telephone (POTS and mobile);</w:t>
            </w:r>
          </w:p>
          <w:p w:rsidR="00000000" w:rsidRPr="00AE6FD5" w:rsidP="00AE6FD5">
            <w:pPr>
              <w:pStyle w:val="ListBullet"/>
            </w:pPr>
            <w:r w:rsidRPr="00AE6FD5">
              <w:t>two-way radio or CB radio;</w:t>
            </w:r>
          </w:p>
          <w:p w:rsidR="00000000" w:rsidRPr="00AE6FD5" w:rsidP="00AE6FD5">
            <w:pPr>
              <w:pStyle w:val="ListBullet"/>
            </w:pPr>
            <w:r w:rsidRPr="00AE6FD5">
              <w:t>SMS messa</w:t>
            </w:r>
            <w:r w:rsidRPr="00AE6FD5">
              <w:t>ging;</w:t>
            </w:r>
          </w:p>
          <w:p w:rsidR="00000000" w:rsidRPr="00AE6FD5" w:rsidP="00AE6FD5">
            <w:pPr>
              <w:pStyle w:val="ListBullet"/>
            </w:pPr>
            <w:r w:rsidRPr="00AE6FD5">
              <w:t>personal computers;</w:t>
            </w:r>
          </w:p>
          <w:p w:rsidR="00000000" w:rsidRPr="00AE6FD5" w:rsidP="00AE6FD5">
            <w:pPr>
              <w:pStyle w:val="ListBullet"/>
            </w:pPr>
            <w:r w:rsidRPr="00AE6FD5">
              <w:t>e-mail;</w:t>
            </w:r>
          </w:p>
          <w:p w:rsidR="00000000" w:rsidRPr="00AE6FD5" w:rsidP="00AE6FD5">
            <w:pPr>
              <w:pStyle w:val="ListBullet"/>
            </w:pPr>
            <w:r w:rsidRPr="00AE6FD5">
              <w:t>Internet/Intranet messaging;</w:t>
            </w:r>
          </w:p>
          <w:p w:rsidR="00000000" w:rsidRPr="00AE6FD5" w:rsidP="00AE6FD5">
            <w:pPr>
              <w:pStyle w:val="ListBullet"/>
            </w:pPr>
            <w:r w:rsidRPr="00AE6FD5">
              <w:t>pager; and</w:t>
            </w:r>
          </w:p>
          <w:p w:rsidR="00000000" w:rsidRPr="00AE6FD5" w:rsidP="00AE6FD5">
            <w:pPr>
              <w:pStyle w:val="ListBullet"/>
            </w:pPr>
            <w:r w:rsidRPr="00AE6FD5">
              <w:t>intercom</w:t>
            </w:r>
          </w:p>
          <w:p w:rsidR="00000000" w:rsidRPr="00AE6FD5" w:rsidP="00AE6FD5">
            <w:pPr>
              <w:pStyle w:val="BodyText"/>
            </w:pPr>
            <w:r w:rsidRPr="00AE6FD5">
              <w:t>according to licensing regulations, enterprise requirements and manufacturers’ instructions.</w:t>
            </w:r>
          </w:p>
          <w:p w:rsidR="00000000" w:rsidRPr="00AE6FD5" w:rsidP="00AE6FD5">
            <w:pPr>
              <w:pStyle w:val="BodyText"/>
            </w:pPr>
            <w:r w:rsidRPr="00AE6FD5">
              <w:t>T2</w:t>
            </w:r>
            <w:r w:rsidRPr="00AE6FD5">
              <w:tab/>
              <w:t>Use of a range of non-electronic communication tools, including:</w:t>
            </w:r>
          </w:p>
          <w:p w:rsidR="00000000" w:rsidRPr="00AE6FD5" w:rsidP="00AE6FD5">
            <w:pPr>
              <w:pStyle w:val="ListBullet"/>
            </w:pPr>
            <w:r w:rsidRPr="00AE6FD5">
              <w:t>spoken communication; and</w:t>
            </w:r>
          </w:p>
          <w:p w:rsidR="00000000" w:rsidRPr="00AE6FD5" w:rsidP="00AE6FD5">
            <w:pPr>
              <w:pStyle w:val="ListBullet"/>
            </w:pPr>
            <w:r w:rsidRPr="00AE6FD5">
              <w:t>hand signals.</w:t>
            </w:r>
          </w:p>
          <w:p w:rsidR="00000000" w:rsidRPr="00AE6FD5" w:rsidP="00AE6FD5">
            <w:pPr>
              <w:pStyle w:val="BodyText"/>
            </w:pPr>
            <w:r w:rsidRPr="00AE6FD5">
              <w:t>T3</w:t>
            </w:r>
            <w:r w:rsidRPr="00AE6FD5">
              <w:tab/>
              <w:t>Communication protocols and procedures required when using the following mediums:</w:t>
            </w:r>
          </w:p>
          <w:p w:rsidR="00000000" w:rsidRPr="00AE6FD5" w:rsidP="00AE6FD5">
            <w:pPr>
              <w:pStyle w:val="ListBullet"/>
            </w:pPr>
            <w:r w:rsidRPr="00AE6FD5">
              <w:t>facsimile;</w:t>
            </w:r>
          </w:p>
          <w:p w:rsidR="00000000" w:rsidRPr="00AE6FD5" w:rsidP="00AE6FD5">
            <w:pPr>
              <w:pStyle w:val="ListBullet"/>
            </w:pPr>
            <w:r w:rsidRPr="00AE6FD5">
              <w:t>telephone (POTS and mobile)</w:t>
            </w:r>
          </w:p>
          <w:p w:rsidR="00000000" w:rsidRPr="00AE6FD5" w:rsidP="00AE6FD5">
            <w:pPr>
              <w:pStyle w:val="ListBullet2"/>
            </w:pPr>
            <w:r w:rsidRPr="00AE6FD5">
              <w:t>answering procedures</w:t>
            </w:r>
          </w:p>
          <w:p w:rsidR="00000000" w:rsidRPr="00AE6FD5" w:rsidP="00AE6FD5">
            <w:pPr>
              <w:pStyle w:val="ListBullet2"/>
            </w:pPr>
            <w:r w:rsidRPr="00AE6FD5">
              <w:t>limitations of mobile phones including black/dead spots;</w:t>
            </w:r>
          </w:p>
          <w:p w:rsidR="00000000" w:rsidRPr="00AE6FD5" w:rsidP="00AE6FD5">
            <w:pPr>
              <w:pStyle w:val="ListBullet"/>
            </w:pPr>
            <w:r w:rsidRPr="00AE6FD5">
              <w:t>two-way radio or CB radio</w:t>
            </w:r>
          </w:p>
          <w:p w:rsidR="00000000" w:rsidRPr="00AE6FD5" w:rsidP="00AE6FD5">
            <w:pPr>
              <w:pStyle w:val="ListBullet2"/>
            </w:pPr>
            <w:r w:rsidRPr="00AE6FD5">
              <w:t>call signs</w:t>
            </w:r>
          </w:p>
          <w:p w:rsidR="00000000" w:rsidRPr="00AE6FD5" w:rsidP="00AE6FD5">
            <w:pPr>
              <w:pStyle w:val="ListBullet2"/>
            </w:pPr>
            <w:r w:rsidRPr="00AE6FD5">
              <w:t>calling in and signing off</w:t>
            </w:r>
          </w:p>
          <w:p w:rsidR="00000000" w:rsidRPr="00AE6FD5" w:rsidP="00AE6FD5">
            <w:pPr>
              <w:pStyle w:val="ListBullet2"/>
            </w:pPr>
            <w:r w:rsidRPr="00AE6FD5">
              <w:t>Privacy and security</w:t>
            </w:r>
          </w:p>
          <w:p w:rsidR="00000000" w:rsidRPr="00AE6FD5" w:rsidP="00AE6FD5">
            <w:pPr>
              <w:pStyle w:val="ListBullet2"/>
            </w:pPr>
            <w:r w:rsidRPr="00AE6FD5">
              <w:t>using common channels and repeaters</w:t>
            </w:r>
          </w:p>
          <w:p w:rsidR="00000000" w:rsidRPr="00AE6FD5" w:rsidP="00AE6FD5">
            <w:pPr>
              <w:pStyle w:val="ListBullet2"/>
            </w:pPr>
            <w:r w:rsidRPr="00AE6FD5">
              <w:t>limitations including black/dead spots;</w:t>
            </w:r>
          </w:p>
          <w:p w:rsidR="00000000" w:rsidRPr="00AE6FD5" w:rsidP="00AE6FD5">
            <w:pPr>
              <w:pStyle w:val="ListBullet"/>
            </w:pPr>
            <w:r w:rsidRPr="00AE6FD5">
              <w:t>SMS messaging;</w:t>
            </w:r>
          </w:p>
          <w:p w:rsidR="00000000" w:rsidRPr="00AE6FD5" w:rsidP="00AE6FD5">
            <w:pPr>
              <w:pStyle w:val="ListBullet"/>
            </w:pPr>
            <w:r w:rsidRPr="00AE6FD5">
              <w:t>E-mail</w:t>
            </w:r>
          </w:p>
          <w:p w:rsidR="00000000" w:rsidRPr="00AE6FD5" w:rsidP="00AE6FD5">
            <w:pPr>
              <w:pStyle w:val="ListBullet2"/>
            </w:pPr>
            <w:r w:rsidRPr="00AE6FD5">
              <w:t>etiquette;</w:t>
            </w:r>
          </w:p>
          <w:p w:rsidR="00000000" w:rsidRPr="00AE6FD5" w:rsidP="00AE6FD5">
            <w:pPr>
              <w:pStyle w:val="ListBullet"/>
            </w:pPr>
            <w:r w:rsidRPr="00AE6FD5">
              <w:t>Internet/Intranet messaging</w:t>
            </w:r>
          </w:p>
          <w:p w:rsidR="00000000" w:rsidRPr="00AE6FD5" w:rsidP="00AE6FD5">
            <w:pPr>
              <w:pStyle w:val="ListBullet2"/>
            </w:pPr>
            <w:r w:rsidRPr="00AE6FD5">
              <w:t>privacy and security;</w:t>
            </w:r>
          </w:p>
          <w:p w:rsidR="00000000" w:rsidRPr="00AE6FD5" w:rsidP="00AE6FD5">
            <w:pPr>
              <w:pStyle w:val="ListBullet"/>
            </w:pPr>
            <w:r w:rsidRPr="00AE6FD5">
              <w:t>pager;</w:t>
            </w:r>
          </w:p>
          <w:p w:rsidR="00000000" w:rsidRPr="00AE6FD5" w:rsidP="00AE6FD5">
            <w:pPr>
              <w:pStyle w:val="ListBullet"/>
            </w:pPr>
            <w:r w:rsidRPr="00AE6FD5">
              <w:t>intercom;</w:t>
            </w:r>
          </w:p>
          <w:p w:rsidR="00000000" w:rsidRPr="00AE6FD5" w:rsidP="00AE6FD5">
            <w:pPr>
              <w:pStyle w:val="ListBullet"/>
            </w:pPr>
            <w:r w:rsidRPr="00AE6FD5">
              <w:t>report forms;</w:t>
            </w:r>
          </w:p>
          <w:p w:rsidR="00000000" w:rsidRPr="00AE6FD5" w:rsidP="00AE6FD5">
            <w:pPr>
              <w:pStyle w:val="ListBullet"/>
            </w:pPr>
            <w:r w:rsidRPr="00AE6FD5">
              <w:t>log books;</w:t>
            </w:r>
          </w:p>
          <w:p w:rsidR="00000000" w:rsidRPr="00AE6FD5" w:rsidP="00AE6FD5">
            <w:pPr>
              <w:pStyle w:val="BodyText"/>
            </w:pPr>
            <w:r w:rsidRPr="00AE6FD5">
              <w:t>T4</w:t>
            </w:r>
            <w:r w:rsidRPr="00AE6FD5">
              <w:tab/>
              <w:t>Interpersonal communication</w:t>
            </w:r>
          </w:p>
          <w:p w:rsidR="00000000" w:rsidRPr="00AE6FD5" w:rsidP="00AE6FD5">
            <w:pPr>
              <w:pStyle w:val="ListBullet"/>
            </w:pPr>
            <w:r w:rsidRPr="00AE6FD5">
              <w:t>communicating facts clearly;</w:t>
            </w:r>
          </w:p>
          <w:p w:rsidR="00000000" w:rsidRPr="00AE6FD5" w:rsidP="00AE6FD5">
            <w:pPr>
              <w:pStyle w:val="ListBullet"/>
            </w:pPr>
            <w:r w:rsidRPr="00AE6FD5">
              <w:t>communicating technical concepts to non-technical people;</w:t>
            </w:r>
          </w:p>
          <w:p w:rsidR="00000000" w:rsidRPr="00AE6FD5" w:rsidP="00AE6FD5">
            <w:pPr>
              <w:pStyle w:val="ListBullet"/>
            </w:pPr>
            <w:r w:rsidRPr="00AE6FD5">
              <w:t>active listening skills;</w:t>
            </w:r>
          </w:p>
          <w:p w:rsidR="00000000" w:rsidRPr="00AE6FD5" w:rsidP="00AE6FD5">
            <w:pPr>
              <w:pStyle w:val="ListBullet"/>
            </w:pPr>
            <w:r w:rsidRPr="00AE6FD5">
              <w:t>dealing with difficult, angry or irate people;</w:t>
            </w:r>
          </w:p>
          <w:p w:rsidR="00000000" w:rsidRPr="00AE6FD5" w:rsidP="00AE6FD5">
            <w:pPr>
              <w:pStyle w:val="ListBullet"/>
            </w:pPr>
            <w:r w:rsidRPr="00AE6FD5">
              <w:t>on-the-job training techniques.</w:t>
            </w:r>
          </w:p>
          <w:p w:rsidR="00000000" w:rsidRPr="00AE6FD5" w:rsidP="00AE6FD5">
            <w:pPr>
              <w:pStyle w:val="BodyText"/>
            </w:pPr>
            <w:r w:rsidRPr="00AE6FD5">
              <w:t>T5</w:t>
            </w:r>
            <w:r w:rsidRPr="00AE6FD5">
              <w:tab/>
              <w:t>Enterprise Recording Procedures</w:t>
            </w:r>
          </w:p>
          <w:p w:rsidR="00000000" w:rsidRPr="00AE6FD5" w:rsidP="00AE6FD5">
            <w:pPr>
              <w:pStyle w:val="ListBullet"/>
            </w:pPr>
            <w:r w:rsidRPr="00AE6FD5">
              <w:t>Reports;</w:t>
            </w:r>
          </w:p>
          <w:p w:rsidR="00000000" w:rsidRPr="00AE6FD5" w:rsidP="00AE6FD5">
            <w:pPr>
              <w:pStyle w:val="ListBullet"/>
            </w:pPr>
            <w:r w:rsidRPr="00AE6FD5">
              <w:t>Logs;</w:t>
            </w:r>
          </w:p>
          <w:p w:rsidR="00000000" w:rsidRPr="00AE6FD5" w:rsidP="00AE6FD5">
            <w:pPr>
              <w:pStyle w:val="ListBullet"/>
            </w:pPr>
            <w:r w:rsidRPr="00AE6FD5">
              <w:t>Databases;</w:t>
            </w:r>
          </w:p>
          <w:p w:rsidR="00000000" w:rsidRPr="00AE6FD5" w:rsidP="00AE6FD5">
            <w:pPr>
              <w:pStyle w:val="ListBullet"/>
            </w:pPr>
            <w:r w:rsidRPr="00AE6FD5">
              <w:t>Escalation procedures</w:t>
            </w:r>
          </w:p>
        </w:tc>
      </w:tr>
    </w:tbl>
    <w:p w:rsidR="00000000" w:rsidRPr="00AE6FD5" w:rsidP="00AE6FD5">
      <w:pPr>
        <w:pStyle w:val="BodyText"/>
      </w:pPr>
    </w:p>
    <w:p w:rsidR="00000000" w:rsidRPr="00AE6FD5" w:rsidP="00AE6FD5">
      <w:pPr>
        <w:pStyle w:val="AllowPageBreak"/>
      </w:pPr>
    </w:p>
    <w:p w:rsidR="00000000" w:rsidRPr="00AE6FD5" w:rsidP="00AE6FD5">
      <w:pPr>
        <w:pStyle w:val="Heading1"/>
      </w:pPr>
      <w:bookmarkStart w:id="10" w:name="O_470905"/>
      <w:bookmarkEnd w:id="10"/>
      <w:r w:rsidRPr="00AE6FD5">
        <w:t>Evidence Guide</w:t>
      </w:r>
    </w:p>
    <w:tbl>
      <w:tblPr>
        <w:tblW w:w="0" w:type="auto"/>
        <w:tblLayout w:type="fixed"/>
        <w:tblCellMar>
          <w:left w:w="62" w:type="dxa"/>
          <w:right w:w="62" w:type="dxa"/>
        </w:tblCellMar>
        <w:tblLook w:val="0000"/>
      </w:tblPr>
      <w:tblGrid>
        <w:gridCol w:w="8460"/>
      </w:tblGrid>
      <w:tr w:rsidTr="000C1B3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E6FD5">
            <w:pPr>
              <w:pStyle w:val="BodyText"/>
              <w:rPr>
                <w:lang w:val="en-NZ"/>
              </w:rPr>
            </w:pPr>
            <w:r w:rsidRPr="00AE6FD5">
              <w:rPr>
                <w:rStyle w:val="SpecialBold"/>
              </w:rPr>
              <w:t>EVIDENCE GUIDE</w:t>
            </w:r>
          </w:p>
        </w:tc>
      </w:tr>
      <w:tr w:rsidTr="000C1B3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E6FD5" w:rsidP="00AE6FD5">
            <w:pPr>
              <w:pStyle w:val="BodyText"/>
            </w:pPr>
            <w:r w:rsidRPr="00AE6FD5">
              <w:rPr>
                <w:rStyle w:val="SpecialBold"/>
              </w:rPr>
              <w:t>9)</w:t>
            </w:r>
            <w:r w:rsidRPr="00AE6FD5">
              <w:t xml:space="preserve"> This provides essential advice f</w:t>
            </w:r>
            <w:r w:rsidRPr="00AE6FD5">
              <w:t>or assessment of the competency standard unit and must be read in conjunction with the Performance Criteria and the Range Statement of the competency standard unit and the Training Package Assessment Guidelines.</w:t>
            </w:r>
          </w:p>
          <w:p w:rsidR="00000000" w:rsidRPr="00AE6FD5" w:rsidP="00AE6FD5">
            <w:pPr>
              <w:pStyle w:val="BodyText"/>
            </w:pPr>
            <w:r w:rsidRPr="00AE6FD5">
              <w:t>The Evidence Guide forms an integral part of</w:t>
            </w:r>
            <w:r w:rsidRPr="00AE6FD5">
              <w:t xml:space="preserve"> this competency standard unit and shall be used in conjunction with all components parts of this unit and, performed in accordance with the Assessment Guidelines of this Training Package.</w:t>
            </w:r>
          </w:p>
        </w:tc>
      </w:tr>
    </w:tbl>
    <w:p w:rsidR="00000000" w:rsidRPr="00AE6FD5" w:rsidP="00AE6FD5">
      <w:pPr>
        <w:pStyle w:val="BodyText"/>
      </w:pPr>
    </w:p>
    <w:tbl>
      <w:tblPr>
        <w:tblW w:w="0" w:type="auto"/>
        <w:tblLayout w:type="fixed"/>
        <w:tblCellMar>
          <w:left w:w="62" w:type="dxa"/>
          <w:right w:w="62" w:type="dxa"/>
        </w:tblCellMar>
        <w:tblLook w:val="0000"/>
      </w:tblPr>
      <w:tblGrid>
        <w:gridCol w:w="1890"/>
        <w:gridCol w:w="6570"/>
      </w:tblGrid>
      <w:tr w:rsidTr="000C1B3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E6FD5" w:rsidP="00AE6FD5">
            <w:pPr>
              <w:pStyle w:val="BodyText"/>
            </w:pPr>
            <w:r w:rsidRPr="00AE6FD5">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AE6FD5">
            <w:pPr>
              <w:pStyle w:val="BodyText"/>
              <w:rPr>
                <w:lang w:val="en-NZ"/>
              </w:rPr>
            </w:pPr>
            <w:r w:rsidRPr="00AE6FD5">
              <w:rPr>
                <w:rStyle w:val="SpecialBold"/>
              </w:rPr>
              <w:t>9.1)</w:t>
            </w:r>
          </w:p>
        </w:tc>
      </w:tr>
      <w:tr w:rsidTr="000C1B3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E6FD5" w:rsidP="00AE6FD5">
            <w:pPr>
              <w:pStyle w:val="BodyText"/>
            </w:pPr>
            <w:r w:rsidRPr="00AE6FD5">
              <w:t>Longitudinal competency development approaches to assessment, such as Profiling, require data to be reliably gathered in a form that can be consistently interpreted over time. This approach is best utilised in Apprenticeship programs and reduces assessment</w:t>
            </w:r>
            <w:r w:rsidRPr="00AE6FD5">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AE6FD5">
              <w:t>tency in a realistically simulated work environment. It is recognised that, in some circumstances, assessment in part or full can occur outside the workplace. However, it must be in accord with Industry and, Regulatory policy in this regard.</w:t>
            </w:r>
          </w:p>
          <w:p w:rsidR="00000000" w:rsidRPr="00AE6FD5" w:rsidP="00AE6FD5">
            <w:pPr>
              <w:pStyle w:val="BodyText"/>
            </w:pPr>
            <w:r w:rsidRPr="00AE6FD5">
              <w:t>Methods chosen</w:t>
            </w:r>
            <w:r w:rsidRPr="00AE6FD5">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AE6FD5">
              <w:t>equired and the critical nature of the competencies being assessed.</w:t>
            </w:r>
          </w:p>
          <w:p w:rsidR="00000000" w:rsidRPr="00AE6FD5" w:rsidP="00AE6FD5">
            <w:pPr>
              <w:pStyle w:val="BodyText"/>
            </w:pPr>
            <w:r w:rsidRPr="00AE6FD5">
              <w:t>The critical safety nature of working with electricity, electrical equipment, gas or any other hazardous substance/material carries risk in deeming a person competent. Hence, sources of ev</w:t>
            </w:r>
            <w:r w:rsidRPr="00AE6FD5">
              <w:t>idence need to be ‘rich’ in nature to minimise error in judgment.</w:t>
            </w:r>
          </w:p>
          <w:p w:rsidR="00000000" w:rsidRPr="00AE6FD5" w:rsidP="00AE6FD5">
            <w:pPr>
              <w:pStyle w:val="BodyText"/>
            </w:pPr>
            <w:r w:rsidRPr="00AE6FD5">
              <w:t>Activities associated with normal every day work have a bearing on the decision as to how much and how detailed the data gathered will contribute to its ‘richness’. Some skills are more crit</w:t>
            </w:r>
            <w:r w:rsidRPr="00AE6FD5">
              <w:t>ical to safety and operational requirements while the same skills may be more or less frequently practised. These points are raised for the assessors to consider when choosing an assessment method and developing assessment instruments. Sample assessment in</w:t>
            </w:r>
            <w:r w:rsidRPr="00AE6FD5">
              <w:t>struments are included for Assessors in the Assessment Guidelines of this Training Package.</w:t>
            </w:r>
          </w:p>
        </w:tc>
      </w:tr>
    </w:tbl>
    <w:p w:rsidR="00000000" w:rsidRPr="00AE6FD5" w:rsidP="00AE6FD5">
      <w:pPr>
        <w:pStyle w:val="BodyText"/>
      </w:pPr>
    </w:p>
    <w:tbl>
      <w:tblPr>
        <w:tblW w:w="0" w:type="auto"/>
        <w:tblLayout w:type="fixed"/>
        <w:tblCellMar>
          <w:left w:w="62" w:type="dxa"/>
          <w:right w:w="62" w:type="dxa"/>
        </w:tblCellMar>
        <w:tblLook w:val="0000"/>
      </w:tblPr>
      <w:tblGrid>
        <w:gridCol w:w="1890"/>
        <w:gridCol w:w="6570"/>
      </w:tblGrid>
      <w:tr w:rsidTr="000C1B3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E6FD5" w:rsidP="00AE6FD5">
            <w:pPr>
              <w:pStyle w:val="BodyText"/>
            </w:pPr>
            <w:r w:rsidRPr="00AE6FD5">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AE6FD5">
            <w:pPr>
              <w:pStyle w:val="BodyText"/>
              <w:rPr>
                <w:lang w:val="en-NZ"/>
              </w:rPr>
            </w:pPr>
            <w:r w:rsidRPr="00AE6FD5">
              <w:rPr>
                <w:rStyle w:val="SpecialBold"/>
              </w:rPr>
              <w:t>9.2)</w:t>
            </w:r>
          </w:p>
        </w:tc>
      </w:tr>
      <w:tr w:rsidTr="000C1B3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E6FD5" w:rsidP="00AE6FD5">
            <w:pPr>
              <w:pStyle w:val="BodyText"/>
            </w:pPr>
            <w:r w:rsidRPr="00AE6FD5">
              <w:t>Before the critical aspects of evidence are considered all pre-requisites shal</w:t>
            </w:r>
            <w:r w:rsidRPr="00AE6FD5">
              <w:t>l be met.</w:t>
            </w:r>
          </w:p>
          <w:p w:rsidR="00000000" w:rsidRPr="00AE6FD5" w:rsidP="00AE6FD5">
            <w:pPr>
              <w:pStyle w:val="BodyText"/>
            </w:pPr>
            <w:r w:rsidRPr="00AE6FD5">
              <w:t xml:space="preserve">Evidence for competence in this unit shall be considered holistically.  Each Element and associated Performance Criteria shall be demonstrated on at least two occasions in accordance with the “Assessment Guidelines – UEP12”.  Evidence shall also </w:t>
            </w:r>
            <w:r w:rsidRPr="00AE6FD5">
              <w:t>comprise:</w:t>
            </w:r>
          </w:p>
          <w:p w:rsidR="00000000" w:rsidRPr="00AE6FD5" w:rsidP="00AE6FD5">
            <w:pPr>
              <w:pStyle w:val="ListBullet"/>
            </w:pPr>
            <w:r w:rsidRPr="00AE6FD5">
              <w:t>Each Element on at least two occasions</w:t>
            </w:r>
          </w:p>
          <w:p w:rsidR="00000000" w:rsidRPr="00AE6FD5" w:rsidP="00AE6FD5">
            <w:pPr>
              <w:pStyle w:val="ListBullet"/>
            </w:pPr>
            <w:r w:rsidRPr="00AE6FD5">
              <w:t>A representative body of work performance demonstr</w:t>
            </w:r>
            <w:r w:rsidRPr="00AE6FD5">
              <w:t>ated within the timeframes typically expected of the discipline, work function and industrial environment. In particular this shall incorporate evidence that shows a candidate is able to:</w:t>
            </w:r>
          </w:p>
          <w:p w:rsidR="00000000" w:rsidRPr="00AE6FD5" w:rsidP="00AE6FD5">
            <w:pPr>
              <w:pStyle w:val="ListBullet2"/>
            </w:pPr>
            <w:r w:rsidRPr="00AE6FD5">
              <w:t>Implement Occupational Health and Safety workplace procedures and p</w:t>
            </w:r>
            <w:r w:rsidRPr="00AE6FD5">
              <w:t>ractices including the use of risk control measures as specified in the Performance Criteria and Range Statement</w:t>
            </w:r>
          </w:p>
          <w:p w:rsidR="00000000" w:rsidRPr="00AE6FD5" w:rsidP="00AE6FD5">
            <w:pPr>
              <w:pStyle w:val="ListBullet2"/>
            </w:pPr>
            <w:r w:rsidRPr="00AE6FD5">
              <w:t>Apply sustainable energy principles and practices as specified in the Performance Criteria and Range Statement</w:t>
            </w:r>
          </w:p>
          <w:p w:rsidR="00000000" w:rsidRPr="00AE6FD5" w:rsidP="00AE6FD5">
            <w:pPr>
              <w:pStyle w:val="ListBullet2"/>
            </w:pPr>
            <w:r w:rsidRPr="00AE6FD5">
              <w:t xml:space="preserve">Demonstrate an understanding of </w:t>
            </w:r>
            <w:r w:rsidRPr="00AE6FD5">
              <w:t>the Essential Knowledge and Associated Skills as described in 6) Essential Knowledge and Associated Skills of this unit</w:t>
            </w:r>
          </w:p>
          <w:p w:rsidR="00000000" w:rsidRPr="00AE6FD5" w:rsidP="00AE6FD5">
            <w:pPr>
              <w:pStyle w:val="ListBullet2"/>
            </w:pPr>
            <w:r w:rsidRPr="00AE6FD5">
              <w:t>Demonstrate an appropriate level of employability skills</w:t>
            </w:r>
          </w:p>
          <w:p w:rsidR="00000000" w:rsidRPr="00AE6FD5" w:rsidP="00AE6FD5">
            <w:pPr>
              <w:pStyle w:val="ListBullet2"/>
            </w:pPr>
            <w:r w:rsidRPr="00AE6FD5">
              <w:t>Conduct work observing the relevant Anti Discrimination legislation, regulation</w:t>
            </w:r>
            <w:r w:rsidRPr="00AE6FD5">
              <w:t>s, polices and workplace procedures</w:t>
            </w:r>
          </w:p>
          <w:p w:rsidR="00000000" w:rsidRPr="00AE6FD5" w:rsidP="00AE6FD5">
            <w:pPr>
              <w:pStyle w:val="ListBullet"/>
            </w:pPr>
            <w:r w:rsidRPr="00AE6FD5">
              <w:t>Demonstrated performance across a representative range of contexts from the prescribed items below:</w:t>
            </w:r>
          </w:p>
          <w:p w:rsidR="00000000" w:rsidRPr="00AE6FD5" w:rsidP="00AE6FD5">
            <w:pPr>
              <w:pStyle w:val="ListBullet2"/>
            </w:pPr>
            <w:r w:rsidRPr="00AE6FD5">
              <w:t>Knowledge and application of relevant sections of: Occupational, health and safety legislation; Statutory legislation;</w:t>
            </w:r>
            <w:r w:rsidRPr="00AE6FD5">
              <w:t xml:space="preserve"> Enterprise/site safety procedures; Enterprise/site emergency procedures</w:t>
            </w:r>
          </w:p>
          <w:p w:rsidR="00000000" w:rsidRPr="00AE6FD5" w:rsidP="00AE6FD5">
            <w:pPr>
              <w:pStyle w:val="ListBullet2"/>
            </w:pPr>
            <w:r w:rsidRPr="00AE6FD5">
              <w:t>Acknowledging and prioritising fault communication</w:t>
            </w:r>
          </w:p>
          <w:p w:rsidR="00000000" w:rsidRPr="00AE6FD5" w:rsidP="00AE6FD5">
            <w:pPr>
              <w:pStyle w:val="ListBullet2"/>
            </w:pPr>
            <w:r w:rsidRPr="00AE6FD5">
              <w:t>Selecting and applying communication systems</w:t>
            </w:r>
          </w:p>
          <w:p w:rsidR="00000000" w:rsidRPr="00AE6FD5" w:rsidP="00AE6FD5">
            <w:pPr>
              <w:pStyle w:val="ListBullet2"/>
            </w:pPr>
            <w:r w:rsidRPr="00AE6FD5">
              <w:t>Monitoring communication systems</w:t>
            </w:r>
          </w:p>
          <w:p w:rsidR="00000000" w:rsidRPr="00AE6FD5" w:rsidP="00AE6FD5">
            <w:pPr>
              <w:pStyle w:val="ListBullet2"/>
            </w:pPr>
            <w:r w:rsidRPr="00AE6FD5">
              <w:t>Dealing with an unplanned event by drawing on Essentia</w:t>
            </w:r>
            <w:r w:rsidRPr="00AE6FD5">
              <w:t>l Knowledge and Skills to provide appropriate solutions incorporated in the holistic assessment with the above listed items.</w:t>
            </w:r>
          </w:p>
        </w:tc>
      </w:tr>
    </w:tbl>
    <w:p w:rsidR="00000000" w:rsidRPr="00AE6FD5" w:rsidP="00AE6FD5">
      <w:pPr>
        <w:pStyle w:val="BodyText"/>
      </w:pPr>
    </w:p>
    <w:tbl>
      <w:tblPr>
        <w:tblW w:w="0" w:type="auto"/>
        <w:tblLayout w:type="fixed"/>
        <w:tblCellMar>
          <w:left w:w="62" w:type="dxa"/>
          <w:right w:w="62" w:type="dxa"/>
        </w:tblCellMar>
        <w:tblLook w:val="0000"/>
      </w:tblPr>
      <w:tblGrid>
        <w:gridCol w:w="1890"/>
        <w:gridCol w:w="6570"/>
      </w:tblGrid>
      <w:tr w:rsidTr="000C1B35">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AE6FD5" w:rsidP="00AE6FD5">
            <w:pPr>
              <w:pStyle w:val="BodyText"/>
            </w:pPr>
            <w:r w:rsidRPr="00AE6FD5">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AE6FD5">
            <w:pPr>
              <w:pStyle w:val="BodyText"/>
              <w:rPr>
                <w:lang w:val="en-NZ"/>
              </w:rPr>
            </w:pPr>
            <w:r w:rsidRPr="00AE6FD5">
              <w:rPr>
                <w:rStyle w:val="SpecialBold"/>
              </w:rPr>
              <w:t>9.3)</w:t>
            </w:r>
          </w:p>
        </w:tc>
      </w:tr>
      <w:tr w:rsidTr="000C1B35">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E6FD5" w:rsidP="00AE6FD5">
            <w:pPr>
              <w:pStyle w:val="BodyText"/>
            </w:pPr>
            <w:r w:rsidRPr="00AE6FD5">
              <w:t>This unit should be assessed as it relates to normal work practice using procedures, information and resources typical of a workplace. This should include:</w:t>
            </w:r>
          </w:p>
          <w:p w:rsidR="00000000" w:rsidRPr="00AE6FD5" w:rsidP="00AE6FD5">
            <w:pPr>
              <w:pStyle w:val="ListBullet"/>
            </w:pPr>
            <w:r w:rsidRPr="00AE6FD5">
              <w:t>OHS policy and work procedures and instructions</w:t>
            </w:r>
          </w:p>
          <w:p w:rsidR="00000000" w:rsidRPr="00AE6FD5" w:rsidP="00AE6FD5">
            <w:pPr>
              <w:pStyle w:val="ListBullet"/>
            </w:pPr>
            <w:r w:rsidRPr="00AE6FD5">
              <w:t>Suitable work environment, facilities, equipment an</w:t>
            </w:r>
            <w:r w:rsidRPr="00AE6FD5">
              <w:t>d materials to undertake actual work as prescribed by this competency standard unit</w:t>
            </w:r>
          </w:p>
          <w:p w:rsidR="00000000" w:rsidRPr="00AE6FD5" w:rsidP="00AE6FD5">
            <w:pPr>
              <w:pStyle w:val="BodyText"/>
            </w:pPr>
            <w:r w:rsidRPr="00AE6FD5">
              <w:t>Competency Standards should be assessed in the workplace or simulated workplace and under the normal range of workplace conditions.</w:t>
            </w:r>
          </w:p>
          <w:p w:rsidR="00000000" w:rsidRPr="00AE6FD5" w:rsidP="00AE6FD5">
            <w:pPr>
              <w:pStyle w:val="BodyText"/>
            </w:pPr>
            <w:r w:rsidRPr="00AE6FD5">
              <w:t>Assessmen</w:t>
            </w:r>
            <w:r w:rsidRPr="00AE6FD5">
              <w:t>t of this unit will be supported with documentary evidence, by means of endorsement stating type and application of work.</w:t>
            </w:r>
          </w:p>
          <w:p w:rsidR="00000000" w:rsidRPr="00AE6FD5" w:rsidP="00AE6FD5">
            <w:pPr>
              <w:pStyle w:val="BodyText"/>
            </w:pPr>
            <w:r w:rsidRPr="00AE6FD5">
              <w:t xml:space="preserve">In addition to the resources listed above in Context of assessment’, evidence should show competency working in confined spaces, with </w:t>
            </w:r>
            <w:r w:rsidRPr="00AE6FD5">
              <w:t>different types of plant and equipment as well as different structural/construction types and method and in a variety of environments</w:t>
            </w:r>
          </w:p>
        </w:tc>
      </w:tr>
    </w:tbl>
    <w:p w:rsidR="00000000" w:rsidRPr="00AE6FD5" w:rsidP="00AE6FD5">
      <w:pPr>
        <w:pStyle w:val="BodyText"/>
      </w:pPr>
    </w:p>
    <w:tbl>
      <w:tblPr>
        <w:tblW w:w="0" w:type="auto"/>
        <w:tblLayout w:type="fixed"/>
        <w:tblCellMar>
          <w:left w:w="62" w:type="dxa"/>
          <w:right w:w="62" w:type="dxa"/>
        </w:tblCellMar>
        <w:tblLook w:val="0000"/>
      </w:tblPr>
      <w:tblGrid>
        <w:gridCol w:w="1890"/>
        <w:gridCol w:w="6570"/>
      </w:tblGrid>
      <w:tr w:rsidTr="000C1B3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E6FD5" w:rsidP="00AE6FD5">
            <w:pPr>
              <w:pStyle w:val="BodyText"/>
            </w:pPr>
            <w:r w:rsidRPr="00AE6FD5">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AE6FD5">
            <w:pPr>
              <w:pStyle w:val="BodyText"/>
              <w:rPr>
                <w:lang w:val="en-NZ"/>
              </w:rPr>
            </w:pPr>
            <w:r w:rsidRPr="00AE6FD5">
              <w:rPr>
                <w:rStyle w:val="SpecialBold"/>
              </w:rPr>
              <w:t>9.4)</w:t>
            </w:r>
          </w:p>
        </w:tc>
      </w:tr>
      <w:tr w:rsidTr="000C1B3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E6FD5" w:rsidP="00AE6FD5">
            <w:pPr>
              <w:pStyle w:val="BodyText"/>
            </w:pPr>
            <w:r w:rsidRPr="00AE6FD5">
              <w:t>This unit shall be assessed by methods given in Section 1.3.00 Assessment Guidelines.</w:t>
            </w:r>
          </w:p>
          <w:p w:rsidR="00000000" w:rsidRPr="00AE6FD5" w:rsidP="00AE6FD5">
            <w:pPr>
              <w:pStyle w:val="BodyText"/>
            </w:pPr>
            <w:r w:rsidRPr="00AE6FD5">
              <w:t xml:space="preserve">Note: </w:t>
            </w:r>
          </w:p>
          <w:p w:rsidR="00000000" w:rsidRPr="00AE6FD5" w:rsidP="00AE6FD5">
            <w:pPr>
              <w:pStyle w:val="BodyText"/>
            </w:pPr>
            <w:r w:rsidRPr="00AE6FD5">
              <w:t>Competent performance with inherent safe working practices is expected in the Industry to which this competency standard unit applies. This requires that the specified Essential Knowledge and Associated Skills be assessed in a structured environment, whic</w:t>
            </w:r>
            <w:r w:rsidRPr="00AE6FD5">
              <w:t>h is primarily intended for learning/assessment and incorporates all necessary equipment and facilities for learners to develop and demonstrate the Essential Knowledge and Skills described in this unit.</w:t>
            </w:r>
          </w:p>
        </w:tc>
      </w:tr>
    </w:tbl>
    <w:p w:rsidR="00000000" w:rsidRPr="00AE6FD5" w:rsidP="00AE6FD5">
      <w:pPr>
        <w:pStyle w:val="BodyText"/>
      </w:pPr>
    </w:p>
    <w:tbl>
      <w:tblPr>
        <w:tblW w:w="0" w:type="auto"/>
        <w:tblLayout w:type="fixed"/>
        <w:tblCellMar>
          <w:left w:w="62" w:type="dxa"/>
          <w:right w:w="62" w:type="dxa"/>
        </w:tblCellMar>
        <w:tblLook w:val="0000"/>
      </w:tblPr>
      <w:tblGrid>
        <w:gridCol w:w="1890"/>
        <w:gridCol w:w="6570"/>
      </w:tblGrid>
      <w:tr w:rsidTr="000C1B3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E6FD5" w:rsidP="00AE6FD5">
            <w:pPr>
              <w:pStyle w:val="BodyText"/>
            </w:pPr>
            <w:r w:rsidRPr="00AE6FD5">
              <w:rPr>
                <w:rStyle w:val="SpecialBold"/>
              </w:rPr>
              <w:t>Concurrent assessment and relationship with other u</w:t>
            </w:r>
            <w:r w:rsidRPr="00AE6FD5">
              <w:rPr>
                <w:rStyle w:val="SpecialBold"/>
              </w:rPr>
              <w:t>nits</w:t>
            </w:r>
          </w:p>
        </w:tc>
        <w:tc>
          <w:tcPr>
            <w:tcW w:w="6570" w:type="dxa"/>
            <w:tcBorders>
              <w:top w:val="nil"/>
              <w:left w:val="nil"/>
              <w:bottom w:val="nil"/>
              <w:right w:val="nil"/>
            </w:tcBorders>
            <w:tcMar>
              <w:top w:w="0" w:type="dxa"/>
              <w:left w:w="62" w:type="dxa"/>
              <w:bottom w:w="0" w:type="dxa"/>
              <w:right w:w="62" w:type="dxa"/>
            </w:tcMar>
          </w:tcPr>
          <w:p w:rsidR="00000000" w:rsidP="00AE6FD5">
            <w:pPr>
              <w:pStyle w:val="BodyText"/>
              <w:rPr>
                <w:lang w:val="en-NZ"/>
              </w:rPr>
            </w:pPr>
            <w:r w:rsidRPr="00AE6FD5">
              <w:rPr>
                <w:rStyle w:val="SpecialBold"/>
              </w:rPr>
              <w:t>9.5)</w:t>
            </w:r>
          </w:p>
        </w:tc>
      </w:tr>
      <w:tr w:rsidTr="000C1B3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E6FD5" w:rsidP="00AE6FD5">
            <w:pPr>
              <w:pStyle w:val="BodyText"/>
            </w:pPr>
            <w:r w:rsidRPr="00AE6FD5">
              <w:t>There are no recommended concurrent assessments with this unit, however in some cases efficiencies may be gained in terms of learning and assessment effort being concurrently managed with allied competency standard units where listed.</w:t>
            </w:r>
          </w:p>
          <w:p w:rsidR="00000000" w:rsidRPr="00AE6FD5" w:rsidP="00AE6FD5">
            <w:pPr>
              <w:pStyle w:val="BodyText"/>
            </w:pPr>
            <w:r w:rsidRPr="00AE6FD5">
              <w:t>Nil</w:t>
            </w:r>
            <w:r w:rsidRPr="00AE6FD5">
              <w:tab/>
            </w:r>
          </w:p>
        </w:tc>
      </w:tr>
    </w:tbl>
    <w:p w:rsidR="00000000" w:rsidRPr="00AE6FD5" w:rsidP="00AE6FD5">
      <w:pPr>
        <w:pStyle w:val="BodyText"/>
      </w:pPr>
    </w:p>
    <w:p w:rsidR="00000000" w:rsidRPr="00AE6FD5" w:rsidP="00AE6FD5">
      <w:pPr>
        <w:pStyle w:val="AllowPageBreak"/>
      </w:pPr>
    </w:p>
    <w:p w:rsidR="00000000" w:rsidRPr="00AE6FD5" w:rsidP="00AE6FD5">
      <w:pPr>
        <w:pStyle w:val="Heading1"/>
      </w:pPr>
      <w:bookmarkStart w:id="11" w:name="O_470909"/>
      <w:bookmarkEnd w:id="11"/>
      <w:r w:rsidRPr="00AE6FD5">
        <w:t>Range Statement</w:t>
      </w:r>
    </w:p>
    <w:tbl>
      <w:tblPr>
        <w:tblW w:w="0" w:type="auto"/>
        <w:tblLayout w:type="fixed"/>
        <w:tblCellMar>
          <w:left w:w="62" w:type="dxa"/>
          <w:right w:w="62" w:type="dxa"/>
        </w:tblCellMar>
        <w:tblLook w:val="0000"/>
      </w:tblPr>
      <w:tblGrid>
        <w:gridCol w:w="8460"/>
      </w:tblGrid>
      <w:tr w:rsidTr="000C1B3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E6FD5">
            <w:pPr>
              <w:pStyle w:val="BodyText"/>
              <w:rPr>
                <w:lang w:val="en-NZ"/>
              </w:rPr>
            </w:pPr>
            <w:r w:rsidRPr="00AE6FD5">
              <w:rPr>
                <w:rStyle w:val="SpecialBold"/>
              </w:rPr>
              <w:t>RANGE STATEMENT</w:t>
            </w:r>
          </w:p>
        </w:tc>
      </w:tr>
      <w:tr w:rsidTr="000C1B3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E6FD5" w:rsidP="00AE6FD5">
            <w:pPr>
              <w:pStyle w:val="BodyText"/>
            </w:pPr>
            <w:r w:rsidRPr="00AE6FD5">
              <w:rPr>
                <w:rStyle w:val="SpecialBold"/>
              </w:rPr>
              <w:t>10)</w:t>
            </w:r>
            <w:r w:rsidRPr="00AE6FD5">
              <w:t xml:space="preserve"> This relates to the competency standard unit as a whole providing the range of contexts and conditions to which the Perf</w:t>
            </w:r>
            <w:r w:rsidRPr="00AE6FD5">
              <w:t>ormance Criteria apply. It allows for different work environments and situations that will affect performance.</w:t>
            </w:r>
          </w:p>
          <w:p w:rsidR="00000000" w:rsidRPr="00AE6FD5" w:rsidP="00AE6FD5">
            <w:pPr>
              <w:pStyle w:val="BodyText"/>
            </w:pPr>
            <w:r w:rsidRPr="00AE6FD5">
              <w:t>Medium for communications may include facsimile, telephone, radio, other electronic medium, memo, letter, report form, log book, switchboard, e-m</w:t>
            </w:r>
            <w:r w:rsidRPr="00AE6FD5">
              <w:t>ail, pager, intercom, CB, poster, personal contact, signal and body language</w:t>
            </w:r>
          </w:p>
          <w:p w:rsidR="00000000" w:rsidRPr="00AE6FD5" w:rsidP="00AE6FD5">
            <w:pPr>
              <w:pStyle w:val="BodyText"/>
            </w:pPr>
            <w:r w:rsidRPr="00AE6FD5">
              <w:t>Information and documentation sources may include verbal or written communications; enterprise safety rules documentation; enterprise operating instructions; dedicated computer eq</w:t>
            </w:r>
            <w:r w:rsidRPr="00AE6FD5">
              <w:t>uipment; enterprise/site standing and operating instructions; enterprise log books; manufacturer’s operation and maintenance manuals; and equipment and alarm manuals</w:t>
            </w:r>
          </w:p>
          <w:p w:rsidR="00000000" w:rsidRPr="00AE6FD5" w:rsidP="00AE6FD5">
            <w:pPr>
              <w:pStyle w:val="BodyText"/>
            </w:pPr>
            <w:r w:rsidRPr="00AE6FD5">
              <w:t>Communication procedures may include protocol, appropriate forms/log books, telephone answ</w:t>
            </w:r>
            <w:r w:rsidRPr="00AE6FD5">
              <w:t>ering procedure and radio procedure</w:t>
            </w:r>
          </w:p>
          <w:p w:rsidR="00000000" w:rsidRPr="00AE6FD5" w:rsidP="00AE6FD5">
            <w:pPr>
              <w:pStyle w:val="BodyText"/>
            </w:pPr>
            <w:r w:rsidRPr="00AE6FD5">
              <w:t>Limitations may be radio/mobile phone dead spots, weather conditions, customer language barriers, customers lack of technical knowledge and incoherent or irate callers</w:t>
            </w:r>
          </w:p>
          <w:p w:rsidR="00000000" w:rsidRPr="00AE6FD5" w:rsidP="00AE6FD5">
            <w:pPr>
              <w:pStyle w:val="BodyText"/>
            </w:pPr>
            <w:r w:rsidRPr="00AE6FD5">
              <w:t>Generic terms are used throughout this Training Pack</w:t>
            </w:r>
            <w:r w:rsidRPr="00AE6FD5">
              <w:t>age for vocational standard shall be regarded as part of the Range Statement in which competency is demonstrated. The definition of these and other terms are given in Section 2.1 Preliminary Information and Glossaries.</w:t>
            </w:r>
          </w:p>
          <w:p w:rsidR="00000000" w:rsidRPr="00AE6FD5" w:rsidP="00AE6FD5">
            <w:pPr>
              <w:pStyle w:val="BodyText"/>
            </w:pPr>
            <w:r w:rsidRPr="00AE6FD5">
              <w:t>Access skills and knowledge for emplo</w:t>
            </w:r>
            <w:r w:rsidRPr="00AE6FD5">
              <w:t>yment</w:t>
            </w:r>
          </w:p>
          <w:p w:rsidR="00000000" w:rsidRPr="00AE6FD5" w:rsidP="00AE6FD5">
            <w:pPr>
              <w:pStyle w:val="BodyText"/>
            </w:pPr>
            <w:r w:rsidRPr="00AE6FD5">
              <w:t>This unit is not suitable for work entry and is intended for building upon competencies previously acquired.</w:t>
            </w:r>
          </w:p>
        </w:tc>
      </w:tr>
    </w:tbl>
    <w:p w:rsidR="00000000" w:rsidRPr="00AE6FD5" w:rsidP="00AE6FD5">
      <w:pPr>
        <w:pStyle w:val="BodyText"/>
      </w:pPr>
    </w:p>
    <w:p w:rsidR="00000000" w:rsidRPr="00AE6FD5" w:rsidP="00AE6FD5">
      <w:pPr>
        <w:pStyle w:val="AllowPageBreak"/>
      </w:pPr>
    </w:p>
    <w:p w:rsidR="00000000" w:rsidRPr="00AE6FD5" w:rsidP="00AE6FD5">
      <w:pPr>
        <w:pStyle w:val="Heading1"/>
      </w:pPr>
      <w:bookmarkStart w:id="12" w:name="O_470912"/>
      <w:bookmarkEnd w:id="12"/>
      <w:r w:rsidRPr="00AE6FD5">
        <w:t>Unit Sector(s)</w:t>
      </w:r>
    </w:p>
    <w:p w:rsidR="00000000" w:rsidRPr="00AE6FD5" w:rsidP="00AE6FD5">
      <w:pPr>
        <w:pStyle w:val="BodyText"/>
      </w:pPr>
      <w:r w:rsidRPr="00AE6FD5">
        <w:t>Not applicable.</w:t>
      </w:r>
    </w:p>
    <w:p w:rsidR="00000000" w:rsidRPr="00AE6FD5" w:rsidP="00AE6FD5">
      <w:pPr>
        <w:pStyle w:val="AllowPageBreak"/>
      </w:pPr>
    </w:p>
    <w:p w:rsidR="00000000" w:rsidRPr="00AE6FD5" w:rsidP="00AE6FD5">
      <w:pPr>
        <w:pStyle w:val="Heading1"/>
      </w:pPr>
      <w:bookmarkStart w:id="13" w:name="O_470901"/>
      <w:bookmarkEnd w:id="13"/>
      <w:r w:rsidRPr="00AE6FD5">
        <w:t>Competency Field</w:t>
      </w:r>
    </w:p>
    <w:tbl>
      <w:tblPr>
        <w:tblW w:w="0" w:type="auto"/>
        <w:tblLayout w:type="fixed"/>
        <w:tblCellMar>
          <w:left w:w="62" w:type="dxa"/>
          <w:right w:w="62" w:type="dxa"/>
        </w:tblCellMar>
        <w:tblLook w:val="0000"/>
      </w:tblPr>
      <w:tblGrid>
        <w:gridCol w:w="2700"/>
        <w:gridCol w:w="5760"/>
      </w:tblGrid>
      <w:tr w:rsidTr="000C1B3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E6FD5" w:rsidP="00AE6FD5">
            <w:pPr>
              <w:pStyle w:val="BodyText"/>
            </w:pPr>
            <w:r w:rsidRPr="00AE6FD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E6FD5">
            <w:pPr>
              <w:pStyle w:val="BodyText"/>
              <w:rPr>
                <w:lang w:val="en-NZ"/>
              </w:rPr>
            </w:pPr>
            <w:r w:rsidRPr="00AE6FD5">
              <w:rPr>
                <w:rStyle w:val="SpecialBold"/>
              </w:rPr>
              <w:t xml:space="preserve">11) </w:t>
            </w:r>
          </w:p>
        </w:tc>
      </w:tr>
      <w:tr w:rsidTr="000C1B3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E6FD5" w:rsidP="00AE6FD5">
            <w:pPr>
              <w:pStyle w:val="BodyText"/>
            </w:pPr>
            <w:r w:rsidRPr="00AE6FD5">
              <w:t>Operations</w:t>
            </w:r>
          </w:p>
        </w:tc>
      </w:tr>
    </w:tbl>
    <w:p w:rsidR="00000000" w:rsidRPr="00AE6FD5" w:rsidP="00AE6FD5">
      <w:pPr>
        <w:pStyle w:val="BodyText"/>
      </w:pPr>
    </w:p>
    <w:p w:rsidR="00000000" w:rsidRPr="00AE6FD5" w:rsidP="00AE6FD5"/>
    <w:sectPr w:rsidSect="00AE6F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F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1B35" w:rsidP="000C1B3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F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B35" w:rsidP="00AE6FD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C1B35" w:rsidP="00AE6FD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C1B35" w:rsidP="00AE6FD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F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FD5" w:rsidRPr="000C1B35" w:rsidP="000C1B3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F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B35" w:rsidRPr="002D2AF8" w:rsidP="00AE6FD5">
    <w:pPr>
      <w:pStyle w:val="Header"/>
      <w:framePr w:wrap="around"/>
    </w:pPr>
    <w:r>
      <w:fldChar w:fldCharType="begin"/>
    </w:r>
    <w:r>
      <w:instrText xml:space="preserve"> TITLE   \* MERGEFORMAT </w:instrText>
    </w:r>
    <w:r>
      <w:fldChar w:fldCharType="separate"/>
    </w:r>
    <w:r>
      <w:t>UEPOPS203B Operate and monitor communications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0C1B35" w:rsidP="00AE6F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82C8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D274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2CD8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6F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6FD5"/>
    <w:pPr>
      <w:spacing w:before="360" w:after="60"/>
      <w:outlineLvl w:val="0"/>
    </w:pPr>
    <w:rPr>
      <w:sz w:val="32"/>
    </w:rPr>
  </w:style>
  <w:style w:type="paragraph" w:styleId="Heading2">
    <w:name w:val="heading 2"/>
    <w:basedOn w:val="HeadingBase"/>
    <w:next w:val="BodyText"/>
    <w:link w:val="Heading2Char"/>
    <w:qFormat/>
    <w:rsid w:val="00AE6FD5"/>
    <w:pPr>
      <w:keepLines/>
      <w:spacing w:before="240" w:after="120"/>
      <w:outlineLvl w:val="1"/>
    </w:pPr>
    <w:rPr>
      <w:sz w:val="28"/>
      <w:szCs w:val="40"/>
    </w:rPr>
  </w:style>
  <w:style w:type="paragraph" w:styleId="Heading3">
    <w:name w:val="heading 3"/>
    <w:basedOn w:val="HeadingBase"/>
    <w:next w:val="BodyText"/>
    <w:link w:val="Heading3Char"/>
    <w:qFormat/>
    <w:rsid w:val="00AE6FD5"/>
    <w:pPr>
      <w:spacing w:before="180" w:after="120"/>
      <w:outlineLvl w:val="2"/>
    </w:pPr>
    <w:rPr>
      <w:spacing w:val="-10"/>
      <w:kern w:val="32"/>
    </w:rPr>
  </w:style>
  <w:style w:type="paragraph" w:styleId="Heading4">
    <w:name w:val="heading 4"/>
    <w:basedOn w:val="HeadingBase"/>
    <w:next w:val="BodyText"/>
    <w:link w:val="Heading4Char"/>
    <w:qFormat/>
    <w:rsid w:val="00AE6FD5"/>
    <w:pPr>
      <w:spacing w:before="160" w:after="120"/>
      <w:outlineLvl w:val="3"/>
    </w:pPr>
    <w:rPr>
      <w:sz w:val="22"/>
    </w:rPr>
  </w:style>
  <w:style w:type="paragraph" w:styleId="Heading5">
    <w:name w:val="heading 5"/>
    <w:basedOn w:val="HeadingBase"/>
    <w:next w:val="Normal"/>
    <w:link w:val="Heading5Char"/>
    <w:qFormat/>
    <w:rsid w:val="00AE6FD5"/>
    <w:pPr>
      <w:spacing w:before="80"/>
      <w:outlineLvl w:val="4"/>
    </w:pPr>
    <w:rPr>
      <w:color w:val="918585"/>
      <w:sz w:val="20"/>
    </w:rPr>
  </w:style>
  <w:style w:type="paragraph" w:styleId="Heading6">
    <w:name w:val="heading 6"/>
    <w:basedOn w:val="HeadingBase"/>
    <w:next w:val="Normal"/>
    <w:link w:val="Heading6Char"/>
    <w:qFormat/>
    <w:rsid w:val="00AE6FD5"/>
    <w:pPr>
      <w:spacing w:before="60"/>
      <w:outlineLvl w:val="5"/>
    </w:pPr>
    <w:rPr>
      <w:color w:val="918585"/>
      <w:sz w:val="20"/>
    </w:rPr>
  </w:style>
  <w:style w:type="paragraph" w:styleId="Heading7">
    <w:name w:val="heading 7"/>
    <w:basedOn w:val="Normal"/>
    <w:next w:val="Normal"/>
    <w:link w:val="Heading7Char"/>
    <w:qFormat/>
    <w:rsid w:val="00AE6FD5"/>
    <w:pPr>
      <w:ind w:left="720"/>
      <w:outlineLvl w:val="6"/>
    </w:pPr>
    <w:rPr>
      <w:i/>
    </w:rPr>
  </w:style>
  <w:style w:type="paragraph" w:styleId="Heading8">
    <w:name w:val="heading 8"/>
    <w:basedOn w:val="Normal"/>
    <w:next w:val="Normal"/>
    <w:link w:val="Heading8Char"/>
    <w:qFormat/>
    <w:rsid w:val="00AE6FD5"/>
    <w:pPr>
      <w:ind w:left="720"/>
      <w:outlineLvl w:val="7"/>
    </w:pPr>
    <w:rPr>
      <w:i/>
    </w:rPr>
  </w:style>
  <w:style w:type="paragraph" w:styleId="Heading9">
    <w:name w:val="heading 9"/>
    <w:basedOn w:val="Normal"/>
    <w:next w:val="Normal"/>
    <w:link w:val="Heading9Char"/>
    <w:qFormat/>
    <w:rsid w:val="00AE6FD5"/>
    <w:pPr>
      <w:ind w:left="720"/>
      <w:outlineLvl w:val="8"/>
    </w:pPr>
    <w:rPr>
      <w:i/>
    </w:rPr>
  </w:style>
  <w:style w:type="character" w:default="1" w:styleId="DefaultParagraphFont">
    <w:name w:val="Default Paragraph Font"/>
    <w:uiPriority w:val="1"/>
    <w:unhideWhenUsed/>
    <w:rsid w:val="00AE6F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6FD5"/>
  </w:style>
  <w:style w:type="character" w:customStyle="1" w:styleId="Heading1Char">
    <w:name w:val="Heading 1 Char"/>
    <w:basedOn w:val="DefaultParagraphFont"/>
    <w:link w:val="Heading1"/>
    <w:rsid w:val="00AE6FD5"/>
    <w:rPr>
      <w:rFonts w:ascii="Times New Roman" w:eastAsia="Times New Roman" w:hAnsi="Times New Roman" w:cs="Times New Roman"/>
      <w:b/>
      <w:sz w:val="32"/>
      <w:szCs w:val="20"/>
      <w:lang w:eastAsia="en-US"/>
    </w:rPr>
  </w:style>
  <w:style w:type="paragraph" w:styleId="BodyText">
    <w:name w:val="Body Text"/>
    <w:basedOn w:val="Normal"/>
    <w:link w:val="BodyTextChar"/>
    <w:rsid w:val="00AE6F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E6FD5"/>
    <w:rPr>
      <w:rFonts w:ascii="Times New Roman" w:eastAsia="Times New Roman" w:hAnsi="Times New Roman" w:cs="Times New Roman"/>
      <w:sz w:val="24"/>
      <w:lang w:eastAsia="en-US"/>
    </w:rPr>
  </w:style>
  <w:style w:type="paragraph" w:styleId="Footer">
    <w:name w:val="footer"/>
    <w:basedOn w:val="Normal"/>
    <w:link w:val="FooterChar"/>
    <w:rsid w:val="00AE6F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6FD5"/>
    <w:rPr>
      <w:rFonts w:ascii="Times New Roman" w:eastAsia="Times New Roman" w:hAnsi="Times New Roman" w:cs="Times New Roman"/>
      <w:sz w:val="16"/>
      <w:lang w:eastAsia="en-US"/>
    </w:rPr>
  </w:style>
  <w:style w:type="paragraph" w:styleId="ListBullet">
    <w:name w:val="List Bullet"/>
    <w:basedOn w:val="List"/>
    <w:rsid w:val="00AE6FD5"/>
    <w:pPr>
      <w:numPr>
        <w:numId w:val="13"/>
      </w:numPr>
      <w:tabs>
        <w:tab w:val="clear" w:pos="340"/>
      </w:tabs>
      <w:spacing w:before="40" w:after="40"/>
    </w:pPr>
  </w:style>
  <w:style w:type="character" w:customStyle="1" w:styleId="SpecialBold">
    <w:name w:val="Special Bold"/>
    <w:basedOn w:val="DefaultParagraphFont"/>
    <w:rsid w:val="00AE6FD5"/>
    <w:rPr>
      <w:b/>
      <w:spacing w:val="0"/>
    </w:rPr>
  </w:style>
  <w:style w:type="paragraph" w:styleId="ListBullet2">
    <w:name w:val="List Bullet 2"/>
    <w:basedOn w:val="List2"/>
    <w:rsid w:val="00AE6FD5"/>
    <w:pPr>
      <w:numPr>
        <w:numId w:val="14"/>
      </w:numPr>
      <w:tabs>
        <w:tab w:val="clear" w:pos="680"/>
      </w:tabs>
    </w:pPr>
  </w:style>
  <w:style w:type="paragraph" w:customStyle="1" w:styleId="SuperHeading">
    <w:name w:val="SuperHeading"/>
    <w:basedOn w:val="Normal"/>
    <w:rsid w:val="00AE6FD5"/>
    <w:pPr>
      <w:spacing w:before="240" w:after="120"/>
      <w:outlineLvl w:val="0"/>
    </w:pPr>
    <w:rPr>
      <w:rFonts w:ascii="Times New Roman" w:hAnsi="Times New Roman"/>
      <w:b/>
      <w:sz w:val="28"/>
    </w:rPr>
  </w:style>
  <w:style w:type="paragraph" w:customStyle="1" w:styleId="AllowPageBreak">
    <w:name w:val="AllowPageBreak"/>
    <w:rsid w:val="00AE6F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6F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6F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6F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6F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6F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6F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6F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6FD5"/>
    <w:rPr>
      <w:rFonts w:ascii="Courier New" w:eastAsia="Times New Roman" w:hAnsi="Courier New" w:cs="Times New Roman"/>
      <w:i/>
      <w:szCs w:val="20"/>
      <w:lang w:eastAsia="en-US"/>
    </w:rPr>
  </w:style>
  <w:style w:type="paragraph" w:customStyle="1" w:styleId="HeadingBase">
    <w:name w:val="Heading Base"/>
    <w:rsid w:val="00AE6F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6FD5"/>
    <w:pPr>
      <w:tabs>
        <w:tab w:val="right" w:leader="dot" w:pos="9072"/>
      </w:tabs>
      <w:ind w:left="567"/>
    </w:pPr>
    <w:rPr>
      <w:szCs w:val="22"/>
    </w:rPr>
  </w:style>
  <w:style w:type="paragraph" w:customStyle="1" w:styleId="TOCBase">
    <w:name w:val="TOC Base"/>
    <w:rsid w:val="00AE6F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6FD5"/>
    <w:pPr>
      <w:tabs>
        <w:tab w:val="right" w:leader="dot" w:pos="9072"/>
      </w:tabs>
      <w:spacing w:before="40" w:after="40"/>
      <w:ind w:left="284"/>
    </w:pPr>
    <w:rPr>
      <w:rFonts w:ascii="Times New Roman" w:hAnsi="Times New Roman"/>
    </w:rPr>
  </w:style>
  <w:style w:type="paragraph" w:styleId="TOC1">
    <w:name w:val="toc 1"/>
    <w:basedOn w:val="TOCBase"/>
    <w:next w:val="Normal"/>
    <w:rsid w:val="00AE6FD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E6FD5"/>
    <w:pPr>
      <w:spacing w:before="5040"/>
      <w:jc w:val="center"/>
    </w:pPr>
    <w:rPr>
      <w:sz w:val="48"/>
      <w:szCs w:val="72"/>
      <w:lang w:val="en-US"/>
    </w:rPr>
  </w:style>
  <w:style w:type="character" w:customStyle="1" w:styleId="TitleChar">
    <w:name w:val="Title Char"/>
    <w:basedOn w:val="DefaultParagraphFont"/>
    <w:link w:val="Title"/>
    <w:rsid w:val="00AE6F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6FD5"/>
    <w:pPr>
      <w:tabs>
        <w:tab w:val="left" w:pos="3600"/>
        <w:tab w:val="left" w:pos="3958"/>
      </w:tabs>
    </w:pPr>
  </w:style>
  <w:style w:type="paragraph" w:styleId="List">
    <w:name w:val="List"/>
    <w:basedOn w:val="BodyText"/>
    <w:next w:val="BodyText"/>
    <w:rsid w:val="00AE6FD5"/>
    <w:pPr>
      <w:tabs>
        <w:tab w:val="left" w:pos="340"/>
      </w:tabs>
      <w:spacing w:before="60" w:after="60"/>
      <w:ind w:left="340" w:hanging="340"/>
    </w:pPr>
  </w:style>
  <w:style w:type="paragraph" w:customStyle="1" w:styleId="Note">
    <w:name w:val="Note"/>
    <w:basedOn w:val="BodyText"/>
    <w:rsid w:val="00AE6F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6FD5"/>
    <w:pPr>
      <w:framePr w:wrap="auto" w:hAnchor="text" w:y="6049"/>
    </w:pPr>
    <w:rPr>
      <w:color w:val="000000"/>
      <w:sz w:val="40"/>
    </w:rPr>
  </w:style>
  <w:style w:type="paragraph" w:customStyle="1" w:styleId="TOCTitle">
    <w:name w:val="TOCTitle"/>
    <w:basedOn w:val="Heading1"/>
    <w:rsid w:val="00AE6FD5"/>
    <w:pPr>
      <w:spacing w:after="240"/>
      <w:jc w:val="center"/>
      <w:outlineLvl w:val="9"/>
    </w:pPr>
    <w:rPr>
      <w:caps/>
    </w:rPr>
  </w:style>
  <w:style w:type="paragraph" w:customStyle="1" w:styleId="Version">
    <w:name w:val="Version"/>
    <w:rsid w:val="00AE6F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6FD5"/>
    <w:pPr>
      <w:keepNext w:val="0"/>
      <w:tabs>
        <w:tab w:val="right" w:pos="4176"/>
      </w:tabs>
      <w:ind w:left="198" w:hanging="198"/>
    </w:pPr>
    <w:rPr>
      <w:rFonts w:ascii="Garamond" w:hAnsi="Garamond"/>
    </w:rPr>
  </w:style>
  <w:style w:type="paragraph" w:styleId="IndexHeading">
    <w:name w:val="index heading"/>
    <w:basedOn w:val="Normal"/>
    <w:next w:val="Index1"/>
    <w:semiHidden/>
    <w:rsid w:val="00AE6FD5"/>
    <w:pPr>
      <w:spacing w:before="120" w:after="120"/>
    </w:pPr>
    <w:rPr>
      <w:rFonts w:ascii="Arial" w:hAnsi="Arial"/>
      <w:b/>
      <w:color w:val="918585"/>
      <w:sz w:val="24"/>
    </w:rPr>
  </w:style>
  <w:style w:type="paragraph" w:styleId="Header">
    <w:name w:val="header"/>
    <w:basedOn w:val="Normal"/>
    <w:link w:val="HeaderChar"/>
    <w:rsid w:val="00AE6F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6FD5"/>
    <w:rPr>
      <w:rFonts w:ascii="Times New Roman" w:eastAsia="Times New Roman" w:hAnsi="Times New Roman" w:cs="Times New Roman"/>
      <w:sz w:val="16"/>
      <w:szCs w:val="20"/>
      <w:lang w:val="en-GB" w:eastAsia="en-US"/>
    </w:rPr>
  </w:style>
  <w:style w:type="paragraph" w:customStyle="1" w:styleId="Chapter">
    <w:name w:val="Chapter"/>
    <w:basedOn w:val="Normal"/>
    <w:rsid w:val="00AE6FD5"/>
    <w:pPr>
      <w:spacing w:before="240"/>
    </w:pPr>
    <w:rPr>
      <w:rFonts w:ascii="Times New Roman" w:hAnsi="Times New Roman"/>
      <w:smallCaps/>
      <w:spacing w:val="80"/>
      <w:sz w:val="28"/>
    </w:rPr>
  </w:style>
  <w:style w:type="paragraph" w:customStyle="1" w:styleId="InChapter">
    <w:name w:val="InChapter"/>
    <w:basedOn w:val="Heading3"/>
    <w:rsid w:val="00AE6FD5"/>
    <w:pPr>
      <w:spacing w:after="240"/>
      <w:outlineLvl w:val="9"/>
    </w:pPr>
    <w:rPr>
      <w:noProof/>
    </w:rPr>
  </w:style>
  <w:style w:type="paragraph" w:styleId="Index2">
    <w:name w:val="index 2"/>
    <w:basedOn w:val="Normal"/>
    <w:next w:val="Normal"/>
    <w:semiHidden/>
    <w:rsid w:val="00AE6FD5"/>
    <w:pPr>
      <w:tabs>
        <w:tab w:val="right" w:pos="4176"/>
      </w:tabs>
      <w:ind w:left="568" w:hanging="284"/>
    </w:pPr>
    <w:rPr>
      <w:rFonts w:ascii="Garamond" w:hAnsi="Garamond"/>
    </w:rPr>
  </w:style>
  <w:style w:type="paragraph" w:customStyle="1" w:styleId="Byline">
    <w:name w:val="Byline"/>
    <w:rsid w:val="00AE6F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6FD5"/>
    <w:pPr>
      <w:tabs>
        <w:tab w:val="clear" w:pos="3600"/>
        <w:tab w:val="clear" w:pos="3958"/>
      </w:tabs>
      <w:jc w:val="right"/>
    </w:pPr>
  </w:style>
  <w:style w:type="character" w:styleId="Emphasis">
    <w:name w:val="Emphasis"/>
    <w:basedOn w:val="DefaultParagraphFont"/>
    <w:qFormat/>
    <w:rsid w:val="00AE6FD5"/>
    <w:rPr>
      <w:i/>
    </w:rPr>
  </w:style>
  <w:style w:type="paragraph" w:styleId="Caption">
    <w:name w:val="caption"/>
    <w:basedOn w:val="BodyText"/>
    <w:next w:val="Normal"/>
    <w:qFormat/>
    <w:rsid w:val="00AE6FD5"/>
    <w:pPr>
      <w:framePr w:w="2268" w:hSpace="181" w:vSpace="181" w:wrap="around" w:vAnchor="text" w:hAnchor="page" w:x="1135" w:y="285" w:anchorLock="1"/>
    </w:pPr>
    <w:rPr>
      <w:i/>
    </w:rPr>
  </w:style>
  <w:style w:type="paragraph" w:customStyle="1" w:styleId="MiniTOCTitle">
    <w:name w:val="MiniTOCTitle"/>
    <w:basedOn w:val="Heading4"/>
    <w:rsid w:val="00AE6FD5"/>
    <w:pPr>
      <w:spacing w:before="240"/>
      <w:outlineLvl w:val="9"/>
    </w:pPr>
    <w:rPr>
      <w:noProof/>
      <w:sz w:val="24"/>
    </w:rPr>
  </w:style>
  <w:style w:type="paragraph" w:customStyle="1" w:styleId="MiniTOCItem">
    <w:name w:val="MiniTOCItem"/>
    <w:basedOn w:val="ListBullet"/>
    <w:rsid w:val="00AE6FD5"/>
    <w:pPr>
      <w:numPr>
        <w:numId w:val="0"/>
      </w:numPr>
      <w:tabs>
        <w:tab w:val="right" w:leader="dot" w:pos="6521"/>
      </w:tabs>
      <w:spacing w:before="0" w:after="0"/>
    </w:pPr>
  </w:style>
  <w:style w:type="paragraph" w:customStyle="1" w:styleId="TOFTitle">
    <w:name w:val="TOFTitle"/>
    <w:basedOn w:val="TOCTitle"/>
    <w:rsid w:val="00AE6FD5"/>
  </w:style>
  <w:style w:type="paragraph" w:styleId="TableofFigures">
    <w:name w:val="table of figures"/>
    <w:basedOn w:val="Normal"/>
    <w:next w:val="Normal"/>
    <w:semiHidden/>
    <w:rsid w:val="00AE6FD5"/>
    <w:pPr>
      <w:tabs>
        <w:tab w:val="right" w:leader="dot" w:pos="9072"/>
      </w:tabs>
      <w:ind w:left="970" w:hanging="403"/>
    </w:pPr>
    <w:rPr>
      <w:rFonts w:ascii="Times New Roman" w:hAnsi="Times New Roman"/>
      <w:b/>
    </w:rPr>
  </w:style>
  <w:style w:type="paragraph" w:styleId="ListNumber">
    <w:name w:val="List Number"/>
    <w:basedOn w:val="List"/>
    <w:rsid w:val="00AE6FD5"/>
    <w:pPr>
      <w:numPr>
        <w:numId w:val="11"/>
      </w:numPr>
    </w:pPr>
  </w:style>
  <w:style w:type="character" w:customStyle="1" w:styleId="WingdingSymbols">
    <w:name w:val="Wingding Symbols"/>
    <w:rsid w:val="00AE6FD5"/>
    <w:rPr>
      <w:rFonts w:ascii="Wingdings" w:hAnsi="Wingdings"/>
    </w:rPr>
  </w:style>
  <w:style w:type="paragraph" w:customStyle="1" w:styleId="TableHeading">
    <w:name w:val="Table Heading"/>
    <w:basedOn w:val="HeadingBase"/>
    <w:rsid w:val="00AE6FD5"/>
    <w:pPr>
      <w:keepLines/>
      <w:pBdr>
        <w:bottom w:val="single" w:sz="6" w:space="1" w:color="918585"/>
      </w:pBdr>
      <w:spacing w:before="240"/>
    </w:pPr>
  </w:style>
  <w:style w:type="character" w:customStyle="1" w:styleId="HotSpot">
    <w:name w:val="HotSpot"/>
    <w:rsid w:val="00AE6FD5"/>
    <w:rPr>
      <w:color w:val="0033CC"/>
      <w:u w:val="none"/>
    </w:rPr>
  </w:style>
  <w:style w:type="paragraph" w:customStyle="1" w:styleId="BodyTextRight">
    <w:name w:val="Body Text Right"/>
    <w:basedOn w:val="BodyText"/>
    <w:rsid w:val="00AE6FD5"/>
    <w:pPr>
      <w:spacing w:before="0" w:after="0"/>
      <w:jc w:val="right"/>
    </w:pPr>
  </w:style>
  <w:style w:type="paragraph" w:styleId="Index3">
    <w:name w:val="index 3"/>
    <w:basedOn w:val="ListNumber2"/>
    <w:next w:val="Normal"/>
    <w:semiHidden/>
    <w:rsid w:val="00AE6FD5"/>
    <w:pPr>
      <w:numPr>
        <w:numId w:val="0"/>
      </w:numPr>
      <w:tabs>
        <w:tab w:val="right" w:leader="dot" w:pos="4176"/>
      </w:tabs>
    </w:pPr>
  </w:style>
  <w:style w:type="paragraph" w:styleId="ListNumber2">
    <w:name w:val="List Number 2"/>
    <w:basedOn w:val="List2"/>
    <w:rsid w:val="00AE6FD5"/>
    <w:pPr>
      <w:numPr>
        <w:numId w:val="10"/>
      </w:numPr>
      <w:tabs>
        <w:tab w:val="clear" w:pos="1060"/>
      </w:tabs>
    </w:pPr>
  </w:style>
  <w:style w:type="paragraph" w:customStyle="1" w:styleId="MarginNote">
    <w:name w:val="Margin Note"/>
    <w:basedOn w:val="BodyText"/>
    <w:rsid w:val="00AE6F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6F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6F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6FD5"/>
    <w:rPr>
      <w:sz w:val="32"/>
    </w:rPr>
  </w:style>
  <w:style w:type="paragraph" w:customStyle="1" w:styleId="HeadingProcedure">
    <w:name w:val="Heading Procedure"/>
    <w:basedOn w:val="HeadingBase"/>
    <w:next w:val="Normal"/>
    <w:rsid w:val="00AE6FD5"/>
    <w:pPr>
      <w:tabs>
        <w:tab w:val="left" w:pos="0"/>
      </w:tabs>
      <w:spacing w:before="120" w:after="60"/>
    </w:pPr>
    <w:rPr>
      <w:i/>
      <w:color w:val="918585"/>
      <w:sz w:val="22"/>
    </w:rPr>
  </w:style>
  <w:style w:type="paragraph" w:customStyle="1" w:styleId="TableBodyText">
    <w:name w:val="Table Body Text"/>
    <w:basedOn w:val="BodyText"/>
    <w:rsid w:val="00AE6FD5"/>
    <w:pPr>
      <w:spacing w:before="60" w:after="60"/>
    </w:pPr>
  </w:style>
  <w:style w:type="paragraph" w:styleId="ListContinue">
    <w:name w:val="List Continue"/>
    <w:basedOn w:val="List"/>
    <w:rsid w:val="00AE6FD5"/>
    <w:pPr>
      <w:ind w:firstLine="0"/>
    </w:pPr>
  </w:style>
  <w:style w:type="paragraph" w:customStyle="1" w:styleId="ListNote">
    <w:name w:val="List Note"/>
    <w:basedOn w:val="List"/>
    <w:rsid w:val="00AE6FD5"/>
    <w:pPr>
      <w:pBdr>
        <w:top w:val="single" w:sz="6" w:space="2" w:color="918585"/>
        <w:bottom w:val="single" w:sz="6" w:space="2" w:color="918585"/>
      </w:pBdr>
      <w:tabs>
        <w:tab w:val="left" w:pos="1021"/>
      </w:tabs>
      <w:ind w:firstLine="0"/>
    </w:pPr>
  </w:style>
  <w:style w:type="paragraph" w:customStyle="1" w:styleId="Warning">
    <w:name w:val="Warning"/>
    <w:basedOn w:val="BodyText"/>
    <w:rsid w:val="00AE6FD5"/>
    <w:pPr>
      <w:shd w:val="clear" w:color="auto" w:fill="D9D9D9"/>
      <w:tabs>
        <w:tab w:val="left" w:pos="992"/>
      </w:tabs>
      <w:ind w:left="119" w:right="119"/>
    </w:pPr>
    <w:rPr>
      <w:sz w:val="20"/>
    </w:rPr>
  </w:style>
  <w:style w:type="paragraph" w:customStyle="1" w:styleId="MarginIcons">
    <w:name w:val="Margin Icons"/>
    <w:basedOn w:val="BodyText"/>
    <w:rsid w:val="00AE6F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6FD5"/>
    <w:rPr>
      <w:rFonts w:ascii="Courier New" w:hAnsi="Courier New"/>
    </w:rPr>
  </w:style>
  <w:style w:type="paragraph" w:customStyle="1" w:styleId="NoteBullet">
    <w:name w:val="Note Bullet"/>
    <w:basedOn w:val="Note"/>
    <w:rsid w:val="00AE6FD5"/>
    <w:pPr>
      <w:tabs>
        <w:tab w:val="clear" w:pos="680"/>
      </w:tabs>
      <w:spacing w:before="60" w:after="60"/>
    </w:pPr>
  </w:style>
  <w:style w:type="paragraph" w:customStyle="1" w:styleId="SubHeading2">
    <w:name w:val="SubHeading2"/>
    <w:basedOn w:val="HeadingBase"/>
    <w:rsid w:val="00AE6FD5"/>
    <w:pPr>
      <w:spacing w:before="240" w:after="60"/>
    </w:pPr>
    <w:rPr>
      <w:sz w:val="20"/>
    </w:rPr>
  </w:style>
  <w:style w:type="paragraph" w:customStyle="1" w:styleId="SubHeading1">
    <w:name w:val="SubHeading1"/>
    <w:basedOn w:val="HeadingBase"/>
    <w:rsid w:val="00AE6FD5"/>
    <w:pPr>
      <w:spacing w:before="240" w:after="60"/>
    </w:pPr>
    <w:rPr>
      <w:color w:val="918585"/>
      <w:sz w:val="22"/>
    </w:rPr>
  </w:style>
  <w:style w:type="paragraph" w:customStyle="1" w:styleId="SideHeading">
    <w:name w:val="Side Heading"/>
    <w:basedOn w:val="HeadingBase"/>
    <w:rsid w:val="00AE6F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6FD5"/>
    <w:pPr>
      <w:numPr>
        <w:numId w:val="12"/>
      </w:numPr>
    </w:pPr>
  </w:style>
  <w:style w:type="paragraph" w:styleId="PlainText">
    <w:name w:val="Plain Text"/>
    <w:basedOn w:val="Normal"/>
    <w:link w:val="PlainTextChar"/>
    <w:rsid w:val="00AE6FD5"/>
    <w:rPr>
      <w:sz w:val="20"/>
    </w:rPr>
  </w:style>
  <w:style w:type="character" w:customStyle="1" w:styleId="PlainTextChar">
    <w:name w:val="Plain Text Char"/>
    <w:basedOn w:val="DefaultParagraphFont"/>
    <w:link w:val="PlainText"/>
    <w:rsid w:val="00AE6FD5"/>
    <w:rPr>
      <w:rFonts w:ascii="Courier New" w:eastAsia="Times New Roman" w:hAnsi="Courier New" w:cs="Times New Roman"/>
      <w:sz w:val="20"/>
      <w:szCs w:val="20"/>
      <w:lang w:eastAsia="en-US"/>
    </w:rPr>
  </w:style>
  <w:style w:type="character" w:customStyle="1" w:styleId="MenuOption">
    <w:name w:val="Menu Option"/>
    <w:basedOn w:val="DefaultParagraphFont"/>
    <w:rsid w:val="00AE6FD5"/>
    <w:rPr>
      <w:b/>
      <w:smallCaps/>
    </w:rPr>
  </w:style>
  <w:style w:type="paragraph" w:customStyle="1" w:styleId="TableListNumber">
    <w:name w:val="Table List Number"/>
    <w:basedOn w:val="ListNumber"/>
    <w:rsid w:val="00AE6FD5"/>
    <w:pPr>
      <w:numPr>
        <w:numId w:val="0"/>
      </w:numPr>
    </w:pPr>
  </w:style>
  <w:style w:type="paragraph" w:styleId="TOC4">
    <w:name w:val="toc 4"/>
    <w:basedOn w:val="TOCBase"/>
    <w:next w:val="Normal"/>
    <w:semiHidden/>
    <w:rsid w:val="00AE6FD5"/>
    <w:pPr>
      <w:tabs>
        <w:tab w:val="right" w:leader="dot" w:pos="9071"/>
      </w:tabs>
      <w:ind w:left="1701"/>
    </w:pPr>
  </w:style>
  <w:style w:type="paragraph" w:customStyle="1" w:styleId="ListAlpha">
    <w:name w:val="List Alpha"/>
    <w:basedOn w:val="List"/>
    <w:rsid w:val="00AE6FD5"/>
    <w:pPr>
      <w:numPr>
        <w:numId w:val="9"/>
      </w:numPr>
    </w:pPr>
  </w:style>
  <w:style w:type="paragraph" w:customStyle="1" w:styleId="ListAlpha2">
    <w:name w:val="List Alpha 2"/>
    <w:basedOn w:val="List2"/>
    <w:rsid w:val="00AE6FD5"/>
    <w:pPr>
      <w:numPr>
        <w:numId w:val="8"/>
      </w:numPr>
    </w:pPr>
  </w:style>
  <w:style w:type="paragraph" w:styleId="List2">
    <w:name w:val="List 2"/>
    <w:basedOn w:val="BodyText"/>
    <w:rsid w:val="00AE6FD5"/>
    <w:pPr>
      <w:tabs>
        <w:tab w:val="left" w:pos="680"/>
      </w:tabs>
      <w:spacing w:before="60" w:after="60"/>
      <w:ind w:left="680" w:hanging="340"/>
    </w:pPr>
  </w:style>
  <w:style w:type="paragraph" w:styleId="List3">
    <w:name w:val="List 3"/>
    <w:basedOn w:val="BodyText"/>
    <w:rsid w:val="00AE6FD5"/>
    <w:pPr>
      <w:tabs>
        <w:tab w:val="left" w:pos="1021"/>
      </w:tabs>
      <w:spacing w:before="60" w:after="60"/>
      <w:ind w:left="1020" w:hanging="340"/>
    </w:pPr>
  </w:style>
  <w:style w:type="paragraph" w:styleId="List4">
    <w:name w:val="List 4"/>
    <w:basedOn w:val="BodyText"/>
    <w:rsid w:val="00AE6FD5"/>
    <w:pPr>
      <w:tabs>
        <w:tab w:val="left" w:pos="1361"/>
      </w:tabs>
      <w:spacing w:before="60" w:after="60"/>
      <w:ind w:left="1361" w:hanging="340"/>
    </w:pPr>
  </w:style>
  <w:style w:type="paragraph" w:styleId="List5">
    <w:name w:val="List 5"/>
    <w:basedOn w:val="BodyText"/>
    <w:rsid w:val="00AE6FD5"/>
    <w:pPr>
      <w:tabs>
        <w:tab w:val="left" w:pos="1701"/>
      </w:tabs>
      <w:spacing w:before="60" w:after="60"/>
      <w:ind w:left="1701" w:hanging="340"/>
    </w:pPr>
  </w:style>
  <w:style w:type="paragraph" w:styleId="ListBullet3">
    <w:name w:val="List Bullet 3"/>
    <w:basedOn w:val="List3"/>
    <w:rsid w:val="00AE6FD5"/>
    <w:pPr>
      <w:numPr>
        <w:numId w:val="15"/>
      </w:numPr>
      <w:tabs>
        <w:tab w:val="clear" w:pos="1021"/>
      </w:tabs>
      <w:ind w:left="1037" w:hanging="357"/>
    </w:pPr>
  </w:style>
  <w:style w:type="paragraph" w:styleId="ListBullet4">
    <w:name w:val="List Bullet 4"/>
    <w:basedOn w:val="List4"/>
    <w:rsid w:val="00AE6FD5"/>
    <w:pPr>
      <w:numPr>
        <w:numId w:val="3"/>
      </w:numPr>
    </w:pPr>
  </w:style>
  <w:style w:type="paragraph" w:styleId="ListBullet5">
    <w:name w:val="List Bullet 5"/>
    <w:basedOn w:val="List5"/>
    <w:rsid w:val="00AE6FD5"/>
    <w:pPr>
      <w:numPr>
        <w:numId w:val="4"/>
      </w:numPr>
    </w:pPr>
  </w:style>
  <w:style w:type="paragraph" w:styleId="ListContinue2">
    <w:name w:val="List Continue 2"/>
    <w:basedOn w:val="List2"/>
    <w:rsid w:val="00AE6FD5"/>
    <w:pPr>
      <w:ind w:firstLine="0"/>
    </w:pPr>
  </w:style>
  <w:style w:type="paragraph" w:styleId="ListContinue3">
    <w:name w:val="List Continue 3"/>
    <w:basedOn w:val="List3"/>
    <w:rsid w:val="00AE6FD5"/>
    <w:pPr>
      <w:ind w:left="1021" w:firstLine="0"/>
    </w:pPr>
  </w:style>
  <w:style w:type="paragraph" w:styleId="ListContinue4">
    <w:name w:val="List Continue 4"/>
    <w:basedOn w:val="List4"/>
    <w:rsid w:val="00AE6FD5"/>
    <w:pPr>
      <w:ind w:firstLine="0"/>
    </w:pPr>
  </w:style>
  <w:style w:type="paragraph" w:styleId="ListContinue5">
    <w:name w:val="List Continue 5"/>
    <w:basedOn w:val="List5"/>
    <w:rsid w:val="00AE6FD5"/>
    <w:pPr>
      <w:ind w:firstLine="0"/>
    </w:pPr>
  </w:style>
  <w:style w:type="paragraph" w:styleId="ListNumber3">
    <w:name w:val="List Number 3"/>
    <w:basedOn w:val="List3"/>
    <w:rsid w:val="00AE6FD5"/>
    <w:pPr>
      <w:numPr>
        <w:numId w:val="5"/>
      </w:numPr>
    </w:pPr>
  </w:style>
  <w:style w:type="paragraph" w:styleId="ListNumber4">
    <w:name w:val="List Number 4"/>
    <w:basedOn w:val="List4"/>
    <w:rsid w:val="00AE6FD5"/>
    <w:pPr>
      <w:numPr>
        <w:numId w:val="6"/>
      </w:numPr>
    </w:pPr>
  </w:style>
  <w:style w:type="paragraph" w:styleId="ListNumber5">
    <w:name w:val="List Number 5"/>
    <w:basedOn w:val="List5"/>
    <w:rsid w:val="00AE6FD5"/>
    <w:pPr>
      <w:numPr>
        <w:numId w:val="7"/>
      </w:numPr>
    </w:pPr>
  </w:style>
  <w:style w:type="paragraph" w:styleId="BlockText">
    <w:name w:val="Block Text"/>
    <w:basedOn w:val="Normal"/>
    <w:rsid w:val="00AE6FD5"/>
    <w:pPr>
      <w:spacing w:after="120"/>
      <w:ind w:left="1440" w:right="1440"/>
    </w:pPr>
  </w:style>
  <w:style w:type="character" w:customStyle="1" w:styleId="Subscript">
    <w:name w:val="Subscript"/>
    <w:basedOn w:val="DefaultParagraphFont"/>
    <w:rsid w:val="00AE6FD5"/>
    <w:rPr>
      <w:sz w:val="16"/>
      <w:vertAlign w:val="subscript"/>
    </w:rPr>
  </w:style>
  <w:style w:type="character" w:customStyle="1" w:styleId="Superscript">
    <w:name w:val="Superscript"/>
    <w:basedOn w:val="DefaultParagraphFont"/>
    <w:rsid w:val="00AE6FD5"/>
    <w:rPr>
      <w:sz w:val="16"/>
      <w:vertAlign w:val="superscript"/>
    </w:rPr>
  </w:style>
  <w:style w:type="character" w:customStyle="1" w:styleId="Symbols">
    <w:name w:val="Symbols"/>
    <w:basedOn w:val="DefaultParagraphFont"/>
    <w:rsid w:val="00AE6FD5"/>
    <w:rPr>
      <w:rFonts w:ascii="Symbol" w:hAnsi="Symbol"/>
    </w:rPr>
  </w:style>
  <w:style w:type="character" w:customStyle="1" w:styleId="MenuOptions">
    <w:name w:val="Menu Options"/>
    <w:basedOn w:val="DefaultParagraphFont"/>
    <w:rsid w:val="00AE6FD5"/>
    <w:rPr>
      <w:rFonts w:ascii="Arial Narrow" w:hAnsi="Arial Narrow"/>
      <w:smallCaps/>
    </w:rPr>
  </w:style>
  <w:style w:type="character" w:customStyle="1" w:styleId="Buttons">
    <w:name w:val="Buttons"/>
    <w:basedOn w:val="DefaultParagraphFont"/>
    <w:rsid w:val="00AE6FD5"/>
    <w:rPr>
      <w:b/>
    </w:rPr>
  </w:style>
  <w:style w:type="character" w:customStyle="1" w:styleId="Underlined">
    <w:name w:val="Underlined"/>
    <w:basedOn w:val="DefaultParagraphFont"/>
    <w:rsid w:val="00AE6FD5"/>
    <w:rPr>
      <w:u w:val="single"/>
    </w:rPr>
  </w:style>
  <w:style w:type="paragraph" w:customStyle="1" w:styleId="TableBodyTextRight">
    <w:name w:val="Table Body Text Right"/>
    <w:basedOn w:val="TableBodyText"/>
    <w:rsid w:val="00AE6FD5"/>
    <w:pPr>
      <w:widowControl w:val="0"/>
      <w:autoSpaceDE w:val="0"/>
      <w:autoSpaceDN w:val="0"/>
      <w:adjustRightInd w:val="0"/>
      <w:jc w:val="right"/>
    </w:pPr>
    <w:rPr>
      <w:rFonts w:cs="Arial"/>
      <w:szCs w:val="18"/>
    </w:rPr>
  </w:style>
  <w:style w:type="paragraph" w:customStyle="1" w:styleId="CopyrightText">
    <w:name w:val="Copyright Text"/>
    <w:basedOn w:val="BodyText"/>
    <w:rsid w:val="00AE6FD5"/>
    <w:rPr>
      <w:sz w:val="18"/>
    </w:rPr>
  </w:style>
  <w:style w:type="paragraph" w:customStyle="1" w:styleId="BodySmallRight">
    <w:name w:val="Body Small Right"/>
    <w:basedOn w:val="BodyTextRight"/>
    <w:rsid w:val="00AE6FD5"/>
    <w:rPr>
      <w:sz w:val="18"/>
      <w:szCs w:val="18"/>
    </w:rPr>
  </w:style>
  <w:style w:type="paragraph" w:customStyle="1" w:styleId="MarginEdition">
    <w:name w:val="Margin Edition"/>
    <w:basedOn w:val="MarginNote"/>
    <w:rsid w:val="00AE6FD5"/>
    <w:pPr>
      <w:spacing w:before="0" w:after="0"/>
    </w:pPr>
    <w:rPr>
      <w:rFonts w:ascii="Times New Roman" w:hAnsi="Times New Roman"/>
      <w:color w:val="999999"/>
    </w:rPr>
  </w:style>
  <w:style w:type="paragraph" w:customStyle="1" w:styleId="Spacer">
    <w:name w:val="Spacer"/>
    <w:basedOn w:val="Normal"/>
    <w:rsid w:val="00AE6FD5"/>
    <w:rPr>
      <w:sz w:val="2"/>
      <w:szCs w:val="2"/>
    </w:rPr>
  </w:style>
  <w:style w:type="character" w:customStyle="1" w:styleId="Small">
    <w:name w:val="Small"/>
    <w:basedOn w:val="DefaultParagraphFont"/>
    <w:rsid w:val="00AE6FD5"/>
    <w:rPr>
      <w:sz w:val="16"/>
    </w:rPr>
  </w:style>
  <w:style w:type="paragraph" w:customStyle="1" w:styleId="WideTable">
    <w:name w:val="Wide Table"/>
    <w:basedOn w:val="Normal"/>
    <w:rsid w:val="00AE6FD5"/>
    <w:pPr>
      <w:ind w:left="-1418"/>
    </w:pPr>
    <w:rPr>
      <w:sz w:val="2"/>
      <w:szCs w:val="2"/>
    </w:rPr>
  </w:style>
  <w:style w:type="character" w:styleId="PageNumber">
    <w:name w:val="page number"/>
    <w:basedOn w:val="DefaultParagraphFont"/>
    <w:rsid w:val="00AE6FD5"/>
  </w:style>
  <w:style w:type="paragraph" w:styleId="Quote">
    <w:name w:val="Quote"/>
    <w:basedOn w:val="Heading1"/>
    <w:link w:val="QuoteChar"/>
    <w:qFormat/>
    <w:rsid w:val="00AE6FD5"/>
    <w:rPr>
      <w:b w:val="0"/>
      <w:sz w:val="72"/>
      <w:szCs w:val="72"/>
      <w:lang w:val="en-NZ"/>
    </w:rPr>
  </w:style>
  <w:style w:type="character" w:customStyle="1" w:styleId="QuoteChar">
    <w:name w:val="Quote Char"/>
    <w:basedOn w:val="DefaultParagraphFont"/>
    <w:link w:val="Quote"/>
    <w:rsid w:val="00AE6F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6FD5"/>
    <w:pPr>
      <w:pageBreakBefore/>
    </w:pPr>
  </w:style>
  <w:style w:type="paragraph" w:customStyle="1" w:styleId="Border">
    <w:name w:val="Border"/>
    <w:basedOn w:val="Normal"/>
    <w:qFormat/>
    <w:rsid w:val="00AE6F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6FD5"/>
    <w:rPr>
      <w:b/>
      <w:bCs/>
      <w:i/>
      <w:iCs/>
      <w:color w:val="auto"/>
    </w:rPr>
  </w:style>
  <w:style w:type="paragraph" w:styleId="IntenseQuote">
    <w:name w:val="Intense Quote"/>
    <w:basedOn w:val="Normal"/>
    <w:next w:val="Normal"/>
    <w:link w:val="IntenseQuoteChar"/>
    <w:uiPriority w:val="30"/>
    <w:qFormat/>
    <w:rsid w:val="00AE6F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6F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6FD5"/>
    <w:rPr>
      <w:smallCaps/>
      <w:color w:val="auto"/>
      <w:u w:val="single"/>
    </w:rPr>
  </w:style>
  <w:style w:type="character" w:styleId="IntenseReference">
    <w:name w:val="Intense Reference"/>
    <w:basedOn w:val="DefaultParagraphFont"/>
    <w:uiPriority w:val="32"/>
    <w:qFormat/>
    <w:rsid w:val="00AE6FD5"/>
    <w:rPr>
      <w:b/>
      <w:bCs/>
      <w:smallCaps/>
      <w:color w:val="auto"/>
      <w:spacing w:val="5"/>
      <w:u w:val="single"/>
    </w:rPr>
  </w:style>
  <w:style w:type="paragraph" w:customStyle="1" w:styleId="2ColumnHeading">
    <w:name w:val="2Column Heading"/>
    <w:basedOn w:val="BodyText"/>
    <w:qFormat/>
    <w:rsid w:val="00AE6FD5"/>
    <w:pPr>
      <w:spacing w:after="60"/>
      <w:ind w:left="-2268"/>
    </w:pPr>
    <w:rPr>
      <w:b/>
    </w:rPr>
  </w:style>
  <w:style w:type="paragraph" w:customStyle="1" w:styleId="Heading1TOC">
    <w:name w:val="Heading1 TOC"/>
    <w:basedOn w:val="Normal"/>
    <w:qFormat/>
    <w:rsid w:val="00AE6FD5"/>
    <w:pPr>
      <w:spacing w:before="240" w:after="120"/>
    </w:pPr>
    <w:rPr>
      <w:rFonts w:ascii="Times New Roman" w:hAnsi="Times New Roman"/>
      <w:b/>
      <w:sz w:val="32"/>
    </w:rPr>
  </w:style>
  <w:style w:type="paragraph" w:customStyle="1" w:styleId="Heading2TOC">
    <w:name w:val="Heading2 TOC"/>
    <w:basedOn w:val="Normal"/>
    <w:qFormat/>
    <w:rsid w:val="00AE6FD5"/>
    <w:pPr>
      <w:spacing w:before="240" w:after="60"/>
    </w:pPr>
    <w:rPr>
      <w:rFonts w:ascii="Times New Roman" w:hAnsi="Times New Roman"/>
      <w:b/>
      <w:sz w:val="28"/>
    </w:rPr>
  </w:style>
  <w:style w:type="character" w:customStyle="1" w:styleId="Underline">
    <w:name w:val="Underline"/>
    <w:basedOn w:val="DefaultParagraphFont"/>
    <w:qFormat/>
    <w:rsid w:val="00AE6FD5"/>
    <w:rPr>
      <w:u w:val="single"/>
    </w:rPr>
  </w:style>
  <w:style w:type="character" w:customStyle="1" w:styleId="BoldandItalics">
    <w:name w:val="Bold and Italics"/>
    <w:qFormat/>
    <w:rsid w:val="00AE6FD5"/>
    <w:rPr>
      <w:b/>
      <w:i/>
      <w:u w:val="none"/>
    </w:rPr>
  </w:style>
  <w:style w:type="paragraph" w:styleId="BalloonText">
    <w:name w:val="Balloon Text"/>
    <w:basedOn w:val="Normal"/>
    <w:link w:val="BalloonTextChar"/>
    <w:rsid w:val="00AE6FD5"/>
    <w:rPr>
      <w:rFonts w:ascii="Tahoma" w:hAnsi="Tahoma" w:cs="Tahoma"/>
      <w:sz w:val="16"/>
      <w:szCs w:val="16"/>
    </w:rPr>
  </w:style>
  <w:style w:type="character" w:customStyle="1" w:styleId="BalloonTextChar">
    <w:name w:val="Balloon Text Char"/>
    <w:basedOn w:val="DefaultParagraphFont"/>
    <w:link w:val="BalloonText"/>
    <w:rsid w:val="00AE6F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6F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E6F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6FD5"/>
    <w:rPr>
      <w:b/>
      <w:color w:val="660033"/>
      <w:spacing w:val="0"/>
    </w:rPr>
  </w:style>
  <w:style w:type="paragraph" w:customStyle="1" w:styleId="Nameditemlist">
    <w:name w:val="Named item list"/>
    <w:basedOn w:val="BodyText"/>
    <w:qFormat/>
    <w:rsid w:val="00AE6FD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1830</Words>
  <Characters>11423</Characters>
  <Application>Microsoft Office Word</Application>
  <DocSecurity>0</DocSecurity>
  <Lines>408</Lines>
  <Paragraphs>183</Paragraphs>
  <ScaleCrop>false</ScaleCrop>
  <Company>Author-it Software Corporation Ltd.</Company>
  <LinksUpToDate>false</LinksUpToDate>
  <CharactersWithSpaces>13136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UEPOPS203B Operate and monitor communications system</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2012-07-25T16:30:00Z</dcterms:created>
  <dcterms:modified xsi:type="dcterms:W3CDTF">2012-07-25T16:30:00Z</dcterms:modified>
</cp:coreProperties>
</file>