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72F" w:rsidP="0045472F">
      <w:pPr>
        <w:pStyle w:val="Title"/>
      </w:pPr>
      <w:bookmarkStart w:id="0" w:name="_GoBack"/>
      <w:bookmarkEnd w:id="0"/>
      <w:r>
        <w:fldChar w:fldCharType="begin"/>
      </w:r>
      <w:r>
        <w:instrText xml:space="preserve"> TITLE   \* MERGEFORMAT </w:instrText>
      </w:r>
      <w:r>
        <w:fldChar w:fldCharType="separate"/>
      </w:r>
      <w:r>
        <w:t>UEPMNT503B Diagnose and repair faults in instrumentation systems</w:t>
      </w:r>
      <w:r>
        <w:fldChar w:fldCharType="end"/>
      </w:r>
    </w:p>
    <w:p w:rsidR="0045472F" w:rsidP="0045472F">
      <w:pPr>
        <w:pStyle w:val="Version"/>
        <w:sectPr w:rsidSect="00164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B01" w:rsidP="00164B01">
      <w:pPr>
        <w:pStyle w:val="SuperHeading"/>
      </w:pPr>
      <w:r w:rsidRPr="00164B01">
        <w:t>UEPMNT503B Diagnose and repair faults in instrumentation systems</w:t>
      </w:r>
    </w:p>
    <w:p w:rsidR="00000000" w:rsidRPr="00164B01" w:rsidP="00164B01">
      <w:pPr>
        <w:pStyle w:val="Heading1"/>
      </w:pPr>
      <w:bookmarkStart w:id="1" w:name="O_470213"/>
      <w:bookmarkEnd w:id="1"/>
      <w:r w:rsidRPr="00164B01">
        <w:t>Modification History</w:t>
      </w:r>
    </w:p>
    <w:p w:rsidR="00000000" w:rsidRPr="00164B01" w:rsidP="00164B01">
      <w:pPr>
        <w:pStyle w:val="BodyText"/>
      </w:pPr>
      <w:r w:rsidRPr="00164B01">
        <w:t>Not applicable.</w:t>
      </w:r>
    </w:p>
    <w:p w:rsidR="00000000" w:rsidRPr="00164B01" w:rsidP="00164B01">
      <w:pPr>
        <w:pStyle w:val="AllowPageBreak"/>
      </w:pPr>
    </w:p>
    <w:p w:rsidR="00000000" w:rsidRPr="00164B01" w:rsidP="00164B01">
      <w:pPr>
        <w:pStyle w:val="Heading1"/>
      </w:pPr>
      <w:bookmarkStart w:id="2" w:name="O_470211"/>
      <w:bookmarkEnd w:id="2"/>
      <w:r w:rsidRPr="00164B01">
        <w:t>Unit Descriptor</w:t>
      </w:r>
    </w:p>
    <w:tbl>
      <w:tblPr>
        <w:tblW w:w="0" w:type="auto"/>
        <w:tblLayout w:type="fixed"/>
        <w:tblCellMar>
          <w:left w:w="62" w:type="dxa"/>
          <w:right w:w="62" w:type="dxa"/>
        </w:tblCellMar>
        <w:tblLook w:val="0000"/>
      </w:tblPr>
      <w:tblGrid>
        <w:gridCol w:w="2700"/>
        <w:gridCol w:w="5760"/>
      </w:tblGrid>
      <w:tr w:rsidTr="004547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1)</w:t>
            </w:r>
            <w:r w:rsidRPr="00164B01">
              <w:t xml:space="preserve"> </w:t>
            </w:r>
            <w:r w:rsidRPr="00164B01">
              <w:rPr>
                <w:rStyle w:val="SpecialBold"/>
              </w:rPr>
              <w:t>Scope:</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4B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1.1) Descriptor</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This unit deals with the skills and knowledge required to diagnose and repair of instrumentation systems and all ancillary equipment including, but not limited to, PC operating systems, distributive control systems, programmable logic control systems, proc</w:t>
            </w:r>
            <w:r w:rsidRPr="00164B01">
              <w:t>ess control systems.</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3" w:name="O_470200"/>
      <w:bookmarkEnd w:id="3"/>
      <w:r w:rsidRPr="00164B01">
        <w:t>Application of the Unit</w:t>
      </w:r>
    </w:p>
    <w:tbl>
      <w:tblPr>
        <w:tblW w:w="0" w:type="auto"/>
        <w:tblLayout w:type="fixed"/>
        <w:tblCellMar>
          <w:left w:w="62" w:type="dxa"/>
          <w:right w:w="62" w:type="dxa"/>
        </w:tblCellMar>
        <w:tblLook w:val="0000"/>
      </w:tblPr>
      <w:tblGrid>
        <w:gridCol w:w="2672"/>
        <w:gridCol w:w="5699"/>
      </w:tblGrid>
      <w:tr w:rsidTr="004547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2)</w:t>
            </w:r>
          </w:p>
        </w:tc>
      </w:tr>
      <w:tr w:rsidTr="004547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This unit is intended to augment formally acquired competencies. It is suitable for employment-based programs under an approved contract of training.</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4" w:name="O_470207"/>
      <w:bookmarkEnd w:id="4"/>
      <w:r w:rsidRPr="00164B01">
        <w:t>Licensing/Regulatory Information</w:t>
      </w:r>
    </w:p>
    <w:tbl>
      <w:tblPr>
        <w:tblW w:w="0" w:type="auto"/>
        <w:tblLayout w:type="fixed"/>
        <w:tblCellMar>
          <w:left w:w="62" w:type="dxa"/>
          <w:right w:w="62" w:type="dxa"/>
        </w:tblCellMar>
        <w:tblLook w:val="0000"/>
      </w:tblPr>
      <w:tblGrid>
        <w:gridCol w:w="2700"/>
        <w:gridCol w:w="5760"/>
      </w:tblGrid>
      <w:tr w:rsidTr="004547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 xml:space="preserve">3) </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The skills and knowledge described in this unit may require an electrical licence to practice in the workplace.</w:t>
            </w:r>
          </w:p>
          <w:p w:rsidR="00000000" w:rsidRPr="00164B01" w:rsidP="00164B01">
            <w:pPr>
              <w:pStyle w:val="BodyText"/>
            </w:pPr>
            <w:r w:rsidRPr="00164B01">
              <w:t>Practice in this unit is subject to regulations directly related to Occupatio</w:t>
            </w:r>
            <w:r w:rsidRPr="00164B01">
              <w:t>nal Health and Safety and where applicable contracts of training such as apprenticeships and the like.</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5" w:name="O_470208"/>
      <w:bookmarkEnd w:id="5"/>
      <w:r w:rsidRPr="00164B01">
        <w:t>Pre-Requisites</w:t>
      </w:r>
    </w:p>
    <w:tbl>
      <w:tblPr>
        <w:tblW w:w="0" w:type="auto"/>
        <w:tblLayout w:type="fixed"/>
        <w:tblCellMar>
          <w:left w:w="62" w:type="dxa"/>
          <w:right w:w="62" w:type="dxa"/>
        </w:tblCellMar>
        <w:tblLook w:val="0000"/>
      </w:tblPr>
      <w:tblGrid>
        <w:gridCol w:w="2700"/>
        <w:gridCol w:w="2068"/>
        <w:gridCol w:w="3696"/>
      </w:tblGrid>
      <w:tr w:rsidTr="004547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 xml:space="preserve">4) </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4.1)</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Granting of competency in this unit shall be made only after competency in the following unit(s) has/have been confirmed.</w:t>
            </w:r>
          </w:p>
          <w:p w:rsidR="00000000" w:rsidRPr="00164B01" w:rsidP="00164B01">
            <w:pPr>
              <w:pStyle w:val="BodyText"/>
            </w:pPr>
            <w:r w:rsidRPr="00164B01">
              <w:t>Where pre-requisite pathways have been identified. All competencies in the Common Unit Group must be have been completed.</w:t>
            </w:r>
          </w:p>
          <w:p w:rsidR="00000000" w:rsidP="00164B01">
            <w:pPr>
              <w:pStyle w:val="BodyText"/>
              <w:rPr>
                <w:lang w:val="en-NZ"/>
              </w:rPr>
            </w:pPr>
            <w:r w:rsidRPr="00164B01">
              <w:t xml:space="preserve">Common Unit </w:t>
            </w:r>
            <w:r w:rsidRPr="00164B01">
              <w:t>Group</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Unit Code</w:t>
            </w:r>
            <w:r w:rsidRPr="00164B01">
              <w:tab/>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Unit Title</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UEPMNT427B</w:t>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Diagnose and Repair Faults in Complex Instrumentation Equipment</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UEPMNT357B</w:t>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Diagnose and repair faults in instrumentation equipment</w:t>
            </w:r>
          </w:p>
        </w:tc>
      </w:tr>
      <w:tr w:rsidTr="0045472F">
        <w:tblPrEx>
          <w:tblW w:w="0" w:type="auto"/>
          <w:tblLayout w:type="fixed"/>
          <w:tblCellMar>
            <w:left w:w="62" w:type="dxa"/>
            <w:right w:w="62" w:type="dxa"/>
          </w:tblCellMar>
          <w:tblLook w:val="0000"/>
        </w:tblPrEx>
        <w:trPr>
          <w:trHeight w:val="40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UEENEEI001B</w:t>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Install and set up transducers and sensing devices</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UEENEEE002B</w:t>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Dismantle, assemble and fabricate electrotechnology components</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UEENEEE005B</w:t>
            </w:r>
          </w:p>
        </w:tc>
        <w:tc>
          <w:tcPr>
            <w:tcW w:w="3696"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Fix and secure equipment</w:t>
            </w:r>
          </w:p>
        </w:tc>
      </w:tr>
      <w:tr w:rsidTr="0045472F">
        <w:tblPrEx>
          <w:tblW w:w="0" w:type="auto"/>
          <w:tblLayout w:type="fixed"/>
          <w:tblCellMar>
            <w:left w:w="62" w:type="dxa"/>
            <w:right w:w="62" w:type="dxa"/>
          </w:tblCellMar>
          <w:tblLook w:val="0000"/>
        </w:tblPrEx>
        <w:trPr>
          <w:trHeight w:val="40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UEENEEE007B</w:t>
            </w:r>
          </w:p>
        </w:tc>
        <w:tc>
          <w:tcPr>
            <w:tcW w:w="3696"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Use drawings, diagrams, schedules and manuals</w:t>
            </w:r>
          </w:p>
        </w:tc>
      </w:tr>
    </w:tbl>
    <w:p w:rsidR="00000000" w:rsidRPr="00164B01" w:rsidP="00164B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5472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 xml:space="preserve">4.2) </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Participants are best equipped to achieve this unit if they have reading, writing and numeracy skills indicated by the following levels. A description of what each level entails is provided in Section 2.3.1 Language, Literacy and Numeracy.</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Reading</w:t>
            </w:r>
          </w:p>
        </w:tc>
        <w:tc>
          <w:tcPr>
            <w:tcW w:w="81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w:t>
            </w:r>
          </w:p>
        </w:tc>
        <w:tc>
          <w:tcPr>
            <w:tcW w:w="99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Writing</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w:t>
            </w:r>
          </w:p>
        </w:tc>
        <w:tc>
          <w:tcPr>
            <w:tcW w:w="12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Numeracy</w:t>
            </w:r>
          </w:p>
        </w:tc>
        <w:tc>
          <w:tcPr>
            <w:tcW w:w="72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5</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6" w:name="O_470204"/>
      <w:bookmarkEnd w:id="6"/>
      <w:r w:rsidRPr="00164B01">
        <w:t>Employability Skills Information</w:t>
      </w:r>
    </w:p>
    <w:tbl>
      <w:tblPr>
        <w:tblW w:w="0" w:type="auto"/>
        <w:tblLayout w:type="fixed"/>
        <w:tblCellMar>
          <w:left w:w="62" w:type="dxa"/>
          <w:right w:w="62" w:type="dxa"/>
        </w:tblCellMar>
        <w:tblLook w:val="0000"/>
      </w:tblPr>
      <w:tblGrid>
        <w:gridCol w:w="2700"/>
        <w:gridCol w:w="5760"/>
      </w:tblGrid>
      <w:tr w:rsidTr="004547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 xml:space="preserve">5) </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 xml:space="preserve">The required outcomes described in this unit of competency contain applicable facets of Employability Skills. The Employability Skills Summary </w:t>
            </w:r>
            <w:r w:rsidRPr="00164B01">
              <w:t>of the qualification in which this unit of competency is packaged will assist in identifying Employability Skill requirements.</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7" w:name="O_470203"/>
      <w:bookmarkEnd w:id="7"/>
      <w:r w:rsidRPr="00164B01">
        <w:t>Elements and Performance Criteria Pre-Content</w:t>
      </w:r>
    </w:p>
    <w:tbl>
      <w:tblPr>
        <w:tblW w:w="0" w:type="auto"/>
        <w:tblLayout w:type="fixed"/>
        <w:tblCellMar>
          <w:left w:w="62" w:type="dxa"/>
          <w:right w:w="62" w:type="dxa"/>
        </w:tblCellMar>
        <w:tblLook w:val="0000"/>
      </w:tblPr>
      <w:tblGrid>
        <w:gridCol w:w="2700"/>
        <w:gridCol w:w="5760"/>
      </w:tblGrid>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6)</w:t>
            </w:r>
            <w:r w:rsidRPr="00164B0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Performance Criteria describe the required performance needed to demonstrate achievement of the element. Assessment of performance is to be consistent with the Evidence Guide.</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8" w:name="O_470202"/>
      <w:bookmarkEnd w:id="8"/>
      <w:r w:rsidRPr="00164B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47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PERFORMANCE CRITERIA</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Work requirements are identified from request/work orders or equivalent and clarified/confirmed with appropriate parties or by site inspection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 xml:space="preserve">Occupational Health and Safety standards, statutory requirements, relevant Australian standards, codes of practice, manufacturers’ specifications, environmental requirements and enterprise procedures are identified, applied and monitored throughout </w:t>
            </w:r>
            <w:r w:rsidRPr="00164B01">
              <w:t>the work procedure</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Resources required to satisfy the work plan are identified, obtained and inspected for compliance with the job specifications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1.4</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Relevant plans, drawings and texts are selected and interpreted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1.5</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Correct size, type and quantity of materials/components are determined, obtained and inspected for compliance with the job specifications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1.6</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Work is planned in detail including sequencing and prioritising and considerations made, where appropria</w:t>
            </w:r>
            <w:r w:rsidRPr="00164B01">
              <w:t>te, for the maintenance of plant security and capacity in accordance with system/site requirements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1.7</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Coordination requirements, including requests for isolations where appropriate, are resolved with others involved, affected or required by the work</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1.8</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Potential hazards are identified and prevention and/or control measures are selected in accordance with the work plan and site procedures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1.9</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Work area is prepared in accordance with work requirements and site procedures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1.10</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 xml:space="preserve">Where appropriate, </w:t>
            </w:r>
            <w:r w:rsidRPr="00164B01">
              <w:t xml:space="preserve">the teams and individuals roles and responsibilities within the team are identified and, where required, assist in the provision of the on-the-job training </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2</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Verify the fault</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2.1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Normal performance and function of the system is ascertained by consulting appropriate reference sources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2.2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Fault indicators, appropriate technical information/diagnostic techniques are used to verify reported symptoms/</w:t>
            </w:r>
            <w:r w:rsidRPr="00164B01">
              <w:t>faults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2.3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Symptoms are reproduced and monitored if possible, whilst due regard for personnel safety and plant security is observed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Find the fault</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Required isolations are confirmed where appropriate in accordance with site requirements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Fault finding is carried out in conjunction with others involved in, or affected by, the work in accordance with enterprise/job requirements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System equip</w:t>
            </w:r>
            <w:r w:rsidRPr="00164B01">
              <w:t>ment, components, wires, cables, terminations and support fixings are inspected for obvious faults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3.4</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All appropriate fault finding/di</w:t>
            </w:r>
            <w:r w:rsidRPr="00164B01">
              <w:t>agnostic techniques are identified, selected and used to determine the fault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3.5</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All appropriate components are disconnected to enable accurate test measurements of suspected faulty components without the concern of "bac</w:t>
            </w:r>
            <w:r w:rsidRPr="00164B01">
              <w:t>k feed" readings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3.6</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Test and measurement instruments are used in accordance with manufacturer’s instructions and job requirements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4</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Determine cause of fault</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4.1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All appropriate personnel are consulted in order to obtai</w:t>
            </w:r>
            <w:r w:rsidRPr="00164B01">
              <w:t>n as many details relating to the faulty equipment as possible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4.2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Appropriate use is made of any information from fault indicators and maintenance records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4.3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Valid conclusions about the nature and cause of the fault are reached from analysis of available evidence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Repair or rectify the fault</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Required isolations are confirmed where appropriate in accordance with site requir</w:t>
            </w:r>
            <w:r w:rsidRPr="00164B01">
              <w:t>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Appropriate repair procedures are undertaken in conjunction with others involved in, or affected by, the work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Faulty, worn, damaged or unsecured equipment/components are replaced, repaired or secured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5.4</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Parts and components are selected and replaced as required in accordance with appropriate specifications and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5.5</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Equipment/components disconnected for testing are reconnected having been proven free of faults and all terminations are then checked to ensure they are electrically and mechanically sound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5.6</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All faults are repaired</w:t>
            </w:r>
            <w:r w:rsidRPr="00164B01">
              <w:t xml:space="preserve"> or rectified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5.7</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Final job inspection is performed and permits are relinquished as required in accordance with the work plan</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6</w:t>
            </w:r>
          </w:p>
        </w:tc>
        <w:tc>
          <w:tcPr>
            <w:tcW w:w="2296" w:type="dxa"/>
            <w:vMerge w:val="restart"/>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Complete the work</w:t>
            </w: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6.1</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Work is completed and appropriate personnel notified in accordance wi</w:t>
            </w:r>
            <w:r w:rsidRPr="00164B01">
              <w:t>th site/enterprise requirements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6.2</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Work area is cleared of waste, cleaned, restored and secured in accordance with site/enterprise procedures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6.3</w:t>
            </w:r>
          </w:p>
        </w:tc>
        <w:tc>
          <w:tcPr>
            <w:tcW w:w="48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Plant, tools and equipment are maintained and stored in accordance with site/enterprise procedures</w:t>
            </w:r>
          </w:p>
        </w:tc>
      </w:tr>
      <w:tr w:rsidTr="004547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t>6.4</w:t>
            </w:r>
          </w:p>
        </w:tc>
        <w:tc>
          <w:tcPr>
            <w:tcW w:w="48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Work completion details are finalised in accordance with site/enterprise procedures</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9" w:name="O_470210"/>
      <w:bookmarkEnd w:id="9"/>
      <w:r w:rsidRPr="00164B01">
        <w:t>Required Skills and Knowledge</w:t>
      </w:r>
    </w:p>
    <w:tbl>
      <w:tblPr>
        <w:tblW w:w="0" w:type="auto"/>
        <w:tblLayout w:type="fixed"/>
        <w:tblCellMar>
          <w:left w:w="62" w:type="dxa"/>
          <w:right w:w="62" w:type="dxa"/>
        </w:tblCellMar>
        <w:tblLook w:val="0000"/>
      </w:tblPr>
      <w:tblGrid>
        <w:gridCol w:w="8460"/>
      </w:tblGrid>
      <w:tr w:rsidTr="004547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REQUIRED SKILLS AND KNOWLEDGE</w:t>
            </w:r>
          </w:p>
        </w:tc>
      </w:tr>
      <w:tr w:rsidTr="0045472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8)</w:t>
            </w:r>
            <w:r w:rsidRPr="00164B01">
              <w:t xml:space="preserve"> This describes the essential skills and knowledge and their level, required for this unit.</w:t>
            </w:r>
          </w:p>
          <w:p w:rsidR="00000000" w:rsidRPr="00164B01" w:rsidP="00164B01">
            <w:pPr>
              <w:pStyle w:val="BodyText"/>
            </w:pPr>
            <w:r w:rsidRPr="00164B01">
              <w:t>Evidence shall show that knowledge has been acquired diagnosing and repair faults in instrumentation systems.</w:t>
            </w:r>
          </w:p>
          <w:p w:rsidR="00000000" w:rsidRPr="00164B01" w:rsidP="00164B01">
            <w:pPr>
              <w:pStyle w:val="BodyText"/>
            </w:pPr>
            <w:r w:rsidRPr="00164B01">
              <w:t xml:space="preserve">All knowledge and skills detailed in this unit should </w:t>
            </w:r>
            <w:r w:rsidRPr="00164B01">
              <w:t>be contextualised to current industry practices and technologies.</w:t>
            </w:r>
          </w:p>
          <w:p w:rsidR="00000000" w:rsidRPr="00164B01" w:rsidP="00164B01">
            <w:pPr>
              <w:pStyle w:val="BodyText"/>
            </w:pPr>
            <w:r w:rsidRPr="00164B01">
              <w:t>The extent of the Essential Knowledge and Associated Skills required follows:</w:t>
            </w:r>
          </w:p>
          <w:p w:rsidR="00000000" w:rsidRPr="00164B01" w:rsidP="00164B01">
            <w:pPr>
              <w:pStyle w:val="BodyText"/>
            </w:pPr>
            <w:r w:rsidRPr="00164B01">
              <w:t>KS01-PM503B  Diagnose and repair faults in instrumentation systems</w:t>
            </w:r>
          </w:p>
          <w:p w:rsidR="00000000" w:rsidRPr="00164B01" w:rsidP="00164B01">
            <w:pPr>
              <w:pStyle w:val="BodyText"/>
            </w:pPr>
            <w:r w:rsidRPr="00164B01">
              <w:t>Evidence shall show that knowledge has been a</w:t>
            </w:r>
            <w:r w:rsidRPr="00164B01">
              <w:t>cquired for safe working practices of:</w:t>
            </w:r>
          </w:p>
          <w:p w:rsidR="00000000" w:rsidRPr="00164B01" w:rsidP="00164B01">
            <w:pPr>
              <w:pStyle w:val="BodyText"/>
            </w:pPr>
            <w:r w:rsidRPr="00164B01">
              <w:t>T1 Relevant Environmental, Occupational Health and Safety legislation and  regulations</w:t>
            </w:r>
          </w:p>
          <w:p w:rsidR="00000000" w:rsidRPr="00164B01" w:rsidP="00164B01">
            <w:pPr>
              <w:pStyle w:val="BodyText"/>
            </w:pPr>
            <w:r w:rsidRPr="00164B01">
              <w:t>T2 Relevant plant and equipment, its location and operation</w:t>
            </w:r>
          </w:p>
          <w:p w:rsidR="00000000" w:rsidRPr="00164B01" w:rsidP="00164B01">
            <w:pPr>
              <w:pStyle w:val="BodyText"/>
            </w:pPr>
            <w:r w:rsidRPr="00164B01">
              <w:t>T3 Technical drawings and manufacturers manuals</w:t>
            </w:r>
          </w:p>
          <w:p w:rsidR="00000000" w:rsidRPr="00164B01" w:rsidP="00164B01">
            <w:pPr>
              <w:pStyle w:val="BodyText"/>
            </w:pPr>
            <w:r w:rsidRPr="00164B01">
              <w:t>T4 Typical arrangement</w:t>
            </w:r>
            <w:r w:rsidRPr="00164B01">
              <w:t>s of power production plant</w:t>
            </w:r>
          </w:p>
          <w:p w:rsidR="00000000" w:rsidRPr="00164B01" w:rsidP="00164B01">
            <w:pPr>
              <w:pStyle w:val="BodyText"/>
            </w:pPr>
            <w:r w:rsidRPr="00164B01">
              <w:t>T5 Relevant state and territory regulations</w:t>
            </w:r>
          </w:p>
          <w:p w:rsidR="00000000" w:rsidRPr="00164B01" w:rsidP="00164B01">
            <w:pPr>
              <w:pStyle w:val="BodyText"/>
            </w:pPr>
            <w:r w:rsidRPr="00164B01">
              <w:t>T6 Instrumentation principles and practices</w:t>
            </w:r>
          </w:p>
          <w:p w:rsidR="00000000" w:rsidRPr="00164B01" w:rsidP="00164B01">
            <w:pPr>
              <w:pStyle w:val="BodyText"/>
            </w:pPr>
            <w:r w:rsidRPr="00164B01">
              <w:t>T7 Instrument calibration techniques</w:t>
            </w:r>
          </w:p>
          <w:p w:rsidR="00000000" w:rsidRPr="00164B01" w:rsidP="00164B01">
            <w:pPr>
              <w:pStyle w:val="BodyText"/>
            </w:pPr>
            <w:r w:rsidRPr="00164B01">
              <w:t>T8 Electronic principles</w:t>
            </w:r>
          </w:p>
          <w:p w:rsidR="00000000" w:rsidRPr="00164B01" w:rsidP="00164B01">
            <w:pPr>
              <w:pStyle w:val="BodyText"/>
            </w:pPr>
            <w:r w:rsidRPr="00164B01">
              <w:t>T9 Relevant Australian standards</w:t>
            </w:r>
          </w:p>
          <w:p w:rsidR="00000000" w:rsidRPr="00164B01" w:rsidP="00164B01">
            <w:pPr>
              <w:pStyle w:val="BodyText"/>
            </w:pPr>
            <w:r w:rsidRPr="00164B01">
              <w:t>T10 Equipment and material required to perform the work</w:t>
            </w:r>
          </w:p>
          <w:p w:rsidR="00000000" w:rsidRPr="00164B01" w:rsidP="00164B01">
            <w:pPr>
              <w:pStyle w:val="BodyText"/>
            </w:pPr>
            <w:r w:rsidRPr="00164B01">
              <w:t>T11 Isolation procedures</w:t>
            </w:r>
          </w:p>
          <w:p w:rsidR="00000000" w:rsidRPr="00164B01" w:rsidP="00164B01">
            <w:pPr>
              <w:pStyle w:val="BodyText"/>
            </w:pPr>
            <w:r w:rsidRPr="00164B01">
              <w:t>T12 Plant instrument systems</w:t>
            </w:r>
          </w:p>
          <w:p w:rsidR="00000000" w:rsidRPr="00164B01" w:rsidP="00164B01">
            <w:pPr>
              <w:pStyle w:val="BodyText"/>
            </w:pPr>
            <w:r w:rsidRPr="00164B01">
              <w:t>T13 Repair techniques</w:t>
            </w:r>
          </w:p>
          <w:p w:rsidR="00000000" w:rsidRPr="00164B01" w:rsidP="00164B01">
            <w:pPr>
              <w:pStyle w:val="BodyText"/>
            </w:pPr>
            <w:r w:rsidRPr="00164B01">
              <w:t>T14 Regulatory aspects</w:t>
            </w:r>
          </w:p>
          <w:p w:rsidR="00000000" w:rsidRPr="00164B01" w:rsidP="00164B01">
            <w:pPr>
              <w:pStyle w:val="BodyText"/>
            </w:pPr>
            <w:r w:rsidRPr="00164B01">
              <w:t>T15 Electrical fundamentals</w:t>
            </w:r>
          </w:p>
          <w:p w:rsidR="00000000" w:rsidRPr="00164B01" w:rsidP="00164B01">
            <w:pPr>
              <w:pStyle w:val="BodyText"/>
            </w:pPr>
            <w:r w:rsidRPr="00164B01">
              <w:t>T16Test and measurement instruments</w:t>
            </w:r>
          </w:p>
          <w:p w:rsidR="00000000" w:rsidRPr="00164B01" w:rsidP="00164B01">
            <w:pPr>
              <w:pStyle w:val="BodyText"/>
            </w:pPr>
            <w:r w:rsidRPr="00164B01">
              <w:t>T17 Engineering and workshop practice</w:t>
            </w:r>
          </w:p>
          <w:p w:rsidR="00000000" w:rsidRPr="00164B01" w:rsidP="00164B01">
            <w:pPr>
              <w:pStyle w:val="BodyText"/>
            </w:pPr>
            <w:r w:rsidRPr="00164B01">
              <w:t>T18 Distributed control systems</w:t>
            </w:r>
          </w:p>
          <w:p w:rsidR="00000000" w:rsidRPr="00164B01" w:rsidP="00164B01">
            <w:pPr>
              <w:pStyle w:val="BodyText"/>
            </w:pPr>
            <w:r w:rsidRPr="00164B01">
              <w:t xml:space="preserve">T19 Programmable logic controller </w:t>
            </w:r>
          </w:p>
          <w:p w:rsidR="00000000" w:rsidRPr="00164B01" w:rsidP="00164B01">
            <w:pPr>
              <w:pStyle w:val="BodyText"/>
            </w:pPr>
            <w:r w:rsidRPr="00164B01">
              <w:t>KS02-PM503B  Diagnose and repair faults in instrumentation systems</w:t>
            </w:r>
          </w:p>
          <w:p w:rsidR="00000000" w:rsidRPr="00164B01" w:rsidP="00164B01">
            <w:pPr>
              <w:pStyle w:val="BodyText"/>
            </w:pPr>
            <w:r w:rsidRPr="00164B01">
              <w:t>Specific skills needed to achieve the Performance Criteria:</w:t>
            </w:r>
          </w:p>
          <w:p w:rsidR="00000000" w:rsidRPr="00164B01" w:rsidP="00164B01">
            <w:pPr>
              <w:pStyle w:val="BodyText"/>
            </w:pPr>
            <w:r w:rsidRPr="00164B01">
              <w:t>T1 Apply Relevant Environmental, Occupational Health and Safe</w:t>
            </w:r>
            <w:r w:rsidRPr="00164B01">
              <w:t>ty legislation and  regulations</w:t>
            </w:r>
          </w:p>
          <w:p w:rsidR="00000000" w:rsidRPr="00164B01" w:rsidP="00164B01">
            <w:pPr>
              <w:pStyle w:val="BodyText"/>
            </w:pPr>
            <w:r w:rsidRPr="00164B01">
              <w:t>T2 Interpret Technical drawings and manufacturers manuals</w:t>
            </w:r>
          </w:p>
          <w:p w:rsidR="00000000" w:rsidRPr="00164B01" w:rsidP="00164B01">
            <w:pPr>
              <w:pStyle w:val="BodyText"/>
            </w:pPr>
            <w:r w:rsidRPr="00164B01">
              <w:t>T3 Apply relevant state and territory regulations</w:t>
            </w:r>
          </w:p>
          <w:p w:rsidR="00000000" w:rsidRPr="00164B01" w:rsidP="00164B01">
            <w:pPr>
              <w:pStyle w:val="BodyText"/>
            </w:pPr>
            <w:r w:rsidRPr="00164B01">
              <w:t>T4 Apply electronic principles</w:t>
            </w:r>
          </w:p>
          <w:p w:rsidR="00000000" w:rsidRPr="00164B01" w:rsidP="00164B01">
            <w:pPr>
              <w:pStyle w:val="BodyText"/>
            </w:pPr>
            <w:r w:rsidRPr="00164B01">
              <w:t>T5 Apply instrumentation principles and practices</w:t>
            </w:r>
          </w:p>
          <w:p w:rsidR="00000000" w:rsidRPr="00164B01" w:rsidP="00164B01">
            <w:pPr>
              <w:pStyle w:val="BodyText"/>
            </w:pPr>
            <w:r w:rsidRPr="00164B01">
              <w:t>T6 Apply instrument calibration tec</w:t>
            </w:r>
            <w:r w:rsidRPr="00164B01">
              <w:t>hniques</w:t>
            </w:r>
          </w:p>
          <w:p w:rsidR="00000000" w:rsidRPr="00164B01" w:rsidP="00164B01">
            <w:pPr>
              <w:pStyle w:val="BodyText"/>
            </w:pPr>
            <w:r w:rsidRPr="00164B01">
              <w:t>T7 Apply relevant Australian standards</w:t>
            </w:r>
          </w:p>
          <w:p w:rsidR="00000000" w:rsidRPr="00164B01" w:rsidP="00164B01">
            <w:pPr>
              <w:pStyle w:val="BodyText"/>
            </w:pPr>
            <w:r w:rsidRPr="00164B01">
              <w:t>T8 Carry out work in a logical and safe manner</w:t>
            </w:r>
          </w:p>
          <w:p w:rsidR="00000000" w:rsidRPr="00164B01" w:rsidP="00164B01">
            <w:pPr>
              <w:pStyle w:val="BodyText"/>
            </w:pPr>
            <w:r w:rsidRPr="00164B01">
              <w:t>T9 Use tools and relevant equipment</w:t>
            </w:r>
          </w:p>
          <w:p w:rsidR="00000000" w:rsidRPr="00164B01" w:rsidP="00164B01">
            <w:pPr>
              <w:pStyle w:val="BodyText"/>
            </w:pPr>
            <w:r w:rsidRPr="00164B01">
              <w:t>T10 Use test and measurement instruments</w:t>
            </w:r>
          </w:p>
          <w:p w:rsidR="00000000" w:rsidRPr="00164B01" w:rsidP="00164B01">
            <w:pPr>
              <w:pStyle w:val="BodyText"/>
            </w:pPr>
            <w:r w:rsidRPr="00164B01">
              <w:t>T11 Verify and identify faults</w:t>
            </w:r>
          </w:p>
          <w:p w:rsidR="00000000" w:rsidRPr="00164B01" w:rsidP="00164B01">
            <w:pPr>
              <w:pStyle w:val="BodyText"/>
            </w:pPr>
            <w:r w:rsidRPr="00164B01">
              <w:t>T12 Use appropriate fault finding and diagnostic techniques</w:t>
            </w:r>
          </w:p>
          <w:p w:rsidR="00000000" w:rsidRPr="00164B01" w:rsidP="00164B01">
            <w:pPr>
              <w:pStyle w:val="BodyText"/>
            </w:pPr>
            <w:r w:rsidRPr="00164B01">
              <w:t>T13 Determine the cause of faults</w:t>
            </w:r>
          </w:p>
          <w:p w:rsidR="00000000" w:rsidRPr="00164B01" w:rsidP="00164B01">
            <w:pPr>
              <w:pStyle w:val="BodyText"/>
            </w:pPr>
            <w:r w:rsidRPr="00164B01">
              <w:t>T14 Repair faults</w:t>
            </w:r>
          </w:p>
          <w:p w:rsidR="00000000" w:rsidRPr="00164B01" w:rsidP="00164B01">
            <w:pPr>
              <w:pStyle w:val="BodyText"/>
            </w:pPr>
            <w:r w:rsidRPr="00164B01">
              <w:t>T15 Identify and select materials for the job</w:t>
            </w:r>
          </w:p>
          <w:p w:rsidR="00000000" w:rsidRPr="00164B01" w:rsidP="00164B01">
            <w:pPr>
              <w:pStyle w:val="BodyText"/>
            </w:pPr>
            <w:r w:rsidRPr="00164B01">
              <w:t>T16 Apply regulatory aspects theory</w:t>
            </w:r>
          </w:p>
          <w:p w:rsidR="00000000" w:rsidRPr="00164B01" w:rsidP="00164B01">
            <w:pPr>
              <w:pStyle w:val="BodyText"/>
            </w:pPr>
            <w:r w:rsidRPr="00164B01">
              <w:t>T17 Apply electrical fundamentals theory</w:t>
            </w:r>
          </w:p>
          <w:p w:rsidR="00000000" w:rsidRPr="00164B01" w:rsidP="00164B01">
            <w:pPr>
              <w:pStyle w:val="BodyText"/>
            </w:pPr>
            <w:r w:rsidRPr="00164B01">
              <w:t>T18 Carry out work co</w:t>
            </w:r>
            <w:r w:rsidRPr="00164B01">
              <w:t>mpletion details</w:t>
            </w:r>
          </w:p>
          <w:p w:rsidR="00000000" w:rsidRPr="00164B01" w:rsidP="00164B01">
            <w:pPr>
              <w:pStyle w:val="BodyText"/>
            </w:pPr>
            <w:r w:rsidRPr="00164B01">
              <w:t>T19 Communicate effectively</w:t>
            </w:r>
          </w:p>
          <w:p w:rsidR="00000000" w:rsidRPr="00164B01" w:rsidP="00164B01">
            <w:pPr>
              <w:pStyle w:val="BodyText"/>
            </w:pPr>
            <w:r w:rsidRPr="00164B01">
              <w:t>T20 Apply data analysis techniques and tools.</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10" w:name="O_470205"/>
      <w:bookmarkEnd w:id="10"/>
      <w:r w:rsidRPr="00164B01">
        <w:t>Evidence Guide</w:t>
      </w:r>
    </w:p>
    <w:tbl>
      <w:tblPr>
        <w:tblW w:w="0" w:type="auto"/>
        <w:tblLayout w:type="fixed"/>
        <w:tblCellMar>
          <w:left w:w="62" w:type="dxa"/>
          <w:right w:w="62" w:type="dxa"/>
        </w:tblCellMar>
        <w:tblLook w:val="0000"/>
      </w:tblPr>
      <w:tblGrid>
        <w:gridCol w:w="8460"/>
      </w:tblGrid>
      <w:tr w:rsidTr="004547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EVIDENCE GUIDE</w:t>
            </w:r>
          </w:p>
        </w:tc>
      </w:tr>
      <w:tr w:rsidTr="004547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9)</w:t>
            </w:r>
            <w:r w:rsidRPr="00164B01">
              <w:t xml:space="preserve"> Evidence Guide: This provides essential advice for assessment of the competency standard unit and must be read i</w:t>
            </w:r>
            <w:r w:rsidRPr="00164B01">
              <w:t>n conjunction with the Performance Criteria and the Range Statement of the competency standard unit and the Training Package Assessment Guidelines.</w:t>
            </w:r>
          </w:p>
          <w:p w:rsidR="00000000" w:rsidRPr="00164B01" w:rsidP="00164B01">
            <w:pPr>
              <w:pStyle w:val="BodyText"/>
            </w:pPr>
            <w:r w:rsidRPr="00164B01">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164B01" w:rsidP="00164B01">
      <w:pPr>
        <w:pStyle w:val="BodyText"/>
      </w:pPr>
    </w:p>
    <w:tbl>
      <w:tblPr>
        <w:tblW w:w="0" w:type="auto"/>
        <w:tblLayout w:type="fixed"/>
        <w:tblCellMar>
          <w:left w:w="62" w:type="dxa"/>
          <w:right w:w="62" w:type="dxa"/>
        </w:tblCellMar>
        <w:tblLook w:val="0000"/>
      </w:tblPr>
      <w:tblGrid>
        <w:gridCol w:w="1890"/>
        <w:gridCol w:w="6570"/>
      </w:tblGrid>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Overview of Assessmen</w:t>
            </w:r>
            <w:r w:rsidRPr="00164B01">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9.1)</w:t>
            </w:r>
          </w:p>
        </w:tc>
      </w:tr>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Longitude competency development approaches to assessment, such as Profiling, require data to be reliably gathered in a form that can be consistently interpreted over time. This approach is best utilised in Apprenticeship programs and reduces asse</w:t>
            </w:r>
            <w:r w:rsidRPr="00164B01">
              <w:t>ssment intervention. It is the Industry’s preferred model for apprenticeships. However, where summative (or final) assessment is used it is to include the application of the competency in the normal work environment or, at a minimum, the application of the</w:t>
            </w:r>
            <w:r w:rsidRPr="00164B01">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164B01" w:rsidP="00164B01">
            <w:pPr>
              <w:pStyle w:val="BodyText"/>
            </w:pPr>
            <w:r w:rsidRPr="00164B01">
              <w:t xml:space="preserve">Methods </w:t>
            </w:r>
            <w:r w:rsidRPr="00164B01">
              <w:t>chosen for a particular assessment will be influenced by various factors. These include the extent of the assessment, the most effective locations for the assessment activities to take place, access to physical resources, additional safety measures that ma</w:t>
            </w:r>
            <w:r w:rsidRPr="00164B01">
              <w:t>y be required and the critical nature of the competencies being assessed.</w:t>
            </w:r>
          </w:p>
          <w:p w:rsidR="00000000" w:rsidRPr="00164B01" w:rsidP="00164B01">
            <w:pPr>
              <w:pStyle w:val="BodyText"/>
            </w:pPr>
            <w:r w:rsidRPr="00164B01">
              <w:t>The critical safety nature of working with electricity, electrical equipment, gas or any other hazardous substance/material carries risk in deeming a person competent. Hence, sources</w:t>
            </w:r>
            <w:r w:rsidRPr="00164B01">
              <w:t xml:space="preserve"> of evidence need to be ‘rich’ in nature so as to minimise error in judgment.</w:t>
            </w:r>
          </w:p>
          <w:p w:rsidR="00000000" w:rsidRPr="00164B01" w:rsidP="00164B01">
            <w:pPr>
              <w:pStyle w:val="BodyText"/>
            </w:pPr>
            <w:r w:rsidRPr="00164B01">
              <w:t>Activities associated with normal every day work have a bearing on the decision as to how much and how detailed the data gathered will contribute to its ‘richness’. Some skills a</w:t>
            </w:r>
            <w:r w:rsidRPr="00164B01">
              <w:t>re more critical to safety and operational requirements while the same skills may be more or less frequently practised. These points are raised for the assessors to consider when choosing an assessment method and developing assessment instruments. Sample a</w:t>
            </w:r>
            <w:r w:rsidRPr="00164B01">
              <w:t>ssessment instruments are included for Assessors in the Assessment Guidelines of this Training Package.</w:t>
            </w:r>
          </w:p>
        </w:tc>
      </w:tr>
    </w:tbl>
    <w:p w:rsidR="00000000" w:rsidRPr="00164B01" w:rsidP="00164B01">
      <w:pPr>
        <w:pStyle w:val="BodyText"/>
      </w:pPr>
    </w:p>
    <w:tbl>
      <w:tblPr>
        <w:tblW w:w="0" w:type="auto"/>
        <w:tblLayout w:type="fixed"/>
        <w:tblCellMar>
          <w:left w:w="62" w:type="dxa"/>
          <w:right w:w="62" w:type="dxa"/>
        </w:tblCellMar>
        <w:tblLook w:val="0000"/>
      </w:tblPr>
      <w:tblGrid>
        <w:gridCol w:w="1890"/>
        <w:gridCol w:w="6570"/>
      </w:tblGrid>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9.2)</w:t>
            </w:r>
          </w:p>
        </w:tc>
      </w:tr>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Before the critical aspects of evidence are considered all pre-requisites shall be met.</w:t>
            </w:r>
          </w:p>
          <w:p w:rsidR="00000000" w:rsidRPr="00164B01" w:rsidP="00164B01">
            <w:pPr>
              <w:pStyle w:val="BodyText"/>
            </w:pPr>
            <w:r w:rsidRPr="00164B01">
              <w:t>Evidence for competence in this unit shall be considered holistically.  Each element and associated Performance Criteria shall be demonstrated on at least two occasions</w:t>
            </w:r>
            <w:r w:rsidRPr="00164B01">
              <w:t xml:space="preserve"> in accordance with the “Assessment Guidelines – UEP12”.  Evidence shall also comprise:</w:t>
            </w:r>
          </w:p>
          <w:p w:rsidR="00000000" w:rsidRPr="00164B01" w:rsidP="00164B01">
            <w:pPr>
              <w:pStyle w:val="ListBullet"/>
            </w:pPr>
            <w:r w:rsidRPr="00164B01">
              <w:t>A representative body of work performance demonstrated within the timeframes typically expected of the discipline, work function and industrial environment. In particu</w:t>
            </w:r>
            <w:r w:rsidRPr="00164B01">
              <w:t>lar this shall incorporate evidence that shows a candidate is able to:</w:t>
            </w:r>
          </w:p>
          <w:p w:rsidR="00000000" w:rsidRPr="00164B01" w:rsidP="00164B01">
            <w:pPr>
              <w:pStyle w:val="ListBullet2"/>
            </w:pPr>
            <w:r w:rsidRPr="00164B01">
              <w:t>Implement Occupational Health and Safety workplace procedures and practices including the use of risk control measures as specified in the Performance Criteria and Range Statement</w:t>
            </w:r>
          </w:p>
          <w:p w:rsidR="00000000" w:rsidRPr="00164B01" w:rsidP="00164B01">
            <w:pPr>
              <w:pStyle w:val="ListBullet2"/>
            </w:pPr>
            <w:r w:rsidRPr="00164B01">
              <w:t>Appl</w:t>
            </w:r>
            <w:r w:rsidRPr="00164B01">
              <w:t>y sustainable energy principles and practices as specified in the Performance Criteria and Range Statement</w:t>
            </w:r>
          </w:p>
          <w:p w:rsidR="00000000" w:rsidRPr="00164B01" w:rsidP="00164B01">
            <w:pPr>
              <w:pStyle w:val="ListBullet2"/>
            </w:pPr>
            <w:r w:rsidRPr="00164B01">
              <w:t>Demonstrate an understanding of the essential knowledge and associated skills as described in 6) Essential Knowledge and Associated Skills of this un</w:t>
            </w:r>
            <w:r w:rsidRPr="00164B01">
              <w:t>it</w:t>
            </w:r>
          </w:p>
          <w:p w:rsidR="00000000" w:rsidRPr="00164B01" w:rsidP="00164B01">
            <w:pPr>
              <w:pStyle w:val="ListBullet2"/>
            </w:pPr>
            <w:r w:rsidRPr="00164B01">
              <w:t>Demonstrate an appropriate level of employability skills</w:t>
            </w:r>
          </w:p>
          <w:p w:rsidR="00000000" w:rsidRPr="00164B01" w:rsidP="00164B01">
            <w:pPr>
              <w:pStyle w:val="ListBullet2"/>
            </w:pPr>
            <w:r w:rsidRPr="00164B01">
              <w:t>Conduct work observing the relevant Anti Discrimination legislation, regulations, polices and workplace procedures</w:t>
            </w:r>
          </w:p>
          <w:p w:rsidR="00000000" w:rsidRPr="00164B01" w:rsidP="00164B01">
            <w:pPr>
              <w:pStyle w:val="ListBullet"/>
            </w:pPr>
            <w:r w:rsidRPr="00164B01">
              <w:t>Demonstrated performance across a representative range of contexts from the pres</w:t>
            </w:r>
            <w:r w:rsidRPr="00164B01">
              <w:t>cribed items below:</w:t>
            </w:r>
          </w:p>
          <w:p w:rsidR="00000000" w:rsidRPr="00164B01" w:rsidP="00164B01">
            <w:pPr>
              <w:pStyle w:val="ListBullet2"/>
            </w:pPr>
            <w:r w:rsidRPr="00164B01">
              <w:t>Evidence of recognition of potential hazards in the workplace.</w:t>
            </w:r>
          </w:p>
          <w:p w:rsidR="00000000" w:rsidRPr="00164B01" w:rsidP="00164B01">
            <w:pPr>
              <w:pStyle w:val="ListBullet2"/>
            </w:pPr>
            <w:r w:rsidRPr="00164B01">
              <w:t>Evidence that symbols are identified and used for Occupational Health and Safety signs.</w:t>
            </w:r>
          </w:p>
          <w:p w:rsidR="00000000" w:rsidRPr="00164B01" w:rsidP="00164B01">
            <w:pPr>
              <w:pStyle w:val="ListBullet2"/>
            </w:pPr>
            <w:r w:rsidRPr="00164B01">
              <w:t>Dealing with an unplanned event by drawing on Essential Knowledge and Skills to prov</w:t>
            </w:r>
            <w:r w:rsidRPr="00164B01">
              <w:t>ide appropriate solutions incorporated in the holistic assessment with the above listed items.</w:t>
            </w:r>
          </w:p>
          <w:p w:rsidR="00000000" w:rsidRPr="00164B01" w:rsidP="00164B01">
            <w:pPr>
              <w:pStyle w:val="ListBullet2"/>
            </w:pPr>
            <w:r w:rsidRPr="00164B01">
              <w:t>Knowledge and application of relevant sections of: Occupational Health and Safety legislation; Statutory legislation; Enterprise/site safety procedures; Enterprise/site emergency procedures</w:t>
            </w:r>
          </w:p>
          <w:p w:rsidR="00000000" w:rsidRPr="00164B01" w:rsidP="00164B01">
            <w:pPr>
              <w:pStyle w:val="ListBullet2"/>
            </w:pPr>
            <w:r w:rsidRPr="00164B01">
              <w:t>Preparation and planning of work, Verification techniques, Diagnos</w:t>
            </w:r>
            <w:r w:rsidRPr="00164B01">
              <w:t>tic and fault finding techniques and procedures associated with electrical work,, Repair techniques and procedures, Completion of work procedures</w:t>
            </w:r>
          </w:p>
        </w:tc>
      </w:tr>
    </w:tbl>
    <w:p w:rsidR="00000000" w:rsidRPr="00164B01" w:rsidP="00164B01">
      <w:pPr>
        <w:pStyle w:val="BodyText"/>
      </w:pPr>
    </w:p>
    <w:tbl>
      <w:tblPr>
        <w:tblW w:w="0" w:type="auto"/>
        <w:tblLayout w:type="fixed"/>
        <w:tblCellMar>
          <w:left w:w="62" w:type="dxa"/>
          <w:right w:w="62" w:type="dxa"/>
        </w:tblCellMar>
        <w:tblLook w:val="0000"/>
      </w:tblPr>
      <w:tblGrid>
        <w:gridCol w:w="1890"/>
        <w:gridCol w:w="6570"/>
      </w:tblGrid>
      <w:tr w:rsidTr="0045472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9.3)</w:t>
            </w:r>
          </w:p>
        </w:tc>
      </w:tr>
      <w:tr w:rsidTr="0045472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This unit should be assessed as it relates to normal work practice using procedures, information and resources typical of a workplace. This should include:</w:t>
            </w:r>
          </w:p>
          <w:p w:rsidR="00000000" w:rsidRPr="00164B01" w:rsidP="00164B01">
            <w:pPr>
              <w:pStyle w:val="ListBullet"/>
            </w:pPr>
            <w:r w:rsidRPr="00164B01">
              <w:t>OHS policy and work procedures and instructions.</w:t>
            </w:r>
          </w:p>
          <w:p w:rsidR="00000000" w:rsidRPr="00164B01" w:rsidP="00164B01">
            <w:pPr>
              <w:pStyle w:val="ListBullet"/>
            </w:pPr>
            <w:r w:rsidRPr="00164B01">
              <w:t>Suitable work environment, facilities, equipment a</w:t>
            </w:r>
            <w:r w:rsidRPr="00164B01">
              <w:t>nd materials to undertake actual work as prescribed by this unit.</w:t>
            </w:r>
          </w:p>
          <w:p w:rsidR="00000000" w:rsidRPr="00164B01" w:rsidP="00164B01">
            <w:pPr>
              <w:pStyle w:val="BodyText"/>
            </w:pPr>
            <w:r w:rsidRPr="00164B01">
              <w:t>Competency Standards should be assessed in the workplace or simulated workplace and under the normal range of workplace conditions.</w:t>
            </w:r>
          </w:p>
          <w:p w:rsidR="00000000" w:rsidRPr="00164B01" w:rsidP="00164B01">
            <w:pPr>
              <w:pStyle w:val="BodyText"/>
            </w:pPr>
            <w:r w:rsidRPr="00164B01">
              <w:t>Assessment of this unit will be supported with documentary</w:t>
            </w:r>
            <w:r w:rsidRPr="00164B01">
              <w:t xml:space="preserve"> evidence, by means of endorsement stating type and application of work.</w:t>
            </w:r>
          </w:p>
          <w:p w:rsidR="00000000" w:rsidRPr="00164B01" w:rsidP="00164B01">
            <w:pPr>
              <w:pStyle w:val="BodyText"/>
            </w:pPr>
            <w:r w:rsidRPr="00164B01">
              <w:t>In addition to the resources listed above in Context of assessment’, evidence should show competency working, in limited spaces, with different types of plant and equipment as well as</w:t>
            </w:r>
            <w:r w:rsidRPr="00164B01">
              <w:t xml:space="preserve"> different structural/construction types and method and in a variety of environments.</w:t>
            </w:r>
          </w:p>
        </w:tc>
      </w:tr>
    </w:tbl>
    <w:p w:rsidR="00000000" w:rsidRPr="00164B01" w:rsidP="00164B01">
      <w:pPr>
        <w:pStyle w:val="BodyText"/>
      </w:pPr>
    </w:p>
    <w:tbl>
      <w:tblPr>
        <w:tblW w:w="0" w:type="auto"/>
        <w:tblLayout w:type="fixed"/>
        <w:tblCellMar>
          <w:left w:w="62" w:type="dxa"/>
          <w:right w:w="62" w:type="dxa"/>
        </w:tblCellMar>
        <w:tblLook w:val="0000"/>
      </w:tblPr>
      <w:tblGrid>
        <w:gridCol w:w="1890"/>
        <w:gridCol w:w="6570"/>
      </w:tblGrid>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9.4)</w:t>
            </w:r>
          </w:p>
        </w:tc>
      </w:tr>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This unit shall be assessed by methods given in Section 1.3.00 Assessment Guidelines.</w:t>
            </w:r>
          </w:p>
          <w:p w:rsidR="00000000" w:rsidRPr="00164B01" w:rsidP="00164B01">
            <w:pPr>
              <w:pStyle w:val="BodyText"/>
            </w:pPr>
            <w:r w:rsidRPr="00164B01">
              <w:t xml:space="preserve">Note: </w:t>
            </w:r>
          </w:p>
          <w:p w:rsidR="00000000" w:rsidRPr="00164B01" w:rsidP="00164B01">
            <w:pPr>
              <w:pStyle w:val="BodyText"/>
            </w:pPr>
            <w:r w:rsidRPr="00164B01">
              <w:t>Competent performance with inherent safe working practices is expected in the Industry to which this unit applies. This requires that the specified essential knowledge and associated skills are assessed in a structured environment which is primarily intend</w:t>
            </w:r>
            <w:r w:rsidRPr="00164B01">
              <w:t>ed for learning/assessment and incorporates all necessary equipment and facilities for learners to develop and demonstrate the Essential Knowledge and Skills described in this unit.</w:t>
            </w:r>
          </w:p>
        </w:tc>
      </w:tr>
    </w:tbl>
    <w:p w:rsidR="00000000" w:rsidRPr="00164B01" w:rsidP="00164B01">
      <w:pPr>
        <w:pStyle w:val="BodyText"/>
      </w:pPr>
    </w:p>
    <w:tbl>
      <w:tblPr>
        <w:tblW w:w="0" w:type="auto"/>
        <w:tblLayout w:type="fixed"/>
        <w:tblCellMar>
          <w:left w:w="62" w:type="dxa"/>
          <w:right w:w="62" w:type="dxa"/>
        </w:tblCellMar>
        <w:tblLook w:val="0000"/>
      </w:tblPr>
      <w:tblGrid>
        <w:gridCol w:w="1890"/>
        <w:gridCol w:w="6570"/>
      </w:tblGrid>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9.5)</w:t>
            </w:r>
          </w:p>
        </w:tc>
      </w:tr>
      <w:tr w:rsidTr="004547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There are</w:t>
            </w:r>
            <w:r w:rsidRPr="00164B01">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164B01" w:rsidP="00164B01">
            <w:pPr>
              <w:pStyle w:val="BodyText"/>
            </w:pPr>
            <w:r w:rsidRPr="00164B01">
              <w:t>Nil</w:t>
            </w:r>
            <w:r w:rsidRPr="00164B01">
              <w:tab/>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11" w:name="O_470209"/>
      <w:bookmarkEnd w:id="11"/>
      <w:r w:rsidRPr="00164B01">
        <w:t xml:space="preserve">Range </w:t>
      </w:r>
      <w:r w:rsidRPr="00164B01">
        <w:t>Statement</w:t>
      </w:r>
    </w:p>
    <w:tbl>
      <w:tblPr>
        <w:tblW w:w="0" w:type="auto"/>
        <w:tblLayout w:type="fixed"/>
        <w:tblCellMar>
          <w:left w:w="62" w:type="dxa"/>
          <w:right w:w="62" w:type="dxa"/>
        </w:tblCellMar>
        <w:tblLook w:val="0000"/>
      </w:tblPr>
      <w:tblGrid>
        <w:gridCol w:w="8460"/>
      </w:tblGrid>
      <w:tr w:rsidTr="004547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RANGE STATEMENT</w:t>
            </w:r>
          </w:p>
        </w:tc>
      </w:tr>
      <w:tr w:rsidTr="004547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10)</w:t>
            </w:r>
            <w:r w:rsidRPr="00164B01">
              <w:t xml:space="preserve"> This relates to the competency standard unit as a whole providing the range of contexts and </w:t>
            </w:r>
            <w:r w:rsidRPr="00164B01">
              <w:t>conditions to which the Performance Criteria apply. It allows for different work environments and situations that will affect performance.</w:t>
            </w:r>
          </w:p>
          <w:p w:rsidR="00000000" w:rsidRPr="00164B01" w:rsidP="00164B01">
            <w:pPr>
              <w:pStyle w:val="BodyText"/>
            </w:pPr>
            <w:r w:rsidRPr="00164B01">
              <w:t>Inspection should be planned with the appropriate parties to determine access, conditions and work requirements.</w:t>
            </w:r>
          </w:p>
          <w:p w:rsidR="00000000" w:rsidRPr="00164B01" w:rsidP="00164B01">
            <w:pPr>
              <w:pStyle w:val="BodyText"/>
            </w:pPr>
            <w:r w:rsidRPr="00164B01">
              <w:t>Syst</w:t>
            </w:r>
            <w:r w:rsidRPr="00164B01">
              <w:t>ems can refer to boiler automatic control systems, furnace safeguard supervision system, gas turbine control system, water ingress protection system, ashing system, water treatment plant control system, conveyor systems, sootblower system, generator coolin</w:t>
            </w:r>
            <w:r w:rsidRPr="00164B01">
              <w:t>g system, generator excitation system, annunciator system and flame surveillance system, emergency shutdown systems, turbine compressor set control systems, compressor station control systems, gas turbine generator control systems, bore control systems, di</w:t>
            </w:r>
            <w:r w:rsidRPr="00164B01">
              <w:t>stributive control systems and complex fire/security systems.</w:t>
            </w:r>
          </w:p>
          <w:p w:rsidR="00000000" w:rsidRPr="00164B01" w:rsidP="00164B01">
            <w:pPr>
              <w:pStyle w:val="BodyText"/>
            </w:pPr>
            <w:r w:rsidRPr="00164B01">
              <w:t>Materials may include cables, solder/flux, lubricants, cleaning solvents, contact cleaners, connectors, adhesive and sealants.</w:t>
            </w:r>
          </w:p>
          <w:p w:rsidR="00000000" w:rsidRPr="00164B01" w:rsidP="00164B01">
            <w:pPr>
              <w:pStyle w:val="BodyText"/>
            </w:pPr>
            <w:r w:rsidRPr="00164B01">
              <w:t>Components may include power supplies, relays, PLC input/output blo</w:t>
            </w:r>
            <w:r w:rsidRPr="00164B01">
              <w:t>cks, printed circuit boards, protection devices, switches, transformers, servo valves, positioners, converters, controllers, function cards and transmitters.</w:t>
            </w:r>
          </w:p>
          <w:p w:rsidR="00000000" w:rsidRPr="00164B01" w:rsidP="00164B01">
            <w:pPr>
              <w:pStyle w:val="BodyText"/>
            </w:pPr>
            <w:r w:rsidRPr="00164B01">
              <w:t>Test and measurement instruments may include multimeter, decade box, d.c. I/V standard, potentiome</w:t>
            </w:r>
            <w:r w:rsidRPr="00164B01">
              <w:t>ter, hand-held communicator/programmer, frequency counter, function generator, CRO, LCR bridge, logic analyser and specialised test equipment.</w:t>
            </w:r>
          </w:p>
          <w:p w:rsidR="00000000" w:rsidRPr="00164B01" w:rsidP="00164B01">
            <w:pPr>
              <w:pStyle w:val="BodyText"/>
            </w:pPr>
            <w:r w:rsidRPr="00164B01">
              <w:t>Fault finding and diagnostic techniques may include linear approach, half split rule, sensory detection, insulati</w:t>
            </w:r>
            <w:r w:rsidRPr="00164B01">
              <w:t>on/resistance and continuity tests.</w:t>
            </w:r>
          </w:p>
          <w:p w:rsidR="00000000" w:rsidRPr="00164B01" w:rsidP="00164B01">
            <w:pPr>
              <w:pStyle w:val="BodyText"/>
            </w:pPr>
            <w:r w:rsidRPr="00164B01">
              <w:t>Fault indicators may include indication lamps, LED’s, alarms and flag relays.</w:t>
            </w:r>
          </w:p>
          <w:p w:rsidR="00000000" w:rsidRPr="00164B01" w:rsidP="00164B01">
            <w:pPr>
              <w:pStyle w:val="BodyText"/>
            </w:pPr>
            <w:r w:rsidRPr="00164B01">
              <w:t>Work may be performed with system on line</w:t>
            </w:r>
          </w:p>
          <w:p w:rsidR="00000000" w:rsidRPr="00164B01" w:rsidP="00164B01">
            <w:pPr>
              <w:pStyle w:val="BodyText"/>
            </w:pPr>
            <w:r w:rsidRPr="00164B01">
              <w:t>Work completion details may include plant and maintenance records, job cards, check sheets and on de</w:t>
            </w:r>
            <w:r w:rsidRPr="00164B01">
              <w:t>vice labelling updates.</w:t>
            </w:r>
          </w:p>
          <w:p w:rsidR="00000000" w:rsidRPr="00164B01" w:rsidP="00164B01">
            <w:pPr>
              <w:pStyle w:val="BodyText"/>
            </w:pPr>
            <w:r w:rsidRPr="00164B01">
              <w:t>Work site environment may be affected by nearby plant or processes, e.g. heat, noise, dust, oil, water and chemical.</w:t>
            </w:r>
          </w:p>
          <w:p w:rsidR="00000000" w:rsidRPr="00164B01" w:rsidP="00164B01">
            <w:pPr>
              <w:pStyle w:val="BodyText"/>
            </w:pPr>
            <w:r w:rsidRPr="00164B01">
              <w:t>Isolations can refer to electrical/mechanical or other associated processes.</w:t>
            </w:r>
          </w:p>
          <w:p w:rsidR="00000000" w:rsidRPr="00164B01" w:rsidP="00164B01">
            <w:pPr>
              <w:pStyle w:val="BodyText"/>
            </w:pPr>
            <w:r w:rsidRPr="00164B01">
              <w:t>Generic terms are used throughout this</w:t>
            </w:r>
            <w:r w:rsidRPr="00164B01">
              <w:t xml:space="preserve"> Training Package for vocational standard shall be regarded as part of the Range Statement in which competency is demonstrated. The definition of these and other terms are given in Section 2.1 Preliminary Information and Glossaries.</w:t>
            </w:r>
          </w:p>
        </w:tc>
      </w:tr>
    </w:tbl>
    <w:p w:rsidR="00000000" w:rsidRPr="00164B01" w:rsidP="00164B01">
      <w:pPr>
        <w:pStyle w:val="BodyText"/>
      </w:pPr>
    </w:p>
    <w:p w:rsidR="00000000" w:rsidRPr="00164B01" w:rsidP="00164B01">
      <w:pPr>
        <w:pStyle w:val="AllowPageBreak"/>
      </w:pPr>
    </w:p>
    <w:p w:rsidR="00000000" w:rsidRPr="00164B01" w:rsidP="00164B01">
      <w:pPr>
        <w:pStyle w:val="Heading1"/>
      </w:pPr>
      <w:bookmarkStart w:id="12" w:name="O_470212"/>
      <w:bookmarkEnd w:id="12"/>
      <w:r w:rsidRPr="00164B01">
        <w:t>Unit Sector(s)</w:t>
      </w:r>
    </w:p>
    <w:p w:rsidR="00000000" w:rsidRPr="00164B01" w:rsidP="00164B01">
      <w:pPr>
        <w:pStyle w:val="BodyText"/>
      </w:pPr>
      <w:r w:rsidRPr="00164B01">
        <w:t>Not applicable.</w:t>
      </w:r>
    </w:p>
    <w:p w:rsidR="00000000" w:rsidRPr="00164B01" w:rsidP="00164B01">
      <w:pPr>
        <w:pStyle w:val="AllowPageBreak"/>
      </w:pPr>
    </w:p>
    <w:p w:rsidR="00000000" w:rsidRPr="00164B01" w:rsidP="00164B01">
      <w:pPr>
        <w:pStyle w:val="Heading1"/>
      </w:pPr>
      <w:bookmarkStart w:id="13" w:name="O_470201"/>
      <w:bookmarkEnd w:id="13"/>
      <w:r w:rsidRPr="00164B01">
        <w:t>Competency Field</w:t>
      </w:r>
    </w:p>
    <w:tbl>
      <w:tblPr>
        <w:tblW w:w="0" w:type="auto"/>
        <w:tblLayout w:type="fixed"/>
        <w:tblCellMar>
          <w:left w:w="62" w:type="dxa"/>
          <w:right w:w="62" w:type="dxa"/>
        </w:tblCellMar>
        <w:tblLook w:val="0000"/>
      </w:tblPr>
      <w:tblGrid>
        <w:gridCol w:w="2700"/>
        <w:gridCol w:w="5760"/>
      </w:tblGrid>
      <w:tr w:rsidTr="004547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4B01">
            <w:pPr>
              <w:pStyle w:val="BodyText"/>
              <w:rPr>
                <w:lang w:val="en-NZ"/>
              </w:rPr>
            </w:pPr>
            <w:r w:rsidRPr="00164B01">
              <w:rPr>
                <w:rStyle w:val="SpecialBold"/>
              </w:rPr>
              <w:t xml:space="preserve">11) </w:t>
            </w:r>
          </w:p>
        </w:tc>
      </w:tr>
      <w:tr w:rsidTr="004547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4B01" w:rsidP="00164B01">
            <w:pPr>
              <w:pStyle w:val="BodyText"/>
            </w:pPr>
            <w:r w:rsidRPr="00164B01">
              <w:t>Maintenance.</w:t>
            </w:r>
          </w:p>
        </w:tc>
      </w:tr>
    </w:tbl>
    <w:p w:rsidR="00000000" w:rsidRPr="00164B01" w:rsidP="00164B01">
      <w:pPr>
        <w:pStyle w:val="BodyText"/>
      </w:pPr>
    </w:p>
    <w:p w:rsidR="00000000" w:rsidRPr="00164B01" w:rsidP="00164B01"/>
    <w:sectPr w:rsidSect="00164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72F" w:rsidP="004547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2F" w:rsidP="00164B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472F" w:rsidP="00164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472F" w:rsidP="00164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B01" w:rsidRPr="0045472F" w:rsidP="004547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72F" w:rsidRPr="002D2AF8" w:rsidP="00164B01">
    <w:pPr>
      <w:pStyle w:val="Header"/>
      <w:framePr w:wrap="around"/>
    </w:pPr>
    <w:r>
      <w:fldChar w:fldCharType="begin"/>
    </w:r>
    <w:r>
      <w:instrText xml:space="preserve"> TITLE   \* MERGEFORMAT </w:instrText>
    </w:r>
    <w:r>
      <w:fldChar w:fldCharType="separate"/>
    </w:r>
    <w:r>
      <w:t>UEPMNT503B Diagnose and repair faults in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5472F" w:rsidP="00164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502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00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21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B01"/>
    <w:pPr>
      <w:spacing w:before="360" w:after="60"/>
      <w:outlineLvl w:val="0"/>
    </w:pPr>
    <w:rPr>
      <w:sz w:val="32"/>
    </w:rPr>
  </w:style>
  <w:style w:type="paragraph" w:styleId="Heading2">
    <w:name w:val="heading 2"/>
    <w:basedOn w:val="HeadingBase"/>
    <w:next w:val="BodyText"/>
    <w:link w:val="Heading2Char"/>
    <w:qFormat/>
    <w:rsid w:val="00164B01"/>
    <w:pPr>
      <w:keepLines/>
      <w:spacing w:before="240" w:after="120"/>
      <w:outlineLvl w:val="1"/>
    </w:pPr>
    <w:rPr>
      <w:sz w:val="28"/>
      <w:szCs w:val="40"/>
    </w:rPr>
  </w:style>
  <w:style w:type="paragraph" w:styleId="Heading3">
    <w:name w:val="heading 3"/>
    <w:basedOn w:val="HeadingBase"/>
    <w:next w:val="BodyText"/>
    <w:link w:val="Heading3Char"/>
    <w:qFormat/>
    <w:rsid w:val="00164B01"/>
    <w:pPr>
      <w:spacing w:before="180" w:after="120"/>
      <w:outlineLvl w:val="2"/>
    </w:pPr>
    <w:rPr>
      <w:spacing w:val="-10"/>
      <w:kern w:val="32"/>
    </w:rPr>
  </w:style>
  <w:style w:type="paragraph" w:styleId="Heading4">
    <w:name w:val="heading 4"/>
    <w:basedOn w:val="HeadingBase"/>
    <w:next w:val="BodyText"/>
    <w:link w:val="Heading4Char"/>
    <w:qFormat/>
    <w:rsid w:val="00164B01"/>
    <w:pPr>
      <w:spacing w:before="160" w:after="120"/>
      <w:outlineLvl w:val="3"/>
    </w:pPr>
    <w:rPr>
      <w:sz w:val="22"/>
    </w:rPr>
  </w:style>
  <w:style w:type="paragraph" w:styleId="Heading5">
    <w:name w:val="heading 5"/>
    <w:basedOn w:val="HeadingBase"/>
    <w:next w:val="Normal"/>
    <w:link w:val="Heading5Char"/>
    <w:qFormat/>
    <w:rsid w:val="00164B01"/>
    <w:pPr>
      <w:spacing w:before="80"/>
      <w:outlineLvl w:val="4"/>
    </w:pPr>
    <w:rPr>
      <w:color w:val="918585"/>
      <w:sz w:val="20"/>
    </w:rPr>
  </w:style>
  <w:style w:type="paragraph" w:styleId="Heading6">
    <w:name w:val="heading 6"/>
    <w:basedOn w:val="HeadingBase"/>
    <w:next w:val="Normal"/>
    <w:link w:val="Heading6Char"/>
    <w:qFormat/>
    <w:rsid w:val="00164B01"/>
    <w:pPr>
      <w:spacing w:before="60"/>
      <w:outlineLvl w:val="5"/>
    </w:pPr>
    <w:rPr>
      <w:color w:val="918585"/>
      <w:sz w:val="20"/>
    </w:rPr>
  </w:style>
  <w:style w:type="paragraph" w:styleId="Heading7">
    <w:name w:val="heading 7"/>
    <w:basedOn w:val="Normal"/>
    <w:next w:val="Normal"/>
    <w:link w:val="Heading7Char"/>
    <w:qFormat/>
    <w:rsid w:val="00164B01"/>
    <w:pPr>
      <w:ind w:left="720"/>
      <w:outlineLvl w:val="6"/>
    </w:pPr>
    <w:rPr>
      <w:i/>
    </w:rPr>
  </w:style>
  <w:style w:type="paragraph" w:styleId="Heading8">
    <w:name w:val="heading 8"/>
    <w:basedOn w:val="Normal"/>
    <w:next w:val="Normal"/>
    <w:link w:val="Heading8Char"/>
    <w:qFormat/>
    <w:rsid w:val="00164B01"/>
    <w:pPr>
      <w:ind w:left="720"/>
      <w:outlineLvl w:val="7"/>
    </w:pPr>
    <w:rPr>
      <w:i/>
    </w:rPr>
  </w:style>
  <w:style w:type="paragraph" w:styleId="Heading9">
    <w:name w:val="heading 9"/>
    <w:basedOn w:val="Normal"/>
    <w:next w:val="Normal"/>
    <w:link w:val="Heading9Char"/>
    <w:qFormat/>
    <w:rsid w:val="00164B01"/>
    <w:pPr>
      <w:ind w:left="720"/>
      <w:outlineLvl w:val="8"/>
    </w:pPr>
    <w:rPr>
      <w:i/>
    </w:rPr>
  </w:style>
  <w:style w:type="character" w:default="1" w:styleId="DefaultParagraphFont">
    <w:name w:val="Default Paragraph Font"/>
    <w:uiPriority w:val="1"/>
    <w:unhideWhenUsed/>
    <w:rsid w:val="00164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B01"/>
  </w:style>
  <w:style w:type="character" w:customStyle="1" w:styleId="Heading1Char">
    <w:name w:val="Heading 1 Char"/>
    <w:basedOn w:val="DefaultParagraphFont"/>
    <w:link w:val="Heading1"/>
    <w:rsid w:val="00164B01"/>
    <w:rPr>
      <w:rFonts w:ascii="Times New Roman" w:eastAsia="Times New Roman" w:hAnsi="Times New Roman" w:cs="Times New Roman"/>
      <w:b/>
      <w:sz w:val="32"/>
      <w:szCs w:val="20"/>
      <w:lang w:eastAsia="en-US"/>
    </w:rPr>
  </w:style>
  <w:style w:type="paragraph" w:styleId="BodyText">
    <w:name w:val="Body Text"/>
    <w:basedOn w:val="Normal"/>
    <w:link w:val="BodyTextChar"/>
    <w:rsid w:val="00164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B01"/>
    <w:rPr>
      <w:rFonts w:ascii="Times New Roman" w:eastAsia="Times New Roman" w:hAnsi="Times New Roman" w:cs="Times New Roman"/>
      <w:sz w:val="24"/>
      <w:lang w:eastAsia="en-US"/>
    </w:rPr>
  </w:style>
  <w:style w:type="paragraph" w:styleId="Footer">
    <w:name w:val="footer"/>
    <w:basedOn w:val="Normal"/>
    <w:link w:val="FooterChar"/>
    <w:rsid w:val="00164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B01"/>
    <w:rPr>
      <w:rFonts w:ascii="Times New Roman" w:eastAsia="Times New Roman" w:hAnsi="Times New Roman" w:cs="Times New Roman"/>
      <w:sz w:val="16"/>
      <w:lang w:eastAsia="en-US"/>
    </w:rPr>
  </w:style>
  <w:style w:type="paragraph" w:styleId="ListBullet">
    <w:name w:val="List Bullet"/>
    <w:basedOn w:val="List"/>
    <w:rsid w:val="00164B01"/>
    <w:pPr>
      <w:numPr>
        <w:numId w:val="13"/>
      </w:numPr>
      <w:tabs>
        <w:tab w:val="clear" w:pos="340"/>
      </w:tabs>
      <w:spacing w:before="40" w:after="40"/>
    </w:pPr>
  </w:style>
  <w:style w:type="character" w:customStyle="1" w:styleId="SpecialBold">
    <w:name w:val="Special Bold"/>
    <w:basedOn w:val="DefaultParagraphFont"/>
    <w:rsid w:val="00164B01"/>
    <w:rPr>
      <w:b/>
      <w:spacing w:val="0"/>
    </w:rPr>
  </w:style>
  <w:style w:type="paragraph" w:styleId="ListBullet2">
    <w:name w:val="List Bullet 2"/>
    <w:basedOn w:val="List2"/>
    <w:rsid w:val="00164B01"/>
    <w:pPr>
      <w:numPr>
        <w:numId w:val="14"/>
      </w:numPr>
      <w:tabs>
        <w:tab w:val="clear" w:pos="680"/>
      </w:tabs>
    </w:pPr>
  </w:style>
  <w:style w:type="paragraph" w:customStyle="1" w:styleId="SuperHeading">
    <w:name w:val="SuperHeading"/>
    <w:basedOn w:val="Normal"/>
    <w:rsid w:val="00164B01"/>
    <w:pPr>
      <w:spacing w:before="240" w:after="120"/>
      <w:outlineLvl w:val="0"/>
    </w:pPr>
    <w:rPr>
      <w:rFonts w:ascii="Times New Roman" w:hAnsi="Times New Roman"/>
      <w:b/>
      <w:sz w:val="28"/>
    </w:rPr>
  </w:style>
  <w:style w:type="paragraph" w:customStyle="1" w:styleId="AllowPageBreak">
    <w:name w:val="AllowPageBreak"/>
    <w:rsid w:val="00164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B01"/>
    <w:rPr>
      <w:rFonts w:ascii="Courier New" w:eastAsia="Times New Roman" w:hAnsi="Courier New" w:cs="Times New Roman"/>
      <w:i/>
      <w:szCs w:val="20"/>
      <w:lang w:eastAsia="en-US"/>
    </w:rPr>
  </w:style>
  <w:style w:type="paragraph" w:customStyle="1" w:styleId="HeadingBase">
    <w:name w:val="Heading Base"/>
    <w:rsid w:val="00164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B01"/>
    <w:pPr>
      <w:tabs>
        <w:tab w:val="right" w:leader="dot" w:pos="9072"/>
      </w:tabs>
      <w:ind w:left="567"/>
    </w:pPr>
    <w:rPr>
      <w:szCs w:val="22"/>
    </w:rPr>
  </w:style>
  <w:style w:type="paragraph" w:customStyle="1" w:styleId="TOCBase">
    <w:name w:val="TOC Base"/>
    <w:rsid w:val="00164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B01"/>
    <w:pPr>
      <w:tabs>
        <w:tab w:val="right" w:leader="dot" w:pos="9072"/>
      </w:tabs>
      <w:spacing w:before="40" w:after="40"/>
      <w:ind w:left="284"/>
    </w:pPr>
    <w:rPr>
      <w:rFonts w:ascii="Times New Roman" w:hAnsi="Times New Roman"/>
    </w:rPr>
  </w:style>
  <w:style w:type="paragraph" w:styleId="TOC1">
    <w:name w:val="toc 1"/>
    <w:basedOn w:val="TOCBase"/>
    <w:next w:val="Normal"/>
    <w:rsid w:val="00164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B01"/>
    <w:pPr>
      <w:spacing w:before="5040"/>
      <w:jc w:val="center"/>
    </w:pPr>
    <w:rPr>
      <w:sz w:val="48"/>
      <w:szCs w:val="72"/>
      <w:lang w:val="en-US"/>
    </w:rPr>
  </w:style>
  <w:style w:type="character" w:customStyle="1" w:styleId="TitleChar">
    <w:name w:val="Title Char"/>
    <w:basedOn w:val="DefaultParagraphFont"/>
    <w:link w:val="Title"/>
    <w:rsid w:val="00164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B01"/>
    <w:pPr>
      <w:tabs>
        <w:tab w:val="left" w:pos="3600"/>
        <w:tab w:val="left" w:pos="3958"/>
      </w:tabs>
    </w:pPr>
  </w:style>
  <w:style w:type="paragraph" w:styleId="List">
    <w:name w:val="List"/>
    <w:basedOn w:val="BodyText"/>
    <w:next w:val="BodyText"/>
    <w:rsid w:val="00164B01"/>
    <w:pPr>
      <w:tabs>
        <w:tab w:val="left" w:pos="340"/>
      </w:tabs>
      <w:spacing w:before="60" w:after="60"/>
      <w:ind w:left="340" w:hanging="340"/>
    </w:pPr>
  </w:style>
  <w:style w:type="paragraph" w:customStyle="1" w:styleId="Note">
    <w:name w:val="Note"/>
    <w:basedOn w:val="BodyText"/>
    <w:rsid w:val="00164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B01"/>
    <w:pPr>
      <w:framePr w:wrap="auto" w:hAnchor="text" w:y="6049"/>
    </w:pPr>
    <w:rPr>
      <w:color w:val="000000"/>
      <w:sz w:val="40"/>
    </w:rPr>
  </w:style>
  <w:style w:type="paragraph" w:customStyle="1" w:styleId="TOCTitle">
    <w:name w:val="TOCTitle"/>
    <w:basedOn w:val="Heading1"/>
    <w:rsid w:val="00164B01"/>
    <w:pPr>
      <w:spacing w:after="240"/>
      <w:jc w:val="center"/>
      <w:outlineLvl w:val="9"/>
    </w:pPr>
    <w:rPr>
      <w:caps/>
    </w:rPr>
  </w:style>
  <w:style w:type="paragraph" w:customStyle="1" w:styleId="Version">
    <w:name w:val="Version"/>
    <w:rsid w:val="00164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B01"/>
    <w:pPr>
      <w:keepNext w:val="0"/>
      <w:tabs>
        <w:tab w:val="right" w:pos="4176"/>
      </w:tabs>
      <w:ind w:left="198" w:hanging="198"/>
    </w:pPr>
    <w:rPr>
      <w:rFonts w:ascii="Garamond" w:hAnsi="Garamond"/>
    </w:rPr>
  </w:style>
  <w:style w:type="paragraph" w:styleId="IndexHeading">
    <w:name w:val="index heading"/>
    <w:basedOn w:val="Normal"/>
    <w:next w:val="Index1"/>
    <w:semiHidden/>
    <w:rsid w:val="00164B01"/>
    <w:pPr>
      <w:spacing w:before="120" w:after="120"/>
    </w:pPr>
    <w:rPr>
      <w:rFonts w:ascii="Arial" w:hAnsi="Arial"/>
      <w:b/>
      <w:color w:val="918585"/>
      <w:sz w:val="24"/>
    </w:rPr>
  </w:style>
  <w:style w:type="paragraph" w:styleId="Header">
    <w:name w:val="header"/>
    <w:basedOn w:val="Normal"/>
    <w:link w:val="HeaderChar"/>
    <w:rsid w:val="00164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B01"/>
    <w:rPr>
      <w:rFonts w:ascii="Times New Roman" w:eastAsia="Times New Roman" w:hAnsi="Times New Roman" w:cs="Times New Roman"/>
      <w:sz w:val="16"/>
      <w:szCs w:val="20"/>
      <w:lang w:val="en-GB" w:eastAsia="en-US"/>
    </w:rPr>
  </w:style>
  <w:style w:type="paragraph" w:customStyle="1" w:styleId="Chapter">
    <w:name w:val="Chapter"/>
    <w:basedOn w:val="Normal"/>
    <w:rsid w:val="00164B01"/>
    <w:pPr>
      <w:spacing w:before="240"/>
    </w:pPr>
    <w:rPr>
      <w:rFonts w:ascii="Times New Roman" w:hAnsi="Times New Roman"/>
      <w:smallCaps/>
      <w:spacing w:val="80"/>
      <w:sz w:val="28"/>
    </w:rPr>
  </w:style>
  <w:style w:type="paragraph" w:customStyle="1" w:styleId="InChapter">
    <w:name w:val="InChapter"/>
    <w:basedOn w:val="Heading3"/>
    <w:rsid w:val="00164B01"/>
    <w:pPr>
      <w:spacing w:after="240"/>
      <w:outlineLvl w:val="9"/>
    </w:pPr>
    <w:rPr>
      <w:noProof/>
    </w:rPr>
  </w:style>
  <w:style w:type="paragraph" w:styleId="Index2">
    <w:name w:val="index 2"/>
    <w:basedOn w:val="Normal"/>
    <w:next w:val="Normal"/>
    <w:semiHidden/>
    <w:rsid w:val="00164B01"/>
    <w:pPr>
      <w:tabs>
        <w:tab w:val="right" w:pos="4176"/>
      </w:tabs>
      <w:ind w:left="568" w:hanging="284"/>
    </w:pPr>
    <w:rPr>
      <w:rFonts w:ascii="Garamond" w:hAnsi="Garamond"/>
    </w:rPr>
  </w:style>
  <w:style w:type="paragraph" w:customStyle="1" w:styleId="Byline">
    <w:name w:val="Byline"/>
    <w:rsid w:val="00164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B01"/>
    <w:pPr>
      <w:tabs>
        <w:tab w:val="clear" w:pos="3600"/>
        <w:tab w:val="clear" w:pos="3958"/>
      </w:tabs>
      <w:jc w:val="right"/>
    </w:pPr>
  </w:style>
  <w:style w:type="character" w:styleId="Emphasis">
    <w:name w:val="Emphasis"/>
    <w:basedOn w:val="DefaultParagraphFont"/>
    <w:qFormat/>
    <w:rsid w:val="00164B01"/>
    <w:rPr>
      <w:i/>
    </w:rPr>
  </w:style>
  <w:style w:type="paragraph" w:styleId="Caption">
    <w:name w:val="caption"/>
    <w:basedOn w:val="BodyText"/>
    <w:next w:val="Normal"/>
    <w:qFormat/>
    <w:rsid w:val="00164B01"/>
    <w:pPr>
      <w:framePr w:w="2268" w:hSpace="181" w:vSpace="181" w:wrap="around" w:vAnchor="text" w:hAnchor="page" w:x="1135" w:y="285" w:anchorLock="1"/>
    </w:pPr>
    <w:rPr>
      <w:i/>
    </w:rPr>
  </w:style>
  <w:style w:type="paragraph" w:customStyle="1" w:styleId="MiniTOCTitle">
    <w:name w:val="MiniTOCTitle"/>
    <w:basedOn w:val="Heading4"/>
    <w:rsid w:val="00164B01"/>
    <w:pPr>
      <w:spacing w:before="240"/>
      <w:outlineLvl w:val="9"/>
    </w:pPr>
    <w:rPr>
      <w:noProof/>
      <w:sz w:val="24"/>
    </w:rPr>
  </w:style>
  <w:style w:type="paragraph" w:customStyle="1" w:styleId="MiniTOCItem">
    <w:name w:val="MiniTOCItem"/>
    <w:basedOn w:val="ListBullet"/>
    <w:rsid w:val="00164B01"/>
    <w:pPr>
      <w:numPr>
        <w:numId w:val="0"/>
      </w:numPr>
      <w:tabs>
        <w:tab w:val="right" w:leader="dot" w:pos="6521"/>
      </w:tabs>
      <w:spacing w:before="0" w:after="0"/>
    </w:pPr>
  </w:style>
  <w:style w:type="paragraph" w:customStyle="1" w:styleId="TOFTitle">
    <w:name w:val="TOFTitle"/>
    <w:basedOn w:val="TOCTitle"/>
    <w:rsid w:val="00164B01"/>
  </w:style>
  <w:style w:type="paragraph" w:styleId="TableofFigures">
    <w:name w:val="table of figures"/>
    <w:basedOn w:val="Normal"/>
    <w:next w:val="Normal"/>
    <w:semiHidden/>
    <w:rsid w:val="00164B01"/>
    <w:pPr>
      <w:tabs>
        <w:tab w:val="right" w:leader="dot" w:pos="9072"/>
      </w:tabs>
      <w:ind w:left="970" w:hanging="403"/>
    </w:pPr>
    <w:rPr>
      <w:rFonts w:ascii="Times New Roman" w:hAnsi="Times New Roman"/>
      <w:b/>
    </w:rPr>
  </w:style>
  <w:style w:type="paragraph" w:styleId="ListNumber">
    <w:name w:val="List Number"/>
    <w:basedOn w:val="List"/>
    <w:rsid w:val="00164B01"/>
    <w:pPr>
      <w:numPr>
        <w:numId w:val="11"/>
      </w:numPr>
    </w:pPr>
  </w:style>
  <w:style w:type="character" w:customStyle="1" w:styleId="WingdingSymbols">
    <w:name w:val="Wingding Symbols"/>
    <w:rsid w:val="00164B01"/>
    <w:rPr>
      <w:rFonts w:ascii="Wingdings" w:hAnsi="Wingdings"/>
    </w:rPr>
  </w:style>
  <w:style w:type="paragraph" w:customStyle="1" w:styleId="TableHeading">
    <w:name w:val="Table Heading"/>
    <w:basedOn w:val="HeadingBase"/>
    <w:rsid w:val="00164B01"/>
    <w:pPr>
      <w:keepLines/>
      <w:pBdr>
        <w:bottom w:val="single" w:sz="6" w:space="1" w:color="918585"/>
      </w:pBdr>
      <w:spacing w:before="240"/>
    </w:pPr>
  </w:style>
  <w:style w:type="character" w:customStyle="1" w:styleId="HotSpot">
    <w:name w:val="HotSpot"/>
    <w:rsid w:val="00164B01"/>
    <w:rPr>
      <w:color w:val="0033CC"/>
      <w:u w:val="none"/>
    </w:rPr>
  </w:style>
  <w:style w:type="paragraph" w:customStyle="1" w:styleId="BodyTextRight">
    <w:name w:val="Body Text Right"/>
    <w:basedOn w:val="BodyText"/>
    <w:rsid w:val="00164B01"/>
    <w:pPr>
      <w:spacing w:before="0" w:after="0"/>
      <w:jc w:val="right"/>
    </w:pPr>
  </w:style>
  <w:style w:type="paragraph" w:styleId="Index3">
    <w:name w:val="index 3"/>
    <w:basedOn w:val="ListNumber2"/>
    <w:next w:val="Normal"/>
    <w:semiHidden/>
    <w:rsid w:val="00164B01"/>
    <w:pPr>
      <w:numPr>
        <w:numId w:val="0"/>
      </w:numPr>
      <w:tabs>
        <w:tab w:val="right" w:leader="dot" w:pos="4176"/>
      </w:tabs>
    </w:pPr>
  </w:style>
  <w:style w:type="paragraph" w:styleId="ListNumber2">
    <w:name w:val="List Number 2"/>
    <w:basedOn w:val="List2"/>
    <w:rsid w:val="00164B01"/>
    <w:pPr>
      <w:numPr>
        <w:numId w:val="10"/>
      </w:numPr>
      <w:tabs>
        <w:tab w:val="clear" w:pos="1060"/>
      </w:tabs>
    </w:pPr>
  </w:style>
  <w:style w:type="paragraph" w:customStyle="1" w:styleId="MarginNote">
    <w:name w:val="Margin Note"/>
    <w:basedOn w:val="BodyText"/>
    <w:rsid w:val="00164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B01"/>
    <w:rPr>
      <w:sz w:val="32"/>
    </w:rPr>
  </w:style>
  <w:style w:type="paragraph" w:customStyle="1" w:styleId="HeadingProcedure">
    <w:name w:val="Heading Procedure"/>
    <w:basedOn w:val="HeadingBase"/>
    <w:next w:val="Normal"/>
    <w:rsid w:val="00164B01"/>
    <w:pPr>
      <w:tabs>
        <w:tab w:val="left" w:pos="0"/>
      </w:tabs>
      <w:spacing w:before="120" w:after="60"/>
    </w:pPr>
    <w:rPr>
      <w:i/>
      <w:color w:val="918585"/>
      <w:sz w:val="22"/>
    </w:rPr>
  </w:style>
  <w:style w:type="paragraph" w:customStyle="1" w:styleId="TableBodyText">
    <w:name w:val="Table Body Text"/>
    <w:basedOn w:val="BodyText"/>
    <w:rsid w:val="00164B01"/>
    <w:pPr>
      <w:spacing w:before="60" w:after="60"/>
    </w:pPr>
  </w:style>
  <w:style w:type="paragraph" w:styleId="ListContinue">
    <w:name w:val="List Continue"/>
    <w:basedOn w:val="List"/>
    <w:rsid w:val="00164B01"/>
    <w:pPr>
      <w:ind w:firstLine="0"/>
    </w:pPr>
  </w:style>
  <w:style w:type="paragraph" w:customStyle="1" w:styleId="ListNote">
    <w:name w:val="List Note"/>
    <w:basedOn w:val="List"/>
    <w:rsid w:val="00164B01"/>
    <w:pPr>
      <w:pBdr>
        <w:top w:val="single" w:sz="6" w:space="2" w:color="918585"/>
        <w:bottom w:val="single" w:sz="6" w:space="2" w:color="918585"/>
      </w:pBdr>
      <w:tabs>
        <w:tab w:val="left" w:pos="1021"/>
      </w:tabs>
      <w:ind w:firstLine="0"/>
    </w:pPr>
  </w:style>
  <w:style w:type="paragraph" w:customStyle="1" w:styleId="Warning">
    <w:name w:val="Warning"/>
    <w:basedOn w:val="BodyText"/>
    <w:rsid w:val="00164B01"/>
    <w:pPr>
      <w:shd w:val="clear" w:color="auto" w:fill="D9D9D9"/>
      <w:tabs>
        <w:tab w:val="left" w:pos="992"/>
      </w:tabs>
      <w:ind w:left="119" w:right="119"/>
    </w:pPr>
    <w:rPr>
      <w:sz w:val="20"/>
    </w:rPr>
  </w:style>
  <w:style w:type="paragraph" w:customStyle="1" w:styleId="MarginIcons">
    <w:name w:val="Margin Icons"/>
    <w:basedOn w:val="BodyText"/>
    <w:rsid w:val="00164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B01"/>
    <w:rPr>
      <w:rFonts w:ascii="Courier New" w:hAnsi="Courier New"/>
    </w:rPr>
  </w:style>
  <w:style w:type="paragraph" w:customStyle="1" w:styleId="NoteBullet">
    <w:name w:val="Note Bullet"/>
    <w:basedOn w:val="Note"/>
    <w:rsid w:val="00164B01"/>
    <w:pPr>
      <w:tabs>
        <w:tab w:val="clear" w:pos="680"/>
      </w:tabs>
      <w:spacing w:before="60" w:after="60"/>
    </w:pPr>
  </w:style>
  <w:style w:type="paragraph" w:customStyle="1" w:styleId="SubHeading2">
    <w:name w:val="SubHeading2"/>
    <w:basedOn w:val="HeadingBase"/>
    <w:rsid w:val="00164B01"/>
    <w:pPr>
      <w:spacing w:before="240" w:after="60"/>
    </w:pPr>
    <w:rPr>
      <w:sz w:val="20"/>
    </w:rPr>
  </w:style>
  <w:style w:type="paragraph" w:customStyle="1" w:styleId="SubHeading1">
    <w:name w:val="SubHeading1"/>
    <w:basedOn w:val="HeadingBase"/>
    <w:rsid w:val="00164B01"/>
    <w:pPr>
      <w:spacing w:before="240" w:after="60"/>
    </w:pPr>
    <w:rPr>
      <w:color w:val="918585"/>
      <w:sz w:val="22"/>
    </w:rPr>
  </w:style>
  <w:style w:type="paragraph" w:customStyle="1" w:styleId="SideHeading">
    <w:name w:val="Side Heading"/>
    <w:basedOn w:val="HeadingBase"/>
    <w:rsid w:val="00164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B01"/>
    <w:pPr>
      <w:numPr>
        <w:numId w:val="12"/>
      </w:numPr>
    </w:pPr>
  </w:style>
  <w:style w:type="paragraph" w:styleId="PlainText">
    <w:name w:val="Plain Text"/>
    <w:basedOn w:val="Normal"/>
    <w:link w:val="PlainTextChar"/>
    <w:rsid w:val="00164B01"/>
    <w:rPr>
      <w:sz w:val="20"/>
    </w:rPr>
  </w:style>
  <w:style w:type="character" w:customStyle="1" w:styleId="PlainTextChar">
    <w:name w:val="Plain Text Char"/>
    <w:basedOn w:val="DefaultParagraphFont"/>
    <w:link w:val="PlainText"/>
    <w:rsid w:val="00164B01"/>
    <w:rPr>
      <w:rFonts w:ascii="Courier New" w:eastAsia="Times New Roman" w:hAnsi="Courier New" w:cs="Times New Roman"/>
      <w:sz w:val="20"/>
      <w:szCs w:val="20"/>
      <w:lang w:eastAsia="en-US"/>
    </w:rPr>
  </w:style>
  <w:style w:type="character" w:customStyle="1" w:styleId="MenuOption">
    <w:name w:val="Menu Option"/>
    <w:basedOn w:val="DefaultParagraphFont"/>
    <w:rsid w:val="00164B01"/>
    <w:rPr>
      <w:b/>
      <w:smallCaps/>
    </w:rPr>
  </w:style>
  <w:style w:type="paragraph" w:customStyle="1" w:styleId="TableListNumber">
    <w:name w:val="Table List Number"/>
    <w:basedOn w:val="ListNumber"/>
    <w:rsid w:val="00164B01"/>
    <w:pPr>
      <w:numPr>
        <w:numId w:val="0"/>
      </w:numPr>
    </w:pPr>
  </w:style>
  <w:style w:type="paragraph" w:styleId="TOC4">
    <w:name w:val="toc 4"/>
    <w:basedOn w:val="TOCBase"/>
    <w:next w:val="Normal"/>
    <w:semiHidden/>
    <w:rsid w:val="00164B01"/>
    <w:pPr>
      <w:tabs>
        <w:tab w:val="right" w:leader="dot" w:pos="9071"/>
      </w:tabs>
      <w:ind w:left="1701"/>
    </w:pPr>
  </w:style>
  <w:style w:type="paragraph" w:customStyle="1" w:styleId="ListAlpha">
    <w:name w:val="List Alpha"/>
    <w:basedOn w:val="List"/>
    <w:rsid w:val="00164B01"/>
    <w:pPr>
      <w:numPr>
        <w:numId w:val="9"/>
      </w:numPr>
    </w:pPr>
  </w:style>
  <w:style w:type="paragraph" w:customStyle="1" w:styleId="ListAlpha2">
    <w:name w:val="List Alpha 2"/>
    <w:basedOn w:val="List2"/>
    <w:rsid w:val="00164B01"/>
    <w:pPr>
      <w:numPr>
        <w:numId w:val="8"/>
      </w:numPr>
    </w:pPr>
  </w:style>
  <w:style w:type="paragraph" w:styleId="List2">
    <w:name w:val="List 2"/>
    <w:basedOn w:val="BodyText"/>
    <w:rsid w:val="00164B01"/>
    <w:pPr>
      <w:tabs>
        <w:tab w:val="left" w:pos="680"/>
      </w:tabs>
      <w:spacing w:before="60" w:after="60"/>
      <w:ind w:left="680" w:hanging="340"/>
    </w:pPr>
  </w:style>
  <w:style w:type="paragraph" w:styleId="List3">
    <w:name w:val="List 3"/>
    <w:basedOn w:val="BodyText"/>
    <w:rsid w:val="00164B01"/>
    <w:pPr>
      <w:tabs>
        <w:tab w:val="left" w:pos="1021"/>
      </w:tabs>
      <w:spacing w:before="60" w:after="60"/>
      <w:ind w:left="1020" w:hanging="340"/>
    </w:pPr>
  </w:style>
  <w:style w:type="paragraph" w:styleId="List4">
    <w:name w:val="List 4"/>
    <w:basedOn w:val="BodyText"/>
    <w:rsid w:val="00164B01"/>
    <w:pPr>
      <w:tabs>
        <w:tab w:val="left" w:pos="1361"/>
      </w:tabs>
      <w:spacing w:before="60" w:after="60"/>
      <w:ind w:left="1361" w:hanging="340"/>
    </w:pPr>
  </w:style>
  <w:style w:type="paragraph" w:styleId="List5">
    <w:name w:val="List 5"/>
    <w:basedOn w:val="BodyText"/>
    <w:rsid w:val="00164B01"/>
    <w:pPr>
      <w:tabs>
        <w:tab w:val="left" w:pos="1701"/>
      </w:tabs>
      <w:spacing w:before="60" w:after="60"/>
      <w:ind w:left="1701" w:hanging="340"/>
    </w:pPr>
  </w:style>
  <w:style w:type="paragraph" w:styleId="ListBullet3">
    <w:name w:val="List Bullet 3"/>
    <w:basedOn w:val="List3"/>
    <w:rsid w:val="00164B01"/>
    <w:pPr>
      <w:numPr>
        <w:numId w:val="15"/>
      </w:numPr>
      <w:tabs>
        <w:tab w:val="clear" w:pos="1021"/>
      </w:tabs>
      <w:ind w:left="1037" w:hanging="357"/>
    </w:pPr>
  </w:style>
  <w:style w:type="paragraph" w:styleId="ListBullet4">
    <w:name w:val="List Bullet 4"/>
    <w:basedOn w:val="List4"/>
    <w:rsid w:val="00164B01"/>
    <w:pPr>
      <w:numPr>
        <w:numId w:val="3"/>
      </w:numPr>
    </w:pPr>
  </w:style>
  <w:style w:type="paragraph" w:styleId="ListBullet5">
    <w:name w:val="List Bullet 5"/>
    <w:basedOn w:val="List5"/>
    <w:rsid w:val="00164B01"/>
    <w:pPr>
      <w:numPr>
        <w:numId w:val="4"/>
      </w:numPr>
    </w:pPr>
  </w:style>
  <w:style w:type="paragraph" w:styleId="ListContinue2">
    <w:name w:val="List Continue 2"/>
    <w:basedOn w:val="List2"/>
    <w:rsid w:val="00164B01"/>
    <w:pPr>
      <w:ind w:firstLine="0"/>
    </w:pPr>
  </w:style>
  <w:style w:type="paragraph" w:styleId="ListContinue3">
    <w:name w:val="List Continue 3"/>
    <w:basedOn w:val="List3"/>
    <w:rsid w:val="00164B01"/>
    <w:pPr>
      <w:ind w:left="1021" w:firstLine="0"/>
    </w:pPr>
  </w:style>
  <w:style w:type="paragraph" w:styleId="ListContinue4">
    <w:name w:val="List Continue 4"/>
    <w:basedOn w:val="List4"/>
    <w:rsid w:val="00164B01"/>
    <w:pPr>
      <w:ind w:firstLine="0"/>
    </w:pPr>
  </w:style>
  <w:style w:type="paragraph" w:styleId="ListContinue5">
    <w:name w:val="List Continue 5"/>
    <w:basedOn w:val="List5"/>
    <w:rsid w:val="00164B01"/>
    <w:pPr>
      <w:ind w:firstLine="0"/>
    </w:pPr>
  </w:style>
  <w:style w:type="paragraph" w:styleId="ListNumber3">
    <w:name w:val="List Number 3"/>
    <w:basedOn w:val="List3"/>
    <w:rsid w:val="00164B01"/>
    <w:pPr>
      <w:numPr>
        <w:numId w:val="5"/>
      </w:numPr>
    </w:pPr>
  </w:style>
  <w:style w:type="paragraph" w:styleId="ListNumber4">
    <w:name w:val="List Number 4"/>
    <w:basedOn w:val="List4"/>
    <w:rsid w:val="00164B01"/>
    <w:pPr>
      <w:numPr>
        <w:numId w:val="6"/>
      </w:numPr>
    </w:pPr>
  </w:style>
  <w:style w:type="paragraph" w:styleId="ListNumber5">
    <w:name w:val="List Number 5"/>
    <w:basedOn w:val="List5"/>
    <w:rsid w:val="00164B01"/>
    <w:pPr>
      <w:numPr>
        <w:numId w:val="7"/>
      </w:numPr>
    </w:pPr>
  </w:style>
  <w:style w:type="paragraph" w:styleId="BlockText">
    <w:name w:val="Block Text"/>
    <w:basedOn w:val="Normal"/>
    <w:rsid w:val="00164B01"/>
    <w:pPr>
      <w:spacing w:after="120"/>
      <w:ind w:left="1440" w:right="1440"/>
    </w:pPr>
  </w:style>
  <w:style w:type="character" w:customStyle="1" w:styleId="Subscript">
    <w:name w:val="Subscript"/>
    <w:basedOn w:val="DefaultParagraphFont"/>
    <w:rsid w:val="00164B01"/>
    <w:rPr>
      <w:sz w:val="16"/>
      <w:vertAlign w:val="subscript"/>
    </w:rPr>
  </w:style>
  <w:style w:type="character" w:customStyle="1" w:styleId="Superscript">
    <w:name w:val="Superscript"/>
    <w:basedOn w:val="DefaultParagraphFont"/>
    <w:rsid w:val="00164B01"/>
    <w:rPr>
      <w:sz w:val="16"/>
      <w:vertAlign w:val="superscript"/>
    </w:rPr>
  </w:style>
  <w:style w:type="character" w:customStyle="1" w:styleId="Symbols">
    <w:name w:val="Symbols"/>
    <w:basedOn w:val="DefaultParagraphFont"/>
    <w:rsid w:val="00164B01"/>
    <w:rPr>
      <w:rFonts w:ascii="Symbol" w:hAnsi="Symbol"/>
    </w:rPr>
  </w:style>
  <w:style w:type="character" w:customStyle="1" w:styleId="MenuOptions">
    <w:name w:val="Menu Options"/>
    <w:basedOn w:val="DefaultParagraphFont"/>
    <w:rsid w:val="00164B01"/>
    <w:rPr>
      <w:rFonts w:ascii="Arial Narrow" w:hAnsi="Arial Narrow"/>
      <w:smallCaps/>
    </w:rPr>
  </w:style>
  <w:style w:type="character" w:customStyle="1" w:styleId="Buttons">
    <w:name w:val="Buttons"/>
    <w:basedOn w:val="DefaultParagraphFont"/>
    <w:rsid w:val="00164B01"/>
    <w:rPr>
      <w:b/>
    </w:rPr>
  </w:style>
  <w:style w:type="character" w:customStyle="1" w:styleId="Underlined">
    <w:name w:val="Underlined"/>
    <w:basedOn w:val="DefaultParagraphFont"/>
    <w:rsid w:val="00164B01"/>
    <w:rPr>
      <w:u w:val="single"/>
    </w:rPr>
  </w:style>
  <w:style w:type="paragraph" w:customStyle="1" w:styleId="TableBodyTextRight">
    <w:name w:val="Table Body Text Right"/>
    <w:basedOn w:val="TableBodyText"/>
    <w:rsid w:val="00164B01"/>
    <w:pPr>
      <w:widowControl w:val="0"/>
      <w:autoSpaceDE w:val="0"/>
      <w:autoSpaceDN w:val="0"/>
      <w:adjustRightInd w:val="0"/>
      <w:jc w:val="right"/>
    </w:pPr>
    <w:rPr>
      <w:rFonts w:cs="Arial"/>
      <w:szCs w:val="18"/>
    </w:rPr>
  </w:style>
  <w:style w:type="paragraph" w:customStyle="1" w:styleId="CopyrightText">
    <w:name w:val="Copyright Text"/>
    <w:basedOn w:val="BodyText"/>
    <w:rsid w:val="00164B01"/>
    <w:rPr>
      <w:sz w:val="18"/>
    </w:rPr>
  </w:style>
  <w:style w:type="paragraph" w:customStyle="1" w:styleId="BodySmallRight">
    <w:name w:val="Body Small Right"/>
    <w:basedOn w:val="BodyTextRight"/>
    <w:rsid w:val="00164B01"/>
    <w:rPr>
      <w:sz w:val="18"/>
      <w:szCs w:val="18"/>
    </w:rPr>
  </w:style>
  <w:style w:type="paragraph" w:customStyle="1" w:styleId="MarginEdition">
    <w:name w:val="Margin Edition"/>
    <w:basedOn w:val="MarginNote"/>
    <w:rsid w:val="00164B01"/>
    <w:pPr>
      <w:spacing w:before="0" w:after="0"/>
    </w:pPr>
    <w:rPr>
      <w:rFonts w:ascii="Times New Roman" w:hAnsi="Times New Roman"/>
      <w:color w:val="999999"/>
    </w:rPr>
  </w:style>
  <w:style w:type="paragraph" w:customStyle="1" w:styleId="Spacer">
    <w:name w:val="Spacer"/>
    <w:basedOn w:val="Normal"/>
    <w:rsid w:val="00164B01"/>
    <w:rPr>
      <w:sz w:val="2"/>
      <w:szCs w:val="2"/>
    </w:rPr>
  </w:style>
  <w:style w:type="character" w:customStyle="1" w:styleId="Small">
    <w:name w:val="Small"/>
    <w:basedOn w:val="DefaultParagraphFont"/>
    <w:rsid w:val="00164B01"/>
    <w:rPr>
      <w:sz w:val="16"/>
    </w:rPr>
  </w:style>
  <w:style w:type="paragraph" w:customStyle="1" w:styleId="WideTable">
    <w:name w:val="Wide Table"/>
    <w:basedOn w:val="Normal"/>
    <w:rsid w:val="00164B01"/>
    <w:pPr>
      <w:ind w:left="-1418"/>
    </w:pPr>
    <w:rPr>
      <w:sz w:val="2"/>
      <w:szCs w:val="2"/>
    </w:rPr>
  </w:style>
  <w:style w:type="character" w:styleId="PageNumber">
    <w:name w:val="page number"/>
    <w:basedOn w:val="DefaultParagraphFont"/>
    <w:rsid w:val="00164B01"/>
  </w:style>
  <w:style w:type="paragraph" w:styleId="Quote">
    <w:name w:val="Quote"/>
    <w:basedOn w:val="Heading1"/>
    <w:link w:val="QuoteChar"/>
    <w:qFormat/>
    <w:rsid w:val="00164B01"/>
    <w:rPr>
      <w:b w:val="0"/>
      <w:sz w:val="72"/>
      <w:szCs w:val="72"/>
      <w:lang w:val="en-NZ"/>
    </w:rPr>
  </w:style>
  <w:style w:type="character" w:customStyle="1" w:styleId="QuoteChar">
    <w:name w:val="Quote Char"/>
    <w:basedOn w:val="DefaultParagraphFont"/>
    <w:link w:val="Quote"/>
    <w:rsid w:val="00164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B01"/>
    <w:pPr>
      <w:pageBreakBefore/>
    </w:pPr>
  </w:style>
  <w:style w:type="paragraph" w:customStyle="1" w:styleId="Border">
    <w:name w:val="Border"/>
    <w:basedOn w:val="Normal"/>
    <w:qFormat/>
    <w:rsid w:val="00164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B01"/>
    <w:rPr>
      <w:b/>
      <w:bCs/>
      <w:i/>
      <w:iCs/>
      <w:color w:val="auto"/>
    </w:rPr>
  </w:style>
  <w:style w:type="paragraph" w:styleId="IntenseQuote">
    <w:name w:val="Intense Quote"/>
    <w:basedOn w:val="Normal"/>
    <w:next w:val="Normal"/>
    <w:link w:val="IntenseQuoteChar"/>
    <w:uiPriority w:val="30"/>
    <w:qFormat/>
    <w:rsid w:val="00164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B01"/>
    <w:rPr>
      <w:smallCaps/>
      <w:color w:val="auto"/>
      <w:u w:val="single"/>
    </w:rPr>
  </w:style>
  <w:style w:type="character" w:styleId="IntenseReference">
    <w:name w:val="Intense Reference"/>
    <w:basedOn w:val="DefaultParagraphFont"/>
    <w:uiPriority w:val="32"/>
    <w:qFormat/>
    <w:rsid w:val="00164B01"/>
    <w:rPr>
      <w:b/>
      <w:bCs/>
      <w:smallCaps/>
      <w:color w:val="auto"/>
      <w:spacing w:val="5"/>
      <w:u w:val="single"/>
    </w:rPr>
  </w:style>
  <w:style w:type="paragraph" w:customStyle="1" w:styleId="2ColumnHeading">
    <w:name w:val="2Column Heading"/>
    <w:basedOn w:val="BodyText"/>
    <w:qFormat/>
    <w:rsid w:val="00164B01"/>
    <w:pPr>
      <w:spacing w:after="60"/>
      <w:ind w:left="-2268"/>
    </w:pPr>
    <w:rPr>
      <w:b/>
    </w:rPr>
  </w:style>
  <w:style w:type="paragraph" w:customStyle="1" w:styleId="Heading1TOC">
    <w:name w:val="Heading1 TOC"/>
    <w:basedOn w:val="Normal"/>
    <w:qFormat/>
    <w:rsid w:val="00164B01"/>
    <w:pPr>
      <w:spacing w:before="240" w:after="120"/>
    </w:pPr>
    <w:rPr>
      <w:rFonts w:ascii="Times New Roman" w:hAnsi="Times New Roman"/>
      <w:b/>
      <w:sz w:val="32"/>
    </w:rPr>
  </w:style>
  <w:style w:type="paragraph" w:customStyle="1" w:styleId="Heading2TOC">
    <w:name w:val="Heading2 TOC"/>
    <w:basedOn w:val="Normal"/>
    <w:qFormat/>
    <w:rsid w:val="00164B01"/>
    <w:pPr>
      <w:spacing w:before="240" w:after="60"/>
    </w:pPr>
    <w:rPr>
      <w:rFonts w:ascii="Times New Roman" w:hAnsi="Times New Roman"/>
      <w:b/>
      <w:sz w:val="28"/>
    </w:rPr>
  </w:style>
  <w:style w:type="character" w:customStyle="1" w:styleId="Underline">
    <w:name w:val="Underline"/>
    <w:basedOn w:val="DefaultParagraphFont"/>
    <w:qFormat/>
    <w:rsid w:val="00164B01"/>
    <w:rPr>
      <w:u w:val="single"/>
    </w:rPr>
  </w:style>
  <w:style w:type="character" w:customStyle="1" w:styleId="BoldandItalics">
    <w:name w:val="Bold and Italics"/>
    <w:qFormat/>
    <w:rsid w:val="00164B01"/>
    <w:rPr>
      <w:b/>
      <w:i/>
      <w:u w:val="none"/>
    </w:rPr>
  </w:style>
  <w:style w:type="paragraph" w:styleId="BalloonText">
    <w:name w:val="Balloon Text"/>
    <w:basedOn w:val="Normal"/>
    <w:link w:val="BalloonTextChar"/>
    <w:rsid w:val="00164B01"/>
    <w:rPr>
      <w:rFonts w:ascii="Tahoma" w:hAnsi="Tahoma" w:cs="Tahoma"/>
      <w:sz w:val="16"/>
      <w:szCs w:val="16"/>
    </w:rPr>
  </w:style>
  <w:style w:type="character" w:customStyle="1" w:styleId="BalloonTextChar">
    <w:name w:val="Balloon Text Char"/>
    <w:basedOn w:val="DefaultParagraphFont"/>
    <w:link w:val="BalloonText"/>
    <w:rsid w:val="00164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B01"/>
    <w:rPr>
      <w:b/>
      <w:color w:val="660033"/>
      <w:spacing w:val="0"/>
    </w:rPr>
  </w:style>
  <w:style w:type="paragraph" w:customStyle="1" w:styleId="Nameditemlist">
    <w:name w:val="Named item list"/>
    <w:basedOn w:val="BodyText"/>
    <w:qFormat/>
    <w:rsid w:val="00164B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2622</Words>
  <Characters>16051</Characters>
  <Application>Microsoft Office Word</Application>
  <DocSecurity>0</DocSecurity>
  <Lines>592</Lines>
  <Paragraphs>251</Paragraphs>
  <ScaleCrop>false</ScaleCrop>
  <Company>Author-it Software Corporation Ltd.</Company>
  <LinksUpToDate>false</LinksUpToDate>
  <CharactersWithSpaces>18452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UEPMNT503B Diagnose and repair faults in instrumentation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