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B11" w:rsidP="00282B11">
      <w:pPr>
        <w:pStyle w:val="Title"/>
      </w:pPr>
      <w:bookmarkStart w:id="0" w:name="_GoBack"/>
      <w:bookmarkEnd w:id="0"/>
      <w:r>
        <w:fldChar w:fldCharType="begin"/>
      </w:r>
      <w:r>
        <w:instrText xml:space="preserve"> TITLE   \* MERGEFORMAT </w:instrText>
      </w:r>
      <w:r>
        <w:fldChar w:fldCharType="separate"/>
      </w:r>
      <w:r>
        <w:t>UEPMNT502B Test and commission electronic electrical systems</w:t>
      </w:r>
      <w:r>
        <w:fldChar w:fldCharType="end"/>
      </w:r>
    </w:p>
    <w:p w:rsidR="00282B11" w:rsidP="00282B11">
      <w:pPr>
        <w:pStyle w:val="Version"/>
        <w:sectPr w:rsidSect="00FB0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3BA" w:rsidP="00FB03BA">
      <w:pPr>
        <w:pStyle w:val="SuperHeading"/>
      </w:pPr>
      <w:r w:rsidRPr="00FB03BA">
        <w:t>UEPMNT502B Test and commission electronic electrical systems</w:t>
      </w:r>
    </w:p>
    <w:p w:rsidR="00000000" w:rsidRPr="00FB03BA" w:rsidP="00FB03BA">
      <w:pPr>
        <w:pStyle w:val="Heading1"/>
      </w:pPr>
      <w:bookmarkStart w:id="1" w:name="O_470198"/>
      <w:bookmarkEnd w:id="1"/>
      <w:r w:rsidRPr="00FB03BA">
        <w:t>Modification History</w:t>
      </w:r>
    </w:p>
    <w:p w:rsidR="00000000" w:rsidRPr="00FB03BA" w:rsidP="00FB03BA">
      <w:pPr>
        <w:pStyle w:val="BodyText"/>
      </w:pPr>
      <w:r w:rsidRPr="00FB03BA">
        <w:t>Not applicable.</w:t>
      </w:r>
    </w:p>
    <w:p w:rsidR="00000000" w:rsidRPr="00FB03BA" w:rsidP="00FB03BA">
      <w:pPr>
        <w:pStyle w:val="AllowPageBreak"/>
      </w:pPr>
    </w:p>
    <w:p w:rsidR="00000000" w:rsidRPr="00FB03BA" w:rsidP="00FB03BA">
      <w:pPr>
        <w:pStyle w:val="Heading1"/>
      </w:pPr>
      <w:bookmarkStart w:id="2" w:name="O_470196"/>
      <w:bookmarkEnd w:id="2"/>
      <w:r w:rsidRPr="00FB03BA">
        <w:t>Unit Descriptor</w:t>
      </w:r>
    </w:p>
    <w:tbl>
      <w:tblPr>
        <w:tblW w:w="0" w:type="auto"/>
        <w:tblLayout w:type="fixed"/>
        <w:tblCellMar>
          <w:left w:w="62" w:type="dxa"/>
          <w:right w:w="62" w:type="dxa"/>
        </w:tblCellMar>
        <w:tblLook w:val="0000"/>
      </w:tblPr>
      <w:tblGrid>
        <w:gridCol w:w="2700"/>
        <w:gridCol w:w="5760"/>
      </w:tblGrid>
      <w:tr w:rsidTr="00282B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1)</w:t>
            </w:r>
            <w:r w:rsidRPr="00FB03BA">
              <w:t xml:space="preserve"> </w:t>
            </w:r>
            <w:r w:rsidRPr="00FB03BA">
              <w:rPr>
                <w:rStyle w:val="SpecialBold"/>
              </w:rPr>
              <w:t>Scope:</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03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1.1) Descriptor</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This unit deals with the skills and knowledge required to conduct testing and commissioning of electrical/electronic systems. Systems can refer to a combination of electrical/electronic machinery/equipment.</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3" w:name="O_470185"/>
      <w:bookmarkEnd w:id="3"/>
      <w:r w:rsidRPr="00FB03BA">
        <w:t>Application of the Unit</w:t>
      </w:r>
    </w:p>
    <w:tbl>
      <w:tblPr>
        <w:tblW w:w="0" w:type="auto"/>
        <w:tblLayout w:type="fixed"/>
        <w:tblCellMar>
          <w:left w:w="62" w:type="dxa"/>
          <w:right w:w="62" w:type="dxa"/>
        </w:tblCellMar>
        <w:tblLook w:val="0000"/>
      </w:tblPr>
      <w:tblGrid>
        <w:gridCol w:w="2672"/>
        <w:gridCol w:w="5699"/>
      </w:tblGrid>
      <w:tr w:rsidTr="00282B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Applic</w:t>
            </w:r>
            <w:r w:rsidRPr="00FB03BA">
              <w:rPr>
                <w:rStyle w:val="SpecialBold"/>
              </w:rPr>
              <w:t>ation of the Unit</w:t>
            </w:r>
          </w:p>
        </w:tc>
        <w:tc>
          <w:tcPr>
            <w:tcW w:w="5699"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2)</w:t>
            </w:r>
          </w:p>
        </w:tc>
      </w:tr>
      <w:tr w:rsidTr="00282B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This unit is intended to augment formally acquired competencies. It is suitable for employment-based programs under an approved contract of training.</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4" w:name="O_470192"/>
      <w:bookmarkEnd w:id="4"/>
      <w:r w:rsidRPr="00FB03BA">
        <w:t>Licensing/Regulatory Information</w:t>
      </w:r>
    </w:p>
    <w:tbl>
      <w:tblPr>
        <w:tblW w:w="0" w:type="auto"/>
        <w:tblLayout w:type="fixed"/>
        <w:tblCellMar>
          <w:left w:w="62" w:type="dxa"/>
          <w:right w:w="62" w:type="dxa"/>
        </w:tblCellMar>
        <w:tblLook w:val="0000"/>
      </w:tblPr>
      <w:tblGrid>
        <w:gridCol w:w="2700"/>
        <w:gridCol w:w="5760"/>
      </w:tblGrid>
      <w:tr w:rsidTr="00282B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 xml:space="preserve">3) </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The skills and knowledge described in this unit may require an electrical licence to practice in the workplace.</w:t>
            </w:r>
          </w:p>
          <w:p w:rsidR="00000000" w:rsidRPr="00FB03BA" w:rsidP="00FB03BA">
            <w:pPr>
              <w:pStyle w:val="BodyText"/>
            </w:pPr>
            <w:r w:rsidRPr="00FB03BA">
              <w:t>Practice in this unit is subject to regulations directly related to Occupational Health and Safety and where applicable contracts of training su</w:t>
            </w:r>
            <w:r w:rsidRPr="00FB03BA">
              <w:t>ch as apprenticeships and the like.</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5" w:name="O_470193"/>
      <w:bookmarkEnd w:id="5"/>
      <w:r w:rsidRPr="00FB03BA">
        <w:t>Pre-Requisites</w:t>
      </w:r>
    </w:p>
    <w:tbl>
      <w:tblPr>
        <w:tblW w:w="0" w:type="auto"/>
        <w:tblLayout w:type="fixed"/>
        <w:tblCellMar>
          <w:left w:w="62" w:type="dxa"/>
          <w:right w:w="62" w:type="dxa"/>
        </w:tblCellMar>
        <w:tblLook w:val="0000"/>
      </w:tblPr>
      <w:tblGrid>
        <w:gridCol w:w="2700"/>
        <w:gridCol w:w="2070"/>
        <w:gridCol w:w="3696"/>
      </w:tblGrid>
      <w:tr w:rsidTr="00282B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 xml:space="preserve">4) </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4.1)</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Granting of competency in this unit shall be made only after competency in the following unit(s) has/have been confirmed.</w:t>
            </w:r>
          </w:p>
          <w:p w:rsidR="00000000" w:rsidRPr="00FB03BA" w:rsidP="00FB03BA">
            <w:pPr>
              <w:pStyle w:val="BodyText"/>
            </w:pPr>
            <w:r w:rsidRPr="00FB03BA">
              <w:t>Where pre-requisite pathways have been identified. All competencies in the Common Unit Group must be have been completed.</w:t>
            </w:r>
          </w:p>
          <w:p w:rsidR="00000000" w:rsidP="00FB03BA">
            <w:pPr>
              <w:pStyle w:val="BodyText"/>
              <w:rPr>
                <w:lang w:val="en-NZ"/>
              </w:rPr>
            </w:pPr>
            <w:r w:rsidRPr="00FB03BA">
              <w:t>Common Unit Group</w:t>
            </w:r>
          </w:p>
        </w:tc>
      </w:tr>
      <w:tr w:rsidTr="00282B11">
        <w:tblPrEx>
          <w:tblW w:w="0" w:type="auto"/>
          <w:tblLayout w:type="fixed"/>
          <w:tblCellMar>
            <w:left w:w="62" w:type="dxa"/>
            <w:right w:w="62" w:type="dxa"/>
          </w:tblCellMar>
          <w:tblLook w:val="0000"/>
        </w:tblPrEx>
        <w:trPr>
          <w:trHeight w:val="28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Unit Code</w:t>
            </w:r>
            <w:r w:rsidRPr="00FB03BA">
              <w:tab/>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Unit Title</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UEPMNT352B</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Test and commission electronic electrical equipment</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UEENEEG108A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Trouble-s</w:t>
            </w:r>
            <w:r w:rsidRPr="00FB03BA">
              <w:t>hoot and repair faults in low voltage electrical apparatus and circuits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UEENEEE101A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 xml:space="preserve">Apply Occupational Health Safety regulations, codes and practices in the workplace </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UEENEEE102A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Fabricate, dismantle, assemble of utilities industry components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UEENEEE104A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Solve problems in d.c. circuits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UEENEEE105A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Fix and secure electrotechnology equipment</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UEENEEE107A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Use drawings, diagrams, schedules, standards, cords and specifications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UEENEEG006A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Solve problems in single and three phase low voltage mac</w:t>
            </w:r>
            <w:r w:rsidRPr="00FB03BA">
              <w:t>hines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UEENEEG033A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Solve problems in single and three phase low voltage electrical apparatus and circuits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UEENEEG063A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Arrange circuits, control and protection for general electrical installations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UEENEEG101A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Solve problems in electromagnetic devices and related circuits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UEENEEG102A</w:t>
            </w:r>
          </w:p>
        </w:tc>
        <w:tc>
          <w:tcPr>
            <w:tcW w:w="3696"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Solve problems in low voltage a.c. circuits</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UEENEEG106A</w:t>
            </w:r>
          </w:p>
        </w:tc>
        <w:tc>
          <w:tcPr>
            <w:tcW w:w="3696"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Terminate cables, cords and accessories for low voltage circuits</w:t>
            </w:r>
          </w:p>
        </w:tc>
      </w:tr>
    </w:tbl>
    <w:p w:rsidR="00000000" w:rsidRPr="00FB03BA" w:rsidP="00FB03B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82B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 xml:space="preserve">4.2) </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Participants are best equipped to achieve this unit if they have reading, writing and numeracy skills indicated by the following levels. A description of what each level entails is provided in Section 2.3.1 Language, Literacy and Numeracy.</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Reading</w:t>
            </w:r>
          </w:p>
        </w:tc>
        <w:tc>
          <w:tcPr>
            <w:tcW w:w="81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5</w:t>
            </w:r>
          </w:p>
        </w:tc>
        <w:tc>
          <w:tcPr>
            <w:tcW w:w="99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Writing</w:t>
            </w: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5</w:t>
            </w:r>
          </w:p>
        </w:tc>
        <w:tc>
          <w:tcPr>
            <w:tcW w:w="12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Numeracy</w:t>
            </w:r>
          </w:p>
        </w:tc>
        <w:tc>
          <w:tcPr>
            <w:tcW w:w="72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5</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6" w:name="O_470189"/>
      <w:bookmarkEnd w:id="6"/>
      <w:r w:rsidRPr="00FB03BA">
        <w:t>Employability Skills Information</w:t>
      </w:r>
    </w:p>
    <w:tbl>
      <w:tblPr>
        <w:tblW w:w="0" w:type="auto"/>
        <w:tblLayout w:type="fixed"/>
        <w:tblCellMar>
          <w:left w:w="62" w:type="dxa"/>
          <w:right w:w="62" w:type="dxa"/>
        </w:tblCellMar>
        <w:tblLook w:val="0000"/>
      </w:tblPr>
      <w:tblGrid>
        <w:gridCol w:w="2700"/>
        <w:gridCol w:w="5760"/>
      </w:tblGrid>
      <w:tr w:rsidTr="00282B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 xml:space="preserve">5) </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 xml:space="preserve">The required outcomes described in this unit of competency contain applicable facets of Employability Skills. The Employability Skills Summary </w:t>
            </w:r>
            <w:r w:rsidRPr="00FB03BA">
              <w:t>of the qualification in which this unit of competency is packaged will assist in identifying Employability Skill requirements.</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7" w:name="O_470188"/>
      <w:bookmarkEnd w:id="7"/>
      <w:r w:rsidRPr="00FB03BA">
        <w:t>Elements and Performance Criteria Pre-Content</w:t>
      </w:r>
    </w:p>
    <w:tbl>
      <w:tblPr>
        <w:tblW w:w="0" w:type="auto"/>
        <w:tblLayout w:type="fixed"/>
        <w:tblCellMar>
          <w:left w:w="62" w:type="dxa"/>
          <w:right w:w="62" w:type="dxa"/>
        </w:tblCellMar>
        <w:tblLook w:val="0000"/>
      </w:tblPr>
      <w:tblGrid>
        <w:gridCol w:w="2700"/>
        <w:gridCol w:w="5760"/>
      </w:tblGrid>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6)</w:t>
            </w:r>
            <w:r w:rsidRPr="00FB03B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Performance Criteria describe the required performance needed to demonstrate achievement of the element. Assessment of performance is to be consistent with the Evidence Guide.</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8" w:name="O_470187"/>
      <w:bookmarkEnd w:id="8"/>
      <w:r w:rsidRPr="00FB03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2B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PERFORMANCE CRITERIA</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w:t>
            </w:r>
          </w:p>
        </w:tc>
        <w:tc>
          <w:tcPr>
            <w:tcW w:w="2296" w:type="dxa"/>
            <w:vMerge w:val="restart"/>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1.1</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Work requirements are identified from request/work orders or equivalent and clarified/confirmed with appropriate parties or by site inspection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1.2</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FB03BA">
              <w:t>the work procedure</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1.3</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Resources required to satisfy the work plan are identified, obtained and inspected for compliance with the job specifications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1.4</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Relevant plans, drawings and texts are selected and interpreted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1.5</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Correct size, type and quantity of materials/components are determined, obtained and inspected for compliance with the job specifications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1.6</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Work is planned in detail including sequencing and prioritising and considerations made, where appropria</w:t>
            </w:r>
            <w:r w:rsidRPr="00FB03BA">
              <w:t>te, for the maintenance of plant security and capacity in accordance with system/site requirements</w:t>
            </w:r>
          </w:p>
        </w:tc>
      </w:tr>
      <w:tr w:rsidTr="00282B11">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1.7</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Co-ordination requirements, including requests for isolations where appropriate, are resolved with others involved, affected or required by the work</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1.8</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Potential hazards are identified and prevention and/or control measures are selected in accordance with the work plan and site procedures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1.9</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Work area is prepared in accordance with work requirements and site procedures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1.10</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 xml:space="preserve">Where appropriate, the teams and individuals roles and responsibilities within the team are identified and, where required, assist in the provision of the on-the-job training </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2</w:t>
            </w:r>
          </w:p>
        </w:tc>
        <w:tc>
          <w:tcPr>
            <w:tcW w:w="2296" w:type="dxa"/>
            <w:vMerge w:val="restart"/>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Test wiring systems</w:t>
            </w: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2.1</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Required isolations are confirmed where appropriate i</w:t>
            </w:r>
            <w:r w:rsidRPr="00FB03BA">
              <w:t>n accordance with site requirements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2.2</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Wiring systems are tested using appropriate plans, drawings and texts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2.3</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Wiring systems are tested in conjunction with others involved in, or affected by, the work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2.4</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Wiring systems, including enclosures/supports, are inspected prior to testing to ensure absence of any damage, defects and/or</w:t>
            </w:r>
            <w:r w:rsidRPr="00FB03BA">
              <w:t xml:space="preserve"> signs of deterioration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2.5</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Fixed wiring is tested as appropriate and results/observations are interpreted and documented to confirm compliance with job specifications.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w:t>
            </w:r>
          </w:p>
        </w:tc>
        <w:tc>
          <w:tcPr>
            <w:tcW w:w="2296" w:type="dxa"/>
            <w:vMerge w:val="restart"/>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Test the systems</w:t>
            </w: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3.1</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Required isolations are con</w:t>
            </w:r>
            <w:r w:rsidRPr="00FB03BA">
              <w:t>firmed where appropriate in accordance with site requirements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3.2</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Equipment is tested using appropriate plans, drawings and texts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3.3</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and equipment is tested in conjunction with other involved in, or affected by, the work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3.4</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Required test conditions are confirmed and the equipment is inspected to ensure absence of any damage, defects and/or sig</w:t>
            </w:r>
            <w:r w:rsidRPr="00FB03BA">
              <w:t>ns of deterioration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3.5</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and equipment is tested using appropriate test techniques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3.6</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test results/observations are interpreted and documented to confirm compliance with job specifications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w:t>
            </w:r>
          </w:p>
        </w:tc>
        <w:tc>
          <w:tcPr>
            <w:tcW w:w="2296" w:type="dxa"/>
            <w:vMerge w:val="restart"/>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Commission the systems</w:t>
            </w: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4.1</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Required isolations are confirmed where appropriate in accordance with site requirements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4.2</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is commissioned using appropriate plans, drawings and texts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4.3</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is commissioned in conjunction with others involved in, or affected by, the work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4.4</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and equipmen</w:t>
            </w:r>
            <w:r w:rsidRPr="00FB03BA">
              <w:t>t is set up in accordance with operational requirements/manufacturer’s specifications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4.5</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Testing and monitoring procedures are followed and results monitored, interpreted and documented to ensure equipment operates/functions within specifications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4.6</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System is commissioned with due regard being paid to plant security and capacity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4.7</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Final job inspection is carried out and permits relinquished as required in accordance with the work plan</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5</w:t>
            </w:r>
          </w:p>
        </w:tc>
        <w:tc>
          <w:tcPr>
            <w:tcW w:w="2296" w:type="dxa"/>
            <w:vMerge w:val="restart"/>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Complete the work</w:t>
            </w: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5.1</w:t>
            </w:r>
          </w:p>
        </w:tc>
        <w:tc>
          <w:tcPr>
            <w:tcW w:w="48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Work is completed and appropriate personnel notified in accordance with site/enterprise requirements</w:t>
            </w:r>
          </w:p>
        </w:tc>
      </w:tr>
      <w:tr w:rsidTr="00282B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t>5.2</w:t>
            </w:r>
          </w:p>
        </w:tc>
        <w:tc>
          <w:tcPr>
            <w:tcW w:w="48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Work area is cleared of waste, cleaned, restored and secured in accordance with site/enterprise procedures</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9" w:name="O_470195"/>
      <w:bookmarkEnd w:id="9"/>
      <w:r w:rsidRPr="00FB03BA">
        <w:t>Required Skills and Knowledge</w:t>
      </w:r>
    </w:p>
    <w:tbl>
      <w:tblPr>
        <w:tblW w:w="0" w:type="auto"/>
        <w:tblLayout w:type="fixed"/>
        <w:tblCellMar>
          <w:left w:w="62" w:type="dxa"/>
          <w:right w:w="62" w:type="dxa"/>
        </w:tblCellMar>
        <w:tblLook w:val="0000"/>
      </w:tblPr>
      <w:tblGrid>
        <w:gridCol w:w="8460"/>
      </w:tblGrid>
      <w:tr w:rsidTr="00282B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REQUIRED SKILLS AND KNOWLEDGE</w:t>
            </w:r>
          </w:p>
        </w:tc>
      </w:tr>
      <w:tr w:rsidTr="00282B1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8)</w:t>
            </w:r>
            <w:r w:rsidRPr="00FB03BA">
              <w:t xml:space="preserve"> This describes the essential skills and knowledge and their level, required for this unit.</w:t>
            </w:r>
          </w:p>
          <w:p w:rsidR="00000000" w:rsidRPr="00FB03BA" w:rsidP="00FB03BA">
            <w:pPr>
              <w:pStyle w:val="BodyText"/>
            </w:pPr>
            <w:r w:rsidRPr="00FB03BA">
              <w:t>Evidence shall show that knowledge has been acquired testing and commissioning electronic electrical systems.</w:t>
            </w:r>
          </w:p>
          <w:p w:rsidR="00000000" w:rsidRPr="00FB03BA" w:rsidP="00FB03BA">
            <w:pPr>
              <w:pStyle w:val="BodyText"/>
            </w:pPr>
            <w:r w:rsidRPr="00FB03BA">
              <w:t>All knowledge and skills detailed in this unit should be contextualised to current industry practices and technologies.</w:t>
            </w:r>
          </w:p>
          <w:p w:rsidR="00000000" w:rsidRPr="00FB03BA" w:rsidP="00FB03BA">
            <w:pPr>
              <w:pStyle w:val="BodyText"/>
            </w:pPr>
            <w:r w:rsidRPr="00FB03BA">
              <w:t>The extent of the Essentia</w:t>
            </w:r>
            <w:r w:rsidRPr="00FB03BA">
              <w:t>l Knowledge and Associated Skills required follows:</w:t>
            </w:r>
          </w:p>
          <w:p w:rsidR="00000000" w:rsidRPr="00FB03BA" w:rsidP="00FB03BA">
            <w:pPr>
              <w:pStyle w:val="BodyText"/>
            </w:pPr>
            <w:r w:rsidRPr="00FB03BA">
              <w:t>KS01-PM502B  Test and commission electronic electrical systems</w:t>
            </w:r>
          </w:p>
          <w:p w:rsidR="00000000" w:rsidRPr="00FB03BA" w:rsidP="00FB03BA">
            <w:pPr>
              <w:pStyle w:val="BodyText"/>
            </w:pPr>
            <w:r w:rsidRPr="00FB03BA">
              <w:t>Evidence shall show that knowledge has been acquired for safe working practices of:</w:t>
            </w:r>
          </w:p>
          <w:p w:rsidR="00000000" w:rsidRPr="00FB03BA" w:rsidP="00FB03BA">
            <w:pPr>
              <w:pStyle w:val="BodyText"/>
            </w:pPr>
            <w:r w:rsidRPr="00FB03BA">
              <w:t>T1 Relevant Environmental, Occupational Health and Safety</w:t>
            </w:r>
            <w:r w:rsidRPr="00FB03BA">
              <w:t xml:space="preserve"> legislation and  regulations</w:t>
            </w:r>
          </w:p>
          <w:p w:rsidR="00000000" w:rsidRPr="00FB03BA" w:rsidP="00FB03BA">
            <w:pPr>
              <w:pStyle w:val="BodyText"/>
            </w:pPr>
            <w:r w:rsidRPr="00FB03BA">
              <w:t>T2 Relevant plant and equipment, its location and operation</w:t>
            </w:r>
          </w:p>
          <w:p w:rsidR="00000000" w:rsidRPr="00FB03BA" w:rsidP="00FB03BA">
            <w:pPr>
              <w:pStyle w:val="BodyText"/>
            </w:pPr>
            <w:r w:rsidRPr="00FB03BA">
              <w:t>T3 Technical drawings and manufacturers manuals</w:t>
            </w:r>
          </w:p>
          <w:p w:rsidR="00000000" w:rsidRPr="00FB03BA" w:rsidP="00FB03BA">
            <w:pPr>
              <w:pStyle w:val="BodyText"/>
            </w:pPr>
            <w:r w:rsidRPr="00FB03BA">
              <w:t>T4 Typical arrangements of power production plant</w:t>
            </w:r>
          </w:p>
          <w:p w:rsidR="00000000" w:rsidRPr="00FB03BA" w:rsidP="00FB03BA">
            <w:pPr>
              <w:pStyle w:val="BodyText"/>
            </w:pPr>
            <w:r w:rsidRPr="00FB03BA">
              <w:t>T5 Relevant state and territory regulations</w:t>
            </w:r>
          </w:p>
          <w:p w:rsidR="00000000" w:rsidRPr="00FB03BA" w:rsidP="00FB03BA">
            <w:pPr>
              <w:pStyle w:val="BodyText"/>
            </w:pPr>
            <w:r w:rsidRPr="00FB03BA">
              <w:t>T6 Electronic principles</w:t>
            </w:r>
          </w:p>
          <w:p w:rsidR="00000000" w:rsidRPr="00FB03BA" w:rsidP="00FB03BA">
            <w:pPr>
              <w:pStyle w:val="BodyText"/>
            </w:pPr>
            <w:r w:rsidRPr="00FB03BA">
              <w:t>T7 Relevant Australian standards</w:t>
            </w:r>
          </w:p>
          <w:p w:rsidR="00000000" w:rsidRPr="00FB03BA" w:rsidP="00FB03BA">
            <w:pPr>
              <w:pStyle w:val="BodyText"/>
            </w:pPr>
            <w:r w:rsidRPr="00FB03BA">
              <w:t>T8 Equipment and material required to perform the work</w:t>
            </w:r>
          </w:p>
          <w:p w:rsidR="00000000" w:rsidRPr="00FB03BA" w:rsidP="00FB03BA">
            <w:pPr>
              <w:pStyle w:val="BodyText"/>
            </w:pPr>
            <w:r w:rsidRPr="00FB03BA">
              <w:t>T9 Isolation procedures</w:t>
            </w:r>
          </w:p>
          <w:p w:rsidR="00000000" w:rsidRPr="00FB03BA" w:rsidP="00FB03BA">
            <w:pPr>
              <w:pStyle w:val="BodyText"/>
            </w:pPr>
            <w:r w:rsidRPr="00FB03BA">
              <w:t>T10 Layout of plant/work site and operation of its equipment</w:t>
            </w:r>
          </w:p>
          <w:p w:rsidR="00000000" w:rsidRPr="00FB03BA" w:rsidP="00FB03BA">
            <w:pPr>
              <w:pStyle w:val="BodyText"/>
            </w:pPr>
            <w:r w:rsidRPr="00FB03BA">
              <w:t>T11 Testing and commissioning techniques and procedures</w:t>
            </w:r>
          </w:p>
          <w:p w:rsidR="00000000" w:rsidRPr="00FB03BA" w:rsidP="00FB03BA">
            <w:pPr>
              <w:pStyle w:val="BodyText"/>
            </w:pPr>
            <w:r w:rsidRPr="00FB03BA">
              <w:t>T12 Operational requiremen</w:t>
            </w:r>
            <w:r w:rsidRPr="00FB03BA">
              <w:t>ts of the equipment</w:t>
            </w:r>
          </w:p>
          <w:p w:rsidR="00000000" w:rsidRPr="00FB03BA" w:rsidP="00FB03BA">
            <w:pPr>
              <w:pStyle w:val="BodyText"/>
            </w:pPr>
            <w:r w:rsidRPr="00FB03BA">
              <w:t>T13 Plant electronic and electrical systems</w:t>
            </w:r>
          </w:p>
          <w:p w:rsidR="00000000" w:rsidRPr="00FB03BA" w:rsidP="00FB03BA">
            <w:pPr>
              <w:pStyle w:val="BodyText"/>
            </w:pPr>
            <w:r w:rsidRPr="00FB03BA">
              <w:t>T14 Electrical principles</w:t>
            </w:r>
          </w:p>
          <w:p w:rsidR="00000000" w:rsidRPr="00FB03BA" w:rsidP="00FB03BA">
            <w:pPr>
              <w:pStyle w:val="BodyText"/>
            </w:pPr>
            <w:r w:rsidRPr="00FB03BA">
              <w:t>T15 Test and measurement instruments</w:t>
            </w:r>
          </w:p>
          <w:p w:rsidR="00000000" w:rsidRPr="00FB03BA" w:rsidP="00FB03BA">
            <w:pPr>
              <w:pStyle w:val="BodyText"/>
            </w:pPr>
            <w:r w:rsidRPr="00FB03BA">
              <w:t>T16 Circuit plan appreciation</w:t>
            </w:r>
          </w:p>
          <w:p w:rsidR="00000000" w:rsidRPr="00FB03BA" w:rsidP="00FB03BA">
            <w:pPr>
              <w:pStyle w:val="BodyText"/>
            </w:pPr>
            <w:r w:rsidRPr="00FB03BA">
              <w:t>T17 Engineering and electronic workshop practice</w:t>
            </w:r>
          </w:p>
          <w:p w:rsidR="00000000" w:rsidRPr="00FB03BA" w:rsidP="00FB03BA">
            <w:pPr>
              <w:pStyle w:val="BodyText"/>
            </w:pPr>
            <w:r w:rsidRPr="00FB03BA">
              <w:t>KS02-PM502B  Test and commission electronic electrical systems</w:t>
            </w:r>
          </w:p>
          <w:p w:rsidR="00000000" w:rsidRPr="00FB03BA" w:rsidP="00FB03BA">
            <w:pPr>
              <w:pStyle w:val="BodyText"/>
            </w:pPr>
            <w:r w:rsidRPr="00FB03BA">
              <w:t>Specific skills needed to achieve the Performance Criteria:</w:t>
            </w:r>
          </w:p>
          <w:p w:rsidR="00000000" w:rsidRPr="00FB03BA" w:rsidP="00FB03BA">
            <w:pPr>
              <w:pStyle w:val="BodyText"/>
            </w:pPr>
            <w:r w:rsidRPr="00FB03BA">
              <w:t>T1 Apply Relevant Environmental, Occupational Health and Safety legislation and  regulations</w:t>
            </w:r>
          </w:p>
          <w:p w:rsidR="00000000" w:rsidRPr="00FB03BA" w:rsidP="00FB03BA">
            <w:pPr>
              <w:pStyle w:val="BodyText"/>
            </w:pPr>
            <w:r w:rsidRPr="00FB03BA">
              <w:t>T2 Interpret Technical drawings and manu</w:t>
            </w:r>
            <w:r w:rsidRPr="00FB03BA">
              <w:t>facturers manuals</w:t>
            </w:r>
          </w:p>
          <w:p w:rsidR="00000000" w:rsidRPr="00FB03BA" w:rsidP="00FB03BA">
            <w:pPr>
              <w:pStyle w:val="BodyText"/>
            </w:pPr>
            <w:r w:rsidRPr="00FB03BA">
              <w:t>T3 Apply relevant state and territory regulations</w:t>
            </w:r>
          </w:p>
          <w:p w:rsidR="00000000" w:rsidRPr="00FB03BA" w:rsidP="00FB03BA">
            <w:pPr>
              <w:pStyle w:val="BodyText"/>
            </w:pPr>
            <w:r w:rsidRPr="00FB03BA">
              <w:t>T4 Apply electronic principles</w:t>
            </w:r>
          </w:p>
          <w:p w:rsidR="00000000" w:rsidRPr="00FB03BA" w:rsidP="00FB03BA">
            <w:pPr>
              <w:pStyle w:val="BodyText"/>
            </w:pPr>
            <w:r w:rsidRPr="00FB03BA">
              <w:t>T5 Apply relevant Australian standards</w:t>
            </w:r>
          </w:p>
          <w:p w:rsidR="00000000" w:rsidRPr="00FB03BA" w:rsidP="00FB03BA">
            <w:pPr>
              <w:pStyle w:val="BodyText"/>
            </w:pPr>
            <w:r w:rsidRPr="00FB03BA">
              <w:t>T6 Use tools and relevant equipment</w:t>
            </w:r>
          </w:p>
          <w:p w:rsidR="00000000" w:rsidRPr="00FB03BA" w:rsidP="00FB03BA">
            <w:pPr>
              <w:pStyle w:val="BodyText"/>
            </w:pPr>
            <w:r w:rsidRPr="00FB03BA">
              <w:t>T7 Use test and measurement instruments</w:t>
            </w:r>
          </w:p>
          <w:p w:rsidR="00000000" w:rsidRPr="00FB03BA" w:rsidP="00FB03BA">
            <w:pPr>
              <w:pStyle w:val="BodyText"/>
            </w:pPr>
            <w:r w:rsidRPr="00FB03BA">
              <w:t>T8 Inspect and test the wiring systems</w:t>
            </w:r>
          </w:p>
          <w:p w:rsidR="00000000" w:rsidRPr="00FB03BA" w:rsidP="00FB03BA">
            <w:pPr>
              <w:pStyle w:val="BodyText"/>
            </w:pPr>
            <w:r w:rsidRPr="00FB03BA">
              <w:t xml:space="preserve">T9 </w:t>
            </w:r>
            <w:r w:rsidRPr="00FB03BA">
              <w:t>Inspect, test and monitor systems</w:t>
            </w:r>
          </w:p>
          <w:p w:rsidR="00000000" w:rsidRPr="00FB03BA" w:rsidP="00FB03BA">
            <w:pPr>
              <w:pStyle w:val="BodyText"/>
            </w:pPr>
            <w:r w:rsidRPr="00FB03BA">
              <w:t>T10 Commission electronic/electrical system</w:t>
            </w:r>
          </w:p>
          <w:p w:rsidR="00000000" w:rsidRPr="00FB03BA" w:rsidP="00FB03BA">
            <w:pPr>
              <w:pStyle w:val="BodyText"/>
            </w:pPr>
            <w:r w:rsidRPr="00FB03BA">
              <w:t>T11 Select materials for the job</w:t>
            </w:r>
          </w:p>
          <w:p w:rsidR="00000000" w:rsidRPr="00FB03BA" w:rsidP="00FB03BA">
            <w:pPr>
              <w:pStyle w:val="BodyText"/>
            </w:pPr>
            <w:r w:rsidRPr="00FB03BA">
              <w:t>T12 Apply electrical principles</w:t>
            </w:r>
          </w:p>
          <w:p w:rsidR="00000000" w:rsidRPr="00FB03BA" w:rsidP="00FB03BA">
            <w:pPr>
              <w:pStyle w:val="BodyText"/>
            </w:pPr>
            <w:r w:rsidRPr="00FB03BA">
              <w:t>T13 Communicate effectively</w:t>
            </w:r>
          </w:p>
          <w:p w:rsidR="00000000" w:rsidRPr="00FB03BA" w:rsidP="00FB03BA">
            <w:pPr>
              <w:pStyle w:val="BodyText"/>
            </w:pPr>
            <w:r w:rsidRPr="00FB03BA">
              <w:t>T14 Apply data analysis techniques and tools</w:t>
            </w:r>
          </w:p>
          <w:p w:rsidR="00000000" w:rsidRPr="00FB03BA" w:rsidP="00FB03BA">
            <w:pPr>
              <w:pStyle w:val="BodyText"/>
            </w:pPr>
            <w:r w:rsidRPr="00FB03BA">
              <w:t>T15 Apply engineering and electronic wor</w:t>
            </w:r>
            <w:r w:rsidRPr="00FB03BA">
              <w:t>kshop practices</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10" w:name="O_470190"/>
      <w:bookmarkEnd w:id="10"/>
      <w:r w:rsidRPr="00FB03BA">
        <w:t>Evidence Guide</w:t>
      </w:r>
    </w:p>
    <w:tbl>
      <w:tblPr>
        <w:tblW w:w="0" w:type="auto"/>
        <w:tblLayout w:type="fixed"/>
        <w:tblCellMar>
          <w:left w:w="62" w:type="dxa"/>
          <w:right w:w="62" w:type="dxa"/>
        </w:tblCellMar>
        <w:tblLook w:val="0000"/>
      </w:tblPr>
      <w:tblGrid>
        <w:gridCol w:w="8460"/>
      </w:tblGrid>
      <w:tr w:rsidTr="00282B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EVIDENCE GUIDE</w:t>
            </w:r>
          </w:p>
        </w:tc>
      </w:tr>
      <w:tr w:rsidTr="00282B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9)</w:t>
            </w:r>
            <w:r w:rsidRPr="00FB03BA">
              <w:t xml:space="preserve"> Evidence Guide: This provides essential advice for assessment of the competency standard unit </w:t>
            </w:r>
            <w:r w:rsidRPr="00FB03BA">
              <w:t>and must be read in conjunction with the Performance Criteria and the Range Statement of the competency standard unit and the Training Package Assessment Guidelines.</w:t>
            </w:r>
          </w:p>
          <w:p w:rsidR="00000000" w:rsidRPr="00FB03BA" w:rsidP="00FB03BA">
            <w:pPr>
              <w:pStyle w:val="BodyText"/>
            </w:pPr>
            <w:r w:rsidRPr="00FB03BA">
              <w:t>The Evidence Guide forms an integral part of this Competency Standard Unit and shall be us</w:t>
            </w:r>
            <w:r w:rsidRPr="00FB03BA">
              <w:t>ed in conjunction with all components parts of this unit and, performed in accordance with the Assessment Guidelines of this Training Package.</w:t>
            </w:r>
          </w:p>
        </w:tc>
      </w:tr>
    </w:tbl>
    <w:p w:rsidR="00000000" w:rsidRPr="00FB03BA" w:rsidP="00FB03BA">
      <w:pPr>
        <w:pStyle w:val="BodyText"/>
      </w:pPr>
    </w:p>
    <w:tbl>
      <w:tblPr>
        <w:tblW w:w="0" w:type="auto"/>
        <w:tblLayout w:type="fixed"/>
        <w:tblCellMar>
          <w:left w:w="62" w:type="dxa"/>
          <w:right w:w="62" w:type="dxa"/>
        </w:tblCellMar>
        <w:tblLook w:val="0000"/>
      </w:tblPr>
      <w:tblGrid>
        <w:gridCol w:w="1890"/>
        <w:gridCol w:w="6570"/>
      </w:tblGrid>
      <w:tr w:rsidTr="00282B11">
        <w:tblPrEx>
          <w:tblW w:w="0" w:type="auto"/>
          <w:tblLayout w:type="fixed"/>
          <w:tblCellMar>
            <w:left w:w="62" w:type="dxa"/>
            <w:right w:w="62" w:type="dxa"/>
          </w:tblCellMar>
          <w:tblLook w:val="0000"/>
        </w:tblPrEx>
        <w:trPr>
          <w:trHeight w:val="377"/>
        </w:trPr>
        <w:tc>
          <w:tcPr>
            <w:tcW w:w="189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9.1)</w:t>
            </w:r>
          </w:p>
        </w:tc>
      </w:tr>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Longitude competency development approaches to assessment, such as Profiling, req</w:t>
            </w:r>
            <w:r w:rsidRPr="00FB03BA">
              <w:t>uire data to be reliably gathered in a form that can be consistently interpreted over time. This approach is best utilised in Apprenticeship programs and reduces assessment intervention. It is the Industry’s preferred model for apprenticeships. However, wh</w:t>
            </w:r>
            <w:r w:rsidRPr="00FB03BA">
              <w:t xml:space="preserve">ere summative (or final) assessment is used it is to include the application of the competency in the normal work environment or, at a minimum, the application of the competency in a realistically simulated work environment. It is recognised that, in some </w:t>
            </w:r>
            <w:r w:rsidRPr="00FB03BA">
              <w:t>circumstances, assessment in part or full can occur outside the workplace. However, it must be in accord with Industry and, Regulatory policy in this regard.</w:t>
            </w:r>
          </w:p>
          <w:p w:rsidR="00000000" w:rsidRPr="00FB03BA" w:rsidP="00FB03BA">
            <w:pPr>
              <w:pStyle w:val="BodyText"/>
            </w:pPr>
            <w:r w:rsidRPr="00FB03BA">
              <w:t>Methods chos</w:t>
            </w:r>
            <w:r w:rsidRPr="00FB03BA">
              <w:t>en for a particular assessment will be influenced by various factors. These include the extent of the assessment, the most effective locations for the assessment activities to take place, access to physical resources, additional safety measures that may be</w:t>
            </w:r>
            <w:r w:rsidRPr="00FB03BA">
              <w:t xml:space="preserve"> required and the critical nature of the competencies being assessed.</w:t>
            </w:r>
          </w:p>
          <w:p w:rsidR="00000000" w:rsidRPr="00FB03BA" w:rsidP="00FB03BA">
            <w:pPr>
              <w:pStyle w:val="BodyText"/>
            </w:pPr>
            <w:r w:rsidRPr="00FB03BA">
              <w:t xml:space="preserve">The critical safety nature of working with electricity, electrical equipment, gas or any other hazardous substance/material carries risk in deeming a person competent. Hence, sources of </w:t>
            </w:r>
            <w:r w:rsidRPr="00FB03BA">
              <w:t>evidence need to be ‘rich’ in nature so as to minimise error in judgment.</w:t>
            </w:r>
          </w:p>
          <w:p w:rsidR="00000000" w:rsidRPr="00FB03BA" w:rsidP="00FB03BA">
            <w:pPr>
              <w:pStyle w:val="BodyText"/>
            </w:pPr>
            <w:r w:rsidRPr="00FB03BA">
              <w:t>Activities associated with normal every day work have a bearing on the decision as to how much and how detailed the data gathered will contribute to its ‘richness’. Some skills are m</w:t>
            </w:r>
            <w:r w:rsidRPr="00FB03BA">
              <w:t>ore critical to safety and operational requirements while the same skills may be more or less frequently practised. These points are raised for the assessors to consider when choosing an assessment method and developing assessment instruments. Sample asses</w:t>
            </w:r>
            <w:r w:rsidRPr="00FB03BA">
              <w:t>sment instruments are included for Assessors in the Assessment Guidelines of this Training Package.</w:t>
            </w:r>
          </w:p>
        </w:tc>
      </w:tr>
    </w:tbl>
    <w:p w:rsidR="00000000" w:rsidRPr="00FB03BA" w:rsidP="00FB03BA">
      <w:pPr>
        <w:pStyle w:val="BodyText"/>
      </w:pPr>
    </w:p>
    <w:tbl>
      <w:tblPr>
        <w:tblW w:w="0" w:type="auto"/>
        <w:tblLayout w:type="fixed"/>
        <w:tblCellMar>
          <w:left w:w="62" w:type="dxa"/>
          <w:right w:w="62" w:type="dxa"/>
        </w:tblCellMar>
        <w:tblLook w:val="0000"/>
      </w:tblPr>
      <w:tblGrid>
        <w:gridCol w:w="1890"/>
        <w:gridCol w:w="6570"/>
      </w:tblGrid>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9.2)</w:t>
            </w:r>
          </w:p>
        </w:tc>
      </w:tr>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Before the critical aspects of evidence are considered all pre-requisi</w:t>
            </w:r>
            <w:r w:rsidRPr="00FB03BA">
              <w:t>tes shall be met.</w:t>
            </w:r>
          </w:p>
          <w:p w:rsidR="00000000" w:rsidRPr="00FB03BA" w:rsidP="00FB03BA">
            <w:pPr>
              <w:pStyle w:val="BodyText"/>
            </w:pPr>
            <w:r w:rsidRPr="00FB03BA">
              <w:t>Evidence for competence in this unit shall be considered holistically.  Each element and associated Performance Criteria shall be demonstrated on at least two occasions in accordance with the “Assessment Guidelines – UEP12”.  Evidence sha</w:t>
            </w:r>
            <w:r w:rsidRPr="00FB03BA">
              <w:t>ll also comprise:</w:t>
            </w:r>
          </w:p>
          <w:p w:rsidR="00000000" w:rsidRPr="00FB03BA" w:rsidP="00FB03BA">
            <w:pPr>
              <w:pStyle w:val="ListBullet"/>
            </w:pPr>
            <w:r w:rsidRPr="00FB03BA">
              <w:t>A representative body of work performance demonstrated within the timeframes typically expected of the discipline, work function and industrial environment. In particular this shall incorporate evidence that shows a candidate is able to:</w:t>
            </w:r>
          </w:p>
          <w:p w:rsidR="00000000" w:rsidRPr="00FB03BA" w:rsidP="00FB03BA">
            <w:pPr>
              <w:pStyle w:val="ListBullet2"/>
            </w:pPr>
            <w:r w:rsidRPr="00FB03BA">
              <w:t>Implement Occupational Health and Safety workplace procedures and practices including the use of risk control measures as specified in the Performance Criteria and Range Statement</w:t>
            </w:r>
          </w:p>
          <w:p w:rsidR="00000000" w:rsidRPr="00FB03BA" w:rsidP="00FB03BA">
            <w:pPr>
              <w:pStyle w:val="ListBullet2"/>
            </w:pPr>
            <w:r w:rsidRPr="00FB03BA">
              <w:t>Apply sustainable energy principles and practices as specified in the Performance Criteria and Range Statement</w:t>
            </w:r>
          </w:p>
          <w:p w:rsidR="00000000" w:rsidRPr="00FB03BA" w:rsidP="00FB03BA">
            <w:pPr>
              <w:pStyle w:val="ListBullet2"/>
            </w:pPr>
            <w:r w:rsidRPr="00FB03BA">
              <w:t>Demonstrate an understanding of the essential knowledge and associated skills as described in 6) Essential Knowledge and Associated Skills of thi</w:t>
            </w:r>
            <w:r w:rsidRPr="00FB03BA">
              <w:t>s unit</w:t>
            </w:r>
          </w:p>
          <w:p w:rsidR="00000000" w:rsidRPr="00FB03BA" w:rsidP="00FB03BA">
            <w:pPr>
              <w:pStyle w:val="ListBullet2"/>
            </w:pPr>
            <w:r w:rsidRPr="00FB03BA">
              <w:t>Demonstrate an appropriate level of employability skills</w:t>
            </w:r>
          </w:p>
          <w:p w:rsidR="00000000" w:rsidRPr="00FB03BA" w:rsidP="00FB03BA">
            <w:pPr>
              <w:pStyle w:val="ListBullet2"/>
            </w:pPr>
            <w:r w:rsidRPr="00FB03BA">
              <w:t>Conduct work observing the relevant Anti Discrimination legislation, regulations, polices and workplace procedures</w:t>
            </w:r>
          </w:p>
          <w:p w:rsidR="00000000" w:rsidRPr="00FB03BA" w:rsidP="00FB03BA">
            <w:pPr>
              <w:pStyle w:val="ListBullet"/>
            </w:pPr>
            <w:r w:rsidRPr="00FB03BA">
              <w:t xml:space="preserve">Demonstrated performance across a representative range of contexts from the </w:t>
            </w:r>
            <w:r w:rsidRPr="00FB03BA">
              <w:t>prescribed items below:</w:t>
            </w:r>
          </w:p>
          <w:p w:rsidR="00000000" w:rsidRPr="00FB03BA" w:rsidP="00FB03BA">
            <w:pPr>
              <w:pStyle w:val="ListBullet2"/>
            </w:pPr>
            <w:r w:rsidRPr="00FB03BA">
              <w:t>Knowledge and application of relevant sections of: Occupational Health and Safety legislation; Statutory legislation; Enterprise/site safety procedures; Enterprise/site emergency procedures</w:t>
            </w:r>
          </w:p>
          <w:p w:rsidR="00000000" w:rsidRPr="00FB03BA" w:rsidP="00FB03BA">
            <w:pPr>
              <w:pStyle w:val="ListBullet2"/>
            </w:pPr>
            <w:r w:rsidRPr="00FB03BA">
              <w:t>Preparation and planning of work</w:t>
            </w:r>
          </w:p>
          <w:p w:rsidR="00000000" w:rsidRPr="00FB03BA" w:rsidP="00FB03BA">
            <w:pPr>
              <w:pStyle w:val="ListBullet2"/>
            </w:pPr>
            <w:r w:rsidRPr="00FB03BA">
              <w:t xml:space="preserve">Testing </w:t>
            </w:r>
            <w:r w:rsidRPr="00FB03BA">
              <w:t>techniques</w:t>
            </w:r>
          </w:p>
          <w:p w:rsidR="00000000" w:rsidRPr="00FB03BA" w:rsidP="00FB03BA">
            <w:pPr>
              <w:pStyle w:val="ListBullet2"/>
            </w:pPr>
            <w:r w:rsidRPr="00FB03BA">
              <w:t>Commissioning procedures</w:t>
            </w:r>
          </w:p>
          <w:p w:rsidR="00000000" w:rsidRPr="00FB03BA" w:rsidP="00FB03BA">
            <w:pPr>
              <w:pStyle w:val="ListBullet2"/>
            </w:pPr>
            <w:r w:rsidRPr="00FB03BA">
              <w:t>Completion of work procedures</w:t>
            </w:r>
          </w:p>
          <w:p w:rsidR="00000000" w:rsidRPr="00FB03BA" w:rsidP="00FB03BA">
            <w:pPr>
              <w:pStyle w:val="ListBullet2"/>
            </w:pPr>
            <w:r w:rsidRPr="00FB03BA">
              <w:t>Dealing with an unplanned event by drawing on Essential Knowledge and Skills to provide appropriate solutions incorporated in the holistic assessment with the above listed items.</w:t>
            </w:r>
          </w:p>
        </w:tc>
      </w:tr>
    </w:tbl>
    <w:p w:rsidR="00000000" w:rsidRPr="00FB03BA" w:rsidP="00FB03BA">
      <w:pPr>
        <w:pStyle w:val="BodyText"/>
      </w:pPr>
    </w:p>
    <w:tbl>
      <w:tblPr>
        <w:tblW w:w="0" w:type="auto"/>
        <w:tblLayout w:type="fixed"/>
        <w:tblCellMar>
          <w:left w:w="62" w:type="dxa"/>
          <w:right w:w="62" w:type="dxa"/>
        </w:tblCellMar>
        <w:tblLook w:val="0000"/>
      </w:tblPr>
      <w:tblGrid>
        <w:gridCol w:w="1890"/>
        <w:gridCol w:w="6570"/>
      </w:tblGrid>
      <w:tr w:rsidTr="00282B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9.3)</w:t>
            </w:r>
          </w:p>
        </w:tc>
      </w:tr>
      <w:tr w:rsidTr="00282B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This unit should be assessed as it relates to normal work practice using procedures, information and resources typical of a workplace. This should include:</w:t>
            </w:r>
          </w:p>
          <w:p w:rsidR="00000000" w:rsidRPr="00FB03BA" w:rsidP="00FB03BA">
            <w:pPr>
              <w:pStyle w:val="ListBullet"/>
            </w:pPr>
            <w:r w:rsidRPr="00FB03BA">
              <w:t>OHS policy and work procedures and instruct</w:t>
            </w:r>
            <w:r w:rsidRPr="00FB03BA">
              <w:t>ions.</w:t>
            </w:r>
          </w:p>
          <w:p w:rsidR="00000000" w:rsidRPr="00FB03BA" w:rsidP="00FB03BA">
            <w:pPr>
              <w:pStyle w:val="ListBullet"/>
            </w:pPr>
            <w:r w:rsidRPr="00FB03BA">
              <w:t>Suitable work environment, facilities, equipment and materials to undertake actual work as prescribed by this unit.</w:t>
            </w:r>
          </w:p>
          <w:p w:rsidR="00000000" w:rsidRPr="00FB03BA" w:rsidP="00FB03BA">
            <w:pPr>
              <w:pStyle w:val="BodyText"/>
            </w:pPr>
            <w:r w:rsidRPr="00FB03BA">
              <w:t>Competency Standards should be assessed in the workplace or simulated workplace and under the normal range of workplace conditions.</w:t>
            </w:r>
          </w:p>
          <w:p w:rsidR="00000000" w:rsidRPr="00FB03BA" w:rsidP="00FB03BA">
            <w:pPr>
              <w:pStyle w:val="BodyText"/>
            </w:pPr>
            <w:r w:rsidRPr="00FB03BA">
              <w:t>Assessment of this unit will be supported with documentary evidence, by means of endorsement stating type and application of work.</w:t>
            </w:r>
          </w:p>
          <w:p w:rsidR="00000000" w:rsidRPr="00FB03BA" w:rsidP="00FB03BA">
            <w:pPr>
              <w:pStyle w:val="BodyText"/>
            </w:pPr>
            <w:r w:rsidRPr="00FB03BA">
              <w:t>In addition to the resources listed above in Context of assessment’, evidence should show competency working, in limited spac</w:t>
            </w:r>
            <w:r w:rsidRPr="00FB03BA">
              <w:t>es, with different types of plant and equipment as well as different structural/construction types and method and in a variety of environments.</w:t>
            </w:r>
          </w:p>
        </w:tc>
      </w:tr>
    </w:tbl>
    <w:p w:rsidR="00000000" w:rsidRPr="00FB03BA" w:rsidP="00FB03BA">
      <w:pPr>
        <w:pStyle w:val="BodyText"/>
      </w:pPr>
    </w:p>
    <w:tbl>
      <w:tblPr>
        <w:tblW w:w="0" w:type="auto"/>
        <w:tblLayout w:type="fixed"/>
        <w:tblCellMar>
          <w:left w:w="62" w:type="dxa"/>
          <w:right w:w="62" w:type="dxa"/>
        </w:tblCellMar>
        <w:tblLook w:val="0000"/>
      </w:tblPr>
      <w:tblGrid>
        <w:gridCol w:w="1890"/>
        <w:gridCol w:w="6570"/>
      </w:tblGrid>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9.4)</w:t>
            </w:r>
          </w:p>
        </w:tc>
      </w:tr>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This unit shall be assessed by methods given in Section 1.3.00 Assessment Guidelines.</w:t>
            </w:r>
          </w:p>
          <w:p w:rsidR="00000000" w:rsidRPr="00FB03BA" w:rsidP="00FB03BA">
            <w:pPr>
              <w:pStyle w:val="BodyText"/>
            </w:pPr>
            <w:r w:rsidRPr="00FB03BA">
              <w:t>Note: Competent performance with inherent safe working practices is expected in the Industry to which this unit applies. This requires that the specified essential knowle</w:t>
            </w:r>
            <w:r w:rsidRPr="00FB03BA">
              <w:t>dge and associated skills are assessed in a structured environment which is primarily intended for learning/assessment and incorporates all necessary equipment and facilities for learners to develop and demonstrate the Essential Knowledge and Skills descri</w:t>
            </w:r>
            <w:r w:rsidRPr="00FB03BA">
              <w:t>bed in this unit.</w:t>
            </w:r>
          </w:p>
        </w:tc>
      </w:tr>
    </w:tbl>
    <w:p w:rsidR="00000000" w:rsidRPr="00FB03BA" w:rsidP="00FB03BA">
      <w:pPr>
        <w:pStyle w:val="BodyText"/>
      </w:pPr>
    </w:p>
    <w:tbl>
      <w:tblPr>
        <w:tblW w:w="0" w:type="auto"/>
        <w:tblLayout w:type="fixed"/>
        <w:tblCellMar>
          <w:left w:w="62" w:type="dxa"/>
          <w:right w:w="62" w:type="dxa"/>
        </w:tblCellMar>
        <w:tblLook w:val="0000"/>
      </w:tblPr>
      <w:tblGrid>
        <w:gridCol w:w="1890"/>
        <w:gridCol w:w="6570"/>
      </w:tblGrid>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9.5)</w:t>
            </w:r>
          </w:p>
        </w:tc>
      </w:tr>
      <w:tr w:rsidTr="00282B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There are no recommended concurrent assessments with this unit, however in some cases efficiencies may be gained in terms of learning and assessment effort being concurrentl</w:t>
            </w:r>
            <w:r w:rsidRPr="00FB03BA">
              <w:t>y managed with allied competency standard units where listed.</w:t>
            </w:r>
          </w:p>
          <w:p w:rsidR="00000000" w:rsidRPr="00FB03BA" w:rsidP="00FB03BA">
            <w:pPr>
              <w:pStyle w:val="BodyText"/>
            </w:pPr>
            <w:r w:rsidRPr="00FB03BA">
              <w:t>Nil</w:t>
            </w:r>
            <w:r w:rsidRPr="00FB03BA">
              <w:tab/>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11" w:name="O_470194"/>
      <w:bookmarkEnd w:id="11"/>
      <w:r w:rsidRPr="00FB03BA">
        <w:t>Range Statement</w:t>
      </w:r>
    </w:p>
    <w:tbl>
      <w:tblPr>
        <w:tblW w:w="0" w:type="auto"/>
        <w:tblLayout w:type="fixed"/>
        <w:tblCellMar>
          <w:left w:w="62" w:type="dxa"/>
          <w:right w:w="62" w:type="dxa"/>
        </w:tblCellMar>
        <w:tblLook w:val="0000"/>
      </w:tblPr>
      <w:tblGrid>
        <w:gridCol w:w="8460"/>
      </w:tblGrid>
      <w:tr w:rsidTr="00282B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RANGE STATEMENT</w:t>
            </w:r>
          </w:p>
        </w:tc>
      </w:tr>
      <w:tr w:rsidTr="00282B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10)</w:t>
            </w:r>
            <w:r w:rsidRPr="00FB03BA">
              <w:t xml:space="preserve"> This relates to the competency standard unit as a whole providing the range of contexts and </w:t>
            </w:r>
            <w:r w:rsidRPr="00FB03BA">
              <w:t>conditions to which the Performance Criteria apply. It allows for different work environments and situations that will affect performance.</w:t>
            </w:r>
          </w:p>
          <w:p w:rsidR="00000000" w:rsidRPr="00FB03BA" w:rsidP="00FB03BA">
            <w:pPr>
              <w:pStyle w:val="BodyText"/>
            </w:pPr>
            <w:r w:rsidRPr="00FB03BA">
              <w:t>Inspection should be planned with the appropriate parties to determine access, conditions and work requirements.</w:t>
            </w:r>
          </w:p>
          <w:p w:rsidR="00000000" w:rsidRPr="00FB03BA" w:rsidP="00FB03BA">
            <w:pPr>
              <w:pStyle w:val="BodyText"/>
            </w:pPr>
            <w:r w:rsidRPr="00FB03BA">
              <w:t>Syst</w:t>
            </w:r>
            <w:r w:rsidRPr="00FB03BA">
              <w:t>ems can refer to furnace safeguard supervision system, gas turbine control system, water ingress protection system, ashing system,  water treatment plant control system, conveyor systems, sootblower system, generator cooling system, generator excitation sy</w:t>
            </w:r>
            <w:r w:rsidRPr="00FB03BA">
              <w:t>stem, annunciator system and flame surveillance system, emergency shutdown systems, turbine compressor set control systems, compressor station control systems, gas engine alternator control systems, bore control systems, distributive control systems and co</w:t>
            </w:r>
            <w:r w:rsidRPr="00FB03BA">
              <w:t>mplex fire/security systems.</w:t>
            </w:r>
          </w:p>
          <w:p w:rsidR="00000000" w:rsidRPr="00FB03BA" w:rsidP="00FB03BA">
            <w:pPr>
              <w:pStyle w:val="BodyText"/>
            </w:pPr>
            <w:r w:rsidRPr="00FB03BA">
              <w:t>Components may refer to transformers, switch boards, control panels, PLC’s, motor starters, motor operated valves, battery chargers, power supplies and annunciators.</w:t>
            </w:r>
          </w:p>
          <w:p w:rsidR="00000000" w:rsidRPr="00FB03BA" w:rsidP="00FB03BA">
            <w:pPr>
              <w:pStyle w:val="BodyText"/>
            </w:pPr>
            <w:r w:rsidRPr="00FB03BA">
              <w:t>Test and measurement instruments may refer to multimeters, to</w:t>
            </w:r>
            <w:r w:rsidRPr="00FB03BA">
              <w:t>ng tester, insulation resistance/continuity tester, ductor tester, overload injection tester, growlers, cathode ray oscilloscope, variac, hand held programmer and logic probe.</w:t>
            </w:r>
          </w:p>
          <w:p w:rsidR="00000000" w:rsidRPr="00FB03BA" w:rsidP="00FB03BA">
            <w:pPr>
              <w:pStyle w:val="BodyText"/>
            </w:pPr>
            <w:r w:rsidRPr="00FB03BA">
              <w:t>Fixed wiring tests can refer to polarity, loop impedance and insulation resistan</w:t>
            </w:r>
            <w:r w:rsidRPr="00FB03BA">
              <w:t>ce/continuity tests.</w:t>
            </w:r>
          </w:p>
          <w:p w:rsidR="00000000" w:rsidRPr="00FB03BA" w:rsidP="00FB03BA">
            <w:pPr>
              <w:pStyle w:val="BodyText"/>
            </w:pPr>
            <w:r w:rsidRPr="00FB03BA">
              <w:t>Monitoring equipment may include stopwatch, indication lamps, tachometer/rev counter, LED displays, VDUs, thermometers, mimic panels, position indicators, audio indicators and chart recorders.</w:t>
            </w:r>
          </w:p>
          <w:p w:rsidR="00000000" w:rsidRPr="00FB03BA" w:rsidP="00FB03BA">
            <w:pPr>
              <w:pStyle w:val="BodyText"/>
            </w:pPr>
            <w:r w:rsidRPr="00FB03BA">
              <w:t>Work may be performed with equipment on li</w:t>
            </w:r>
            <w:r w:rsidRPr="00FB03BA">
              <w:t>ne.</w:t>
            </w:r>
          </w:p>
          <w:p w:rsidR="00000000" w:rsidRPr="00FB03BA" w:rsidP="00FB03BA">
            <w:pPr>
              <w:pStyle w:val="BodyText"/>
            </w:pPr>
            <w:r w:rsidRPr="00FB03BA">
              <w:t>Work completion details may include plant and maintenance records, job cards, check sheets and on device labelling updates.</w:t>
            </w:r>
          </w:p>
          <w:p w:rsidR="00000000" w:rsidRPr="00FB03BA" w:rsidP="00FB03BA">
            <w:pPr>
              <w:pStyle w:val="BodyText"/>
            </w:pPr>
            <w:r w:rsidRPr="00FB03BA">
              <w:t>Work site environment may be affected by nearby plant or process, e.g. heat, noise, dust, oil, water and chemical.</w:t>
            </w:r>
          </w:p>
          <w:p w:rsidR="00000000" w:rsidRPr="00FB03BA" w:rsidP="00FB03BA">
            <w:pPr>
              <w:pStyle w:val="BodyText"/>
            </w:pPr>
            <w:r w:rsidRPr="00FB03BA">
              <w:t>Isolations ca</w:t>
            </w:r>
            <w:r w:rsidRPr="00FB03BA">
              <w:t>n refer to electrical/mechanical or other associated processes.</w:t>
            </w:r>
          </w:p>
          <w:p w:rsidR="00000000" w:rsidRPr="00FB03BA" w:rsidP="00FB03BA">
            <w:pPr>
              <w:pStyle w:val="BodyText"/>
            </w:pPr>
            <w:r w:rsidRPr="00FB03BA">
              <w:t>Generic terms are used throughout this Training Package for vocational standard shall be regarded as part of the Range Statement in which competency is demonstrated. The definition of these an</w:t>
            </w:r>
            <w:r w:rsidRPr="00FB03BA">
              <w:t>d other terms are given in Section 2.1 Preliminary Information and Glossaries.</w:t>
            </w:r>
          </w:p>
        </w:tc>
      </w:tr>
    </w:tbl>
    <w:p w:rsidR="00000000" w:rsidRPr="00FB03BA" w:rsidP="00FB03BA">
      <w:pPr>
        <w:pStyle w:val="BodyText"/>
      </w:pPr>
    </w:p>
    <w:p w:rsidR="00000000" w:rsidRPr="00FB03BA" w:rsidP="00FB03BA">
      <w:pPr>
        <w:pStyle w:val="AllowPageBreak"/>
      </w:pPr>
    </w:p>
    <w:p w:rsidR="00000000" w:rsidRPr="00FB03BA" w:rsidP="00FB03BA">
      <w:pPr>
        <w:pStyle w:val="Heading1"/>
      </w:pPr>
      <w:bookmarkStart w:id="12" w:name="O_470197"/>
      <w:bookmarkEnd w:id="12"/>
      <w:r w:rsidRPr="00FB03BA">
        <w:t>Unit Sector(s)</w:t>
      </w:r>
    </w:p>
    <w:p w:rsidR="00000000" w:rsidRPr="00FB03BA" w:rsidP="00FB03BA">
      <w:pPr>
        <w:pStyle w:val="BodyText"/>
      </w:pPr>
      <w:r w:rsidRPr="00FB03BA">
        <w:t>Not applicable.</w:t>
      </w:r>
    </w:p>
    <w:p w:rsidR="00000000" w:rsidRPr="00FB03BA" w:rsidP="00FB03BA">
      <w:pPr>
        <w:pStyle w:val="AllowPageBreak"/>
      </w:pPr>
    </w:p>
    <w:p w:rsidR="00000000" w:rsidRPr="00FB03BA" w:rsidP="00FB03BA">
      <w:pPr>
        <w:pStyle w:val="Heading1"/>
      </w:pPr>
      <w:bookmarkStart w:id="13" w:name="O_470186"/>
      <w:bookmarkEnd w:id="13"/>
      <w:r w:rsidRPr="00FB03BA">
        <w:t>Competency Field</w:t>
      </w:r>
    </w:p>
    <w:tbl>
      <w:tblPr>
        <w:tblW w:w="0" w:type="auto"/>
        <w:tblLayout w:type="fixed"/>
        <w:tblCellMar>
          <w:left w:w="62" w:type="dxa"/>
          <w:right w:w="62" w:type="dxa"/>
        </w:tblCellMar>
        <w:tblLook w:val="0000"/>
      </w:tblPr>
      <w:tblGrid>
        <w:gridCol w:w="2700"/>
        <w:gridCol w:w="5760"/>
      </w:tblGrid>
      <w:tr w:rsidTr="00282B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B03BA">
            <w:pPr>
              <w:pStyle w:val="BodyText"/>
              <w:rPr>
                <w:lang w:val="en-NZ"/>
              </w:rPr>
            </w:pPr>
            <w:r w:rsidRPr="00FB03BA">
              <w:rPr>
                <w:rStyle w:val="SpecialBold"/>
              </w:rPr>
              <w:t xml:space="preserve">11) </w:t>
            </w:r>
          </w:p>
        </w:tc>
      </w:tr>
      <w:tr w:rsidTr="00282B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03BA" w:rsidP="00FB03BA">
            <w:pPr>
              <w:pStyle w:val="BodyText"/>
            </w:pPr>
            <w:r w:rsidRPr="00FB03BA">
              <w:t>Maintenance.</w:t>
            </w:r>
          </w:p>
        </w:tc>
      </w:tr>
    </w:tbl>
    <w:p w:rsidR="00000000" w:rsidRPr="00FB03BA" w:rsidP="00FB03BA">
      <w:pPr>
        <w:pStyle w:val="BodyText"/>
      </w:pPr>
    </w:p>
    <w:p w:rsidR="00000000" w:rsidRPr="00FB03BA" w:rsidP="00FB03BA"/>
    <w:sectPr w:rsidSect="00FB0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B11" w:rsidP="00282B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B11" w:rsidP="00FB03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2B11" w:rsidP="00FB03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2B11" w:rsidP="00FB03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A" w:rsidRPr="00282B11" w:rsidP="00282B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B11" w:rsidRPr="002D2AF8" w:rsidP="00FB03BA">
    <w:pPr>
      <w:pStyle w:val="Header"/>
      <w:framePr w:wrap="around"/>
    </w:pPr>
    <w:r>
      <w:fldChar w:fldCharType="begin"/>
    </w:r>
    <w:r>
      <w:instrText xml:space="preserve"> TITLE   \* MERGEFORMAT </w:instrText>
    </w:r>
    <w:r>
      <w:fldChar w:fldCharType="separate"/>
    </w:r>
    <w:r>
      <w:t>UEPMNT502B Test and commission electronic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82B11" w:rsidP="00FB0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C2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4B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A4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3BA"/>
    <w:pPr>
      <w:spacing w:before="360" w:after="60"/>
      <w:outlineLvl w:val="0"/>
    </w:pPr>
    <w:rPr>
      <w:sz w:val="32"/>
    </w:rPr>
  </w:style>
  <w:style w:type="paragraph" w:styleId="Heading2">
    <w:name w:val="heading 2"/>
    <w:basedOn w:val="HeadingBase"/>
    <w:next w:val="BodyText"/>
    <w:link w:val="Heading2Char"/>
    <w:qFormat/>
    <w:rsid w:val="00FB03BA"/>
    <w:pPr>
      <w:keepLines/>
      <w:spacing w:before="240" w:after="120"/>
      <w:outlineLvl w:val="1"/>
    </w:pPr>
    <w:rPr>
      <w:sz w:val="28"/>
      <w:szCs w:val="40"/>
    </w:rPr>
  </w:style>
  <w:style w:type="paragraph" w:styleId="Heading3">
    <w:name w:val="heading 3"/>
    <w:basedOn w:val="HeadingBase"/>
    <w:next w:val="BodyText"/>
    <w:link w:val="Heading3Char"/>
    <w:qFormat/>
    <w:rsid w:val="00FB03BA"/>
    <w:pPr>
      <w:spacing w:before="180" w:after="120"/>
      <w:outlineLvl w:val="2"/>
    </w:pPr>
    <w:rPr>
      <w:spacing w:val="-10"/>
      <w:kern w:val="32"/>
    </w:rPr>
  </w:style>
  <w:style w:type="paragraph" w:styleId="Heading4">
    <w:name w:val="heading 4"/>
    <w:basedOn w:val="HeadingBase"/>
    <w:next w:val="BodyText"/>
    <w:link w:val="Heading4Char"/>
    <w:qFormat/>
    <w:rsid w:val="00FB03BA"/>
    <w:pPr>
      <w:spacing w:before="160" w:after="120"/>
      <w:outlineLvl w:val="3"/>
    </w:pPr>
    <w:rPr>
      <w:sz w:val="22"/>
    </w:rPr>
  </w:style>
  <w:style w:type="paragraph" w:styleId="Heading5">
    <w:name w:val="heading 5"/>
    <w:basedOn w:val="HeadingBase"/>
    <w:next w:val="Normal"/>
    <w:link w:val="Heading5Char"/>
    <w:qFormat/>
    <w:rsid w:val="00FB03BA"/>
    <w:pPr>
      <w:spacing w:before="80"/>
      <w:outlineLvl w:val="4"/>
    </w:pPr>
    <w:rPr>
      <w:color w:val="918585"/>
      <w:sz w:val="20"/>
    </w:rPr>
  </w:style>
  <w:style w:type="paragraph" w:styleId="Heading6">
    <w:name w:val="heading 6"/>
    <w:basedOn w:val="HeadingBase"/>
    <w:next w:val="Normal"/>
    <w:link w:val="Heading6Char"/>
    <w:qFormat/>
    <w:rsid w:val="00FB03BA"/>
    <w:pPr>
      <w:spacing w:before="60"/>
      <w:outlineLvl w:val="5"/>
    </w:pPr>
    <w:rPr>
      <w:color w:val="918585"/>
      <w:sz w:val="20"/>
    </w:rPr>
  </w:style>
  <w:style w:type="paragraph" w:styleId="Heading7">
    <w:name w:val="heading 7"/>
    <w:basedOn w:val="Normal"/>
    <w:next w:val="Normal"/>
    <w:link w:val="Heading7Char"/>
    <w:qFormat/>
    <w:rsid w:val="00FB03BA"/>
    <w:pPr>
      <w:ind w:left="720"/>
      <w:outlineLvl w:val="6"/>
    </w:pPr>
    <w:rPr>
      <w:i/>
    </w:rPr>
  </w:style>
  <w:style w:type="paragraph" w:styleId="Heading8">
    <w:name w:val="heading 8"/>
    <w:basedOn w:val="Normal"/>
    <w:next w:val="Normal"/>
    <w:link w:val="Heading8Char"/>
    <w:qFormat/>
    <w:rsid w:val="00FB03BA"/>
    <w:pPr>
      <w:ind w:left="720"/>
      <w:outlineLvl w:val="7"/>
    </w:pPr>
    <w:rPr>
      <w:i/>
    </w:rPr>
  </w:style>
  <w:style w:type="paragraph" w:styleId="Heading9">
    <w:name w:val="heading 9"/>
    <w:basedOn w:val="Normal"/>
    <w:next w:val="Normal"/>
    <w:link w:val="Heading9Char"/>
    <w:qFormat/>
    <w:rsid w:val="00FB03BA"/>
    <w:pPr>
      <w:ind w:left="720"/>
      <w:outlineLvl w:val="8"/>
    </w:pPr>
    <w:rPr>
      <w:i/>
    </w:rPr>
  </w:style>
  <w:style w:type="character" w:default="1" w:styleId="DefaultParagraphFont">
    <w:name w:val="Default Paragraph Font"/>
    <w:uiPriority w:val="1"/>
    <w:unhideWhenUsed/>
    <w:rsid w:val="00FB0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3BA"/>
  </w:style>
  <w:style w:type="character" w:customStyle="1" w:styleId="Heading1Char">
    <w:name w:val="Heading 1 Char"/>
    <w:basedOn w:val="DefaultParagraphFont"/>
    <w:link w:val="Heading1"/>
    <w:rsid w:val="00FB03BA"/>
    <w:rPr>
      <w:rFonts w:ascii="Times New Roman" w:eastAsia="Times New Roman" w:hAnsi="Times New Roman" w:cs="Times New Roman"/>
      <w:b/>
      <w:sz w:val="32"/>
      <w:szCs w:val="20"/>
      <w:lang w:eastAsia="en-US"/>
    </w:rPr>
  </w:style>
  <w:style w:type="paragraph" w:styleId="BodyText">
    <w:name w:val="Body Text"/>
    <w:basedOn w:val="Normal"/>
    <w:link w:val="BodyTextChar"/>
    <w:rsid w:val="00FB0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3BA"/>
    <w:rPr>
      <w:rFonts w:ascii="Times New Roman" w:eastAsia="Times New Roman" w:hAnsi="Times New Roman" w:cs="Times New Roman"/>
      <w:sz w:val="24"/>
      <w:lang w:eastAsia="en-US"/>
    </w:rPr>
  </w:style>
  <w:style w:type="paragraph" w:styleId="Footer">
    <w:name w:val="footer"/>
    <w:basedOn w:val="Normal"/>
    <w:link w:val="FooterChar"/>
    <w:rsid w:val="00FB0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3BA"/>
    <w:rPr>
      <w:rFonts w:ascii="Times New Roman" w:eastAsia="Times New Roman" w:hAnsi="Times New Roman" w:cs="Times New Roman"/>
      <w:sz w:val="16"/>
      <w:lang w:eastAsia="en-US"/>
    </w:rPr>
  </w:style>
  <w:style w:type="paragraph" w:styleId="ListBullet">
    <w:name w:val="List Bullet"/>
    <w:basedOn w:val="List"/>
    <w:rsid w:val="00FB03BA"/>
    <w:pPr>
      <w:numPr>
        <w:numId w:val="13"/>
      </w:numPr>
      <w:tabs>
        <w:tab w:val="clear" w:pos="340"/>
      </w:tabs>
      <w:spacing w:before="40" w:after="40"/>
    </w:pPr>
  </w:style>
  <w:style w:type="character" w:customStyle="1" w:styleId="SpecialBold">
    <w:name w:val="Special Bold"/>
    <w:basedOn w:val="DefaultParagraphFont"/>
    <w:rsid w:val="00FB03BA"/>
    <w:rPr>
      <w:b/>
      <w:spacing w:val="0"/>
    </w:rPr>
  </w:style>
  <w:style w:type="paragraph" w:styleId="ListBullet2">
    <w:name w:val="List Bullet 2"/>
    <w:basedOn w:val="List2"/>
    <w:rsid w:val="00FB03BA"/>
    <w:pPr>
      <w:numPr>
        <w:numId w:val="14"/>
      </w:numPr>
      <w:tabs>
        <w:tab w:val="clear" w:pos="680"/>
      </w:tabs>
    </w:pPr>
  </w:style>
  <w:style w:type="paragraph" w:customStyle="1" w:styleId="SuperHeading">
    <w:name w:val="SuperHeading"/>
    <w:basedOn w:val="Normal"/>
    <w:rsid w:val="00FB03BA"/>
    <w:pPr>
      <w:spacing w:before="240" w:after="120"/>
      <w:outlineLvl w:val="0"/>
    </w:pPr>
    <w:rPr>
      <w:rFonts w:ascii="Times New Roman" w:hAnsi="Times New Roman"/>
      <w:b/>
      <w:sz w:val="28"/>
    </w:rPr>
  </w:style>
  <w:style w:type="paragraph" w:customStyle="1" w:styleId="AllowPageBreak">
    <w:name w:val="AllowPageBreak"/>
    <w:rsid w:val="00FB0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3BA"/>
    <w:rPr>
      <w:rFonts w:ascii="Courier New" w:eastAsia="Times New Roman" w:hAnsi="Courier New" w:cs="Times New Roman"/>
      <w:i/>
      <w:szCs w:val="20"/>
      <w:lang w:eastAsia="en-US"/>
    </w:rPr>
  </w:style>
  <w:style w:type="paragraph" w:customStyle="1" w:styleId="HeadingBase">
    <w:name w:val="Heading Base"/>
    <w:rsid w:val="00FB0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3BA"/>
    <w:pPr>
      <w:tabs>
        <w:tab w:val="right" w:leader="dot" w:pos="9072"/>
      </w:tabs>
      <w:ind w:left="567"/>
    </w:pPr>
    <w:rPr>
      <w:szCs w:val="22"/>
    </w:rPr>
  </w:style>
  <w:style w:type="paragraph" w:customStyle="1" w:styleId="TOCBase">
    <w:name w:val="TOC Base"/>
    <w:rsid w:val="00FB0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3BA"/>
    <w:pPr>
      <w:tabs>
        <w:tab w:val="right" w:leader="dot" w:pos="9072"/>
      </w:tabs>
      <w:spacing w:before="40" w:after="40"/>
      <w:ind w:left="284"/>
    </w:pPr>
    <w:rPr>
      <w:rFonts w:ascii="Times New Roman" w:hAnsi="Times New Roman"/>
    </w:rPr>
  </w:style>
  <w:style w:type="paragraph" w:styleId="TOC1">
    <w:name w:val="toc 1"/>
    <w:basedOn w:val="TOCBase"/>
    <w:next w:val="Normal"/>
    <w:rsid w:val="00FB03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3BA"/>
    <w:pPr>
      <w:spacing w:before="5040"/>
      <w:jc w:val="center"/>
    </w:pPr>
    <w:rPr>
      <w:sz w:val="48"/>
      <w:szCs w:val="72"/>
      <w:lang w:val="en-US"/>
    </w:rPr>
  </w:style>
  <w:style w:type="character" w:customStyle="1" w:styleId="TitleChar">
    <w:name w:val="Title Char"/>
    <w:basedOn w:val="DefaultParagraphFont"/>
    <w:link w:val="Title"/>
    <w:rsid w:val="00FB0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3BA"/>
    <w:pPr>
      <w:tabs>
        <w:tab w:val="left" w:pos="3600"/>
        <w:tab w:val="left" w:pos="3958"/>
      </w:tabs>
    </w:pPr>
  </w:style>
  <w:style w:type="paragraph" w:styleId="List">
    <w:name w:val="List"/>
    <w:basedOn w:val="BodyText"/>
    <w:next w:val="BodyText"/>
    <w:rsid w:val="00FB03BA"/>
    <w:pPr>
      <w:tabs>
        <w:tab w:val="left" w:pos="340"/>
      </w:tabs>
      <w:spacing w:before="60" w:after="60"/>
      <w:ind w:left="340" w:hanging="340"/>
    </w:pPr>
  </w:style>
  <w:style w:type="paragraph" w:customStyle="1" w:styleId="Note">
    <w:name w:val="Note"/>
    <w:basedOn w:val="BodyText"/>
    <w:rsid w:val="00FB0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3BA"/>
    <w:pPr>
      <w:framePr w:wrap="auto" w:hAnchor="text" w:y="6049"/>
    </w:pPr>
    <w:rPr>
      <w:color w:val="000000"/>
      <w:sz w:val="40"/>
    </w:rPr>
  </w:style>
  <w:style w:type="paragraph" w:customStyle="1" w:styleId="TOCTitle">
    <w:name w:val="TOCTitle"/>
    <w:basedOn w:val="Heading1"/>
    <w:rsid w:val="00FB03BA"/>
    <w:pPr>
      <w:spacing w:after="240"/>
      <w:jc w:val="center"/>
      <w:outlineLvl w:val="9"/>
    </w:pPr>
    <w:rPr>
      <w:caps/>
    </w:rPr>
  </w:style>
  <w:style w:type="paragraph" w:customStyle="1" w:styleId="Version">
    <w:name w:val="Version"/>
    <w:rsid w:val="00FB0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3BA"/>
    <w:pPr>
      <w:keepNext w:val="0"/>
      <w:tabs>
        <w:tab w:val="right" w:pos="4176"/>
      </w:tabs>
      <w:ind w:left="198" w:hanging="198"/>
    </w:pPr>
    <w:rPr>
      <w:rFonts w:ascii="Garamond" w:hAnsi="Garamond"/>
    </w:rPr>
  </w:style>
  <w:style w:type="paragraph" w:styleId="IndexHeading">
    <w:name w:val="index heading"/>
    <w:basedOn w:val="Normal"/>
    <w:next w:val="Index1"/>
    <w:semiHidden/>
    <w:rsid w:val="00FB03BA"/>
    <w:pPr>
      <w:spacing w:before="120" w:after="120"/>
    </w:pPr>
    <w:rPr>
      <w:rFonts w:ascii="Arial" w:hAnsi="Arial"/>
      <w:b/>
      <w:color w:val="918585"/>
      <w:sz w:val="24"/>
    </w:rPr>
  </w:style>
  <w:style w:type="paragraph" w:styleId="Header">
    <w:name w:val="header"/>
    <w:basedOn w:val="Normal"/>
    <w:link w:val="HeaderChar"/>
    <w:rsid w:val="00FB0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3BA"/>
    <w:rPr>
      <w:rFonts w:ascii="Times New Roman" w:eastAsia="Times New Roman" w:hAnsi="Times New Roman" w:cs="Times New Roman"/>
      <w:sz w:val="16"/>
      <w:szCs w:val="20"/>
      <w:lang w:val="en-GB" w:eastAsia="en-US"/>
    </w:rPr>
  </w:style>
  <w:style w:type="paragraph" w:customStyle="1" w:styleId="Chapter">
    <w:name w:val="Chapter"/>
    <w:basedOn w:val="Normal"/>
    <w:rsid w:val="00FB03BA"/>
    <w:pPr>
      <w:spacing w:before="240"/>
    </w:pPr>
    <w:rPr>
      <w:rFonts w:ascii="Times New Roman" w:hAnsi="Times New Roman"/>
      <w:smallCaps/>
      <w:spacing w:val="80"/>
      <w:sz w:val="28"/>
    </w:rPr>
  </w:style>
  <w:style w:type="paragraph" w:customStyle="1" w:styleId="InChapter">
    <w:name w:val="InChapter"/>
    <w:basedOn w:val="Heading3"/>
    <w:rsid w:val="00FB03BA"/>
    <w:pPr>
      <w:spacing w:after="240"/>
      <w:outlineLvl w:val="9"/>
    </w:pPr>
    <w:rPr>
      <w:noProof/>
    </w:rPr>
  </w:style>
  <w:style w:type="paragraph" w:styleId="Index2">
    <w:name w:val="index 2"/>
    <w:basedOn w:val="Normal"/>
    <w:next w:val="Normal"/>
    <w:semiHidden/>
    <w:rsid w:val="00FB03BA"/>
    <w:pPr>
      <w:tabs>
        <w:tab w:val="right" w:pos="4176"/>
      </w:tabs>
      <w:ind w:left="568" w:hanging="284"/>
    </w:pPr>
    <w:rPr>
      <w:rFonts w:ascii="Garamond" w:hAnsi="Garamond"/>
    </w:rPr>
  </w:style>
  <w:style w:type="paragraph" w:customStyle="1" w:styleId="Byline">
    <w:name w:val="Byline"/>
    <w:rsid w:val="00FB0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3BA"/>
    <w:pPr>
      <w:tabs>
        <w:tab w:val="clear" w:pos="3600"/>
        <w:tab w:val="clear" w:pos="3958"/>
      </w:tabs>
      <w:jc w:val="right"/>
    </w:pPr>
  </w:style>
  <w:style w:type="character" w:styleId="Emphasis">
    <w:name w:val="Emphasis"/>
    <w:basedOn w:val="DefaultParagraphFont"/>
    <w:qFormat/>
    <w:rsid w:val="00FB03BA"/>
    <w:rPr>
      <w:i/>
    </w:rPr>
  </w:style>
  <w:style w:type="paragraph" w:styleId="Caption">
    <w:name w:val="caption"/>
    <w:basedOn w:val="BodyText"/>
    <w:next w:val="Normal"/>
    <w:qFormat/>
    <w:rsid w:val="00FB03BA"/>
    <w:pPr>
      <w:framePr w:w="2268" w:hSpace="181" w:vSpace="181" w:wrap="around" w:vAnchor="text" w:hAnchor="page" w:x="1135" w:y="285" w:anchorLock="1"/>
    </w:pPr>
    <w:rPr>
      <w:i/>
    </w:rPr>
  </w:style>
  <w:style w:type="paragraph" w:customStyle="1" w:styleId="MiniTOCTitle">
    <w:name w:val="MiniTOCTitle"/>
    <w:basedOn w:val="Heading4"/>
    <w:rsid w:val="00FB03BA"/>
    <w:pPr>
      <w:spacing w:before="240"/>
      <w:outlineLvl w:val="9"/>
    </w:pPr>
    <w:rPr>
      <w:noProof/>
      <w:sz w:val="24"/>
    </w:rPr>
  </w:style>
  <w:style w:type="paragraph" w:customStyle="1" w:styleId="MiniTOCItem">
    <w:name w:val="MiniTOCItem"/>
    <w:basedOn w:val="ListBullet"/>
    <w:rsid w:val="00FB03BA"/>
    <w:pPr>
      <w:numPr>
        <w:numId w:val="0"/>
      </w:numPr>
      <w:tabs>
        <w:tab w:val="right" w:leader="dot" w:pos="6521"/>
      </w:tabs>
      <w:spacing w:before="0" w:after="0"/>
    </w:pPr>
  </w:style>
  <w:style w:type="paragraph" w:customStyle="1" w:styleId="TOFTitle">
    <w:name w:val="TOFTitle"/>
    <w:basedOn w:val="TOCTitle"/>
    <w:rsid w:val="00FB03BA"/>
  </w:style>
  <w:style w:type="paragraph" w:styleId="TableofFigures">
    <w:name w:val="table of figures"/>
    <w:basedOn w:val="Normal"/>
    <w:next w:val="Normal"/>
    <w:semiHidden/>
    <w:rsid w:val="00FB03BA"/>
    <w:pPr>
      <w:tabs>
        <w:tab w:val="right" w:leader="dot" w:pos="9072"/>
      </w:tabs>
      <w:ind w:left="970" w:hanging="403"/>
    </w:pPr>
    <w:rPr>
      <w:rFonts w:ascii="Times New Roman" w:hAnsi="Times New Roman"/>
      <w:b/>
    </w:rPr>
  </w:style>
  <w:style w:type="paragraph" w:styleId="ListNumber">
    <w:name w:val="List Number"/>
    <w:basedOn w:val="List"/>
    <w:rsid w:val="00FB03BA"/>
    <w:pPr>
      <w:numPr>
        <w:numId w:val="11"/>
      </w:numPr>
    </w:pPr>
  </w:style>
  <w:style w:type="character" w:customStyle="1" w:styleId="WingdingSymbols">
    <w:name w:val="Wingding Symbols"/>
    <w:rsid w:val="00FB03BA"/>
    <w:rPr>
      <w:rFonts w:ascii="Wingdings" w:hAnsi="Wingdings"/>
    </w:rPr>
  </w:style>
  <w:style w:type="paragraph" w:customStyle="1" w:styleId="TableHeading">
    <w:name w:val="Table Heading"/>
    <w:basedOn w:val="HeadingBase"/>
    <w:rsid w:val="00FB03BA"/>
    <w:pPr>
      <w:keepLines/>
      <w:pBdr>
        <w:bottom w:val="single" w:sz="6" w:space="1" w:color="918585"/>
      </w:pBdr>
      <w:spacing w:before="240"/>
    </w:pPr>
  </w:style>
  <w:style w:type="character" w:customStyle="1" w:styleId="HotSpot">
    <w:name w:val="HotSpot"/>
    <w:rsid w:val="00FB03BA"/>
    <w:rPr>
      <w:color w:val="0033CC"/>
      <w:u w:val="none"/>
    </w:rPr>
  </w:style>
  <w:style w:type="paragraph" w:customStyle="1" w:styleId="BodyTextRight">
    <w:name w:val="Body Text Right"/>
    <w:basedOn w:val="BodyText"/>
    <w:rsid w:val="00FB03BA"/>
    <w:pPr>
      <w:spacing w:before="0" w:after="0"/>
      <w:jc w:val="right"/>
    </w:pPr>
  </w:style>
  <w:style w:type="paragraph" w:styleId="Index3">
    <w:name w:val="index 3"/>
    <w:basedOn w:val="ListNumber2"/>
    <w:next w:val="Normal"/>
    <w:semiHidden/>
    <w:rsid w:val="00FB03BA"/>
    <w:pPr>
      <w:numPr>
        <w:numId w:val="0"/>
      </w:numPr>
      <w:tabs>
        <w:tab w:val="right" w:leader="dot" w:pos="4176"/>
      </w:tabs>
    </w:pPr>
  </w:style>
  <w:style w:type="paragraph" w:styleId="ListNumber2">
    <w:name w:val="List Number 2"/>
    <w:basedOn w:val="List2"/>
    <w:rsid w:val="00FB03BA"/>
    <w:pPr>
      <w:numPr>
        <w:numId w:val="10"/>
      </w:numPr>
      <w:tabs>
        <w:tab w:val="clear" w:pos="1060"/>
      </w:tabs>
    </w:pPr>
  </w:style>
  <w:style w:type="paragraph" w:customStyle="1" w:styleId="MarginNote">
    <w:name w:val="Margin Note"/>
    <w:basedOn w:val="BodyText"/>
    <w:rsid w:val="00FB0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3BA"/>
    <w:rPr>
      <w:sz w:val="32"/>
    </w:rPr>
  </w:style>
  <w:style w:type="paragraph" w:customStyle="1" w:styleId="HeadingProcedure">
    <w:name w:val="Heading Procedure"/>
    <w:basedOn w:val="HeadingBase"/>
    <w:next w:val="Normal"/>
    <w:rsid w:val="00FB03BA"/>
    <w:pPr>
      <w:tabs>
        <w:tab w:val="left" w:pos="0"/>
      </w:tabs>
      <w:spacing w:before="120" w:after="60"/>
    </w:pPr>
    <w:rPr>
      <w:i/>
      <w:color w:val="918585"/>
      <w:sz w:val="22"/>
    </w:rPr>
  </w:style>
  <w:style w:type="paragraph" w:customStyle="1" w:styleId="TableBodyText">
    <w:name w:val="Table Body Text"/>
    <w:basedOn w:val="BodyText"/>
    <w:rsid w:val="00FB03BA"/>
    <w:pPr>
      <w:spacing w:before="60" w:after="60"/>
    </w:pPr>
  </w:style>
  <w:style w:type="paragraph" w:styleId="ListContinue">
    <w:name w:val="List Continue"/>
    <w:basedOn w:val="List"/>
    <w:rsid w:val="00FB03BA"/>
    <w:pPr>
      <w:ind w:firstLine="0"/>
    </w:pPr>
  </w:style>
  <w:style w:type="paragraph" w:customStyle="1" w:styleId="ListNote">
    <w:name w:val="List Note"/>
    <w:basedOn w:val="List"/>
    <w:rsid w:val="00FB03BA"/>
    <w:pPr>
      <w:pBdr>
        <w:top w:val="single" w:sz="6" w:space="2" w:color="918585"/>
        <w:bottom w:val="single" w:sz="6" w:space="2" w:color="918585"/>
      </w:pBdr>
      <w:tabs>
        <w:tab w:val="left" w:pos="1021"/>
      </w:tabs>
      <w:ind w:firstLine="0"/>
    </w:pPr>
  </w:style>
  <w:style w:type="paragraph" w:customStyle="1" w:styleId="Warning">
    <w:name w:val="Warning"/>
    <w:basedOn w:val="BodyText"/>
    <w:rsid w:val="00FB03BA"/>
    <w:pPr>
      <w:shd w:val="clear" w:color="auto" w:fill="D9D9D9"/>
      <w:tabs>
        <w:tab w:val="left" w:pos="992"/>
      </w:tabs>
      <w:ind w:left="119" w:right="119"/>
    </w:pPr>
    <w:rPr>
      <w:sz w:val="20"/>
    </w:rPr>
  </w:style>
  <w:style w:type="paragraph" w:customStyle="1" w:styleId="MarginIcons">
    <w:name w:val="Margin Icons"/>
    <w:basedOn w:val="BodyText"/>
    <w:rsid w:val="00FB0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3BA"/>
    <w:rPr>
      <w:rFonts w:ascii="Courier New" w:hAnsi="Courier New"/>
    </w:rPr>
  </w:style>
  <w:style w:type="paragraph" w:customStyle="1" w:styleId="NoteBullet">
    <w:name w:val="Note Bullet"/>
    <w:basedOn w:val="Note"/>
    <w:rsid w:val="00FB03BA"/>
    <w:pPr>
      <w:tabs>
        <w:tab w:val="clear" w:pos="680"/>
      </w:tabs>
      <w:spacing w:before="60" w:after="60"/>
    </w:pPr>
  </w:style>
  <w:style w:type="paragraph" w:customStyle="1" w:styleId="SubHeading2">
    <w:name w:val="SubHeading2"/>
    <w:basedOn w:val="HeadingBase"/>
    <w:rsid w:val="00FB03BA"/>
    <w:pPr>
      <w:spacing w:before="240" w:after="60"/>
    </w:pPr>
    <w:rPr>
      <w:sz w:val="20"/>
    </w:rPr>
  </w:style>
  <w:style w:type="paragraph" w:customStyle="1" w:styleId="SubHeading1">
    <w:name w:val="SubHeading1"/>
    <w:basedOn w:val="HeadingBase"/>
    <w:rsid w:val="00FB03BA"/>
    <w:pPr>
      <w:spacing w:before="240" w:after="60"/>
    </w:pPr>
    <w:rPr>
      <w:color w:val="918585"/>
      <w:sz w:val="22"/>
    </w:rPr>
  </w:style>
  <w:style w:type="paragraph" w:customStyle="1" w:styleId="SideHeading">
    <w:name w:val="Side Heading"/>
    <w:basedOn w:val="HeadingBase"/>
    <w:rsid w:val="00FB0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3BA"/>
    <w:pPr>
      <w:numPr>
        <w:numId w:val="12"/>
      </w:numPr>
    </w:pPr>
  </w:style>
  <w:style w:type="paragraph" w:styleId="PlainText">
    <w:name w:val="Plain Text"/>
    <w:basedOn w:val="Normal"/>
    <w:link w:val="PlainTextChar"/>
    <w:rsid w:val="00FB03BA"/>
    <w:rPr>
      <w:sz w:val="20"/>
    </w:rPr>
  </w:style>
  <w:style w:type="character" w:customStyle="1" w:styleId="PlainTextChar">
    <w:name w:val="Plain Text Char"/>
    <w:basedOn w:val="DefaultParagraphFont"/>
    <w:link w:val="PlainText"/>
    <w:rsid w:val="00FB03BA"/>
    <w:rPr>
      <w:rFonts w:ascii="Courier New" w:eastAsia="Times New Roman" w:hAnsi="Courier New" w:cs="Times New Roman"/>
      <w:sz w:val="20"/>
      <w:szCs w:val="20"/>
      <w:lang w:eastAsia="en-US"/>
    </w:rPr>
  </w:style>
  <w:style w:type="character" w:customStyle="1" w:styleId="MenuOption">
    <w:name w:val="Menu Option"/>
    <w:basedOn w:val="DefaultParagraphFont"/>
    <w:rsid w:val="00FB03BA"/>
    <w:rPr>
      <w:b/>
      <w:smallCaps/>
    </w:rPr>
  </w:style>
  <w:style w:type="paragraph" w:customStyle="1" w:styleId="TableListNumber">
    <w:name w:val="Table List Number"/>
    <w:basedOn w:val="ListNumber"/>
    <w:rsid w:val="00FB03BA"/>
    <w:pPr>
      <w:numPr>
        <w:numId w:val="0"/>
      </w:numPr>
    </w:pPr>
  </w:style>
  <w:style w:type="paragraph" w:styleId="TOC4">
    <w:name w:val="toc 4"/>
    <w:basedOn w:val="TOCBase"/>
    <w:next w:val="Normal"/>
    <w:semiHidden/>
    <w:rsid w:val="00FB03BA"/>
    <w:pPr>
      <w:tabs>
        <w:tab w:val="right" w:leader="dot" w:pos="9071"/>
      </w:tabs>
      <w:ind w:left="1701"/>
    </w:pPr>
  </w:style>
  <w:style w:type="paragraph" w:customStyle="1" w:styleId="ListAlpha">
    <w:name w:val="List Alpha"/>
    <w:basedOn w:val="List"/>
    <w:rsid w:val="00FB03BA"/>
    <w:pPr>
      <w:numPr>
        <w:numId w:val="9"/>
      </w:numPr>
    </w:pPr>
  </w:style>
  <w:style w:type="paragraph" w:customStyle="1" w:styleId="ListAlpha2">
    <w:name w:val="List Alpha 2"/>
    <w:basedOn w:val="List2"/>
    <w:rsid w:val="00FB03BA"/>
    <w:pPr>
      <w:numPr>
        <w:numId w:val="8"/>
      </w:numPr>
    </w:pPr>
  </w:style>
  <w:style w:type="paragraph" w:styleId="List2">
    <w:name w:val="List 2"/>
    <w:basedOn w:val="BodyText"/>
    <w:rsid w:val="00FB03BA"/>
    <w:pPr>
      <w:tabs>
        <w:tab w:val="left" w:pos="680"/>
      </w:tabs>
      <w:spacing w:before="60" w:after="60"/>
      <w:ind w:left="680" w:hanging="340"/>
    </w:pPr>
  </w:style>
  <w:style w:type="paragraph" w:styleId="List3">
    <w:name w:val="List 3"/>
    <w:basedOn w:val="BodyText"/>
    <w:rsid w:val="00FB03BA"/>
    <w:pPr>
      <w:tabs>
        <w:tab w:val="left" w:pos="1021"/>
      </w:tabs>
      <w:spacing w:before="60" w:after="60"/>
      <w:ind w:left="1020" w:hanging="340"/>
    </w:pPr>
  </w:style>
  <w:style w:type="paragraph" w:styleId="List4">
    <w:name w:val="List 4"/>
    <w:basedOn w:val="BodyText"/>
    <w:rsid w:val="00FB03BA"/>
    <w:pPr>
      <w:tabs>
        <w:tab w:val="left" w:pos="1361"/>
      </w:tabs>
      <w:spacing w:before="60" w:after="60"/>
      <w:ind w:left="1361" w:hanging="340"/>
    </w:pPr>
  </w:style>
  <w:style w:type="paragraph" w:styleId="List5">
    <w:name w:val="List 5"/>
    <w:basedOn w:val="BodyText"/>
    <w:rsid w:val="00FB03BA"/>
    <w:pPr>
      <w:tabs>
        <w:tab w:val="left" w:pos="1701"/>
      </w:tabs>
      <w:spacing w:before="60" w:after="60"/>
      <w:ind w:left="1701" w:hanging="340"/>
    </w:pPr>
  </w:style>
  <w:style w:type="paragraph" w:styleId="ListBullet3">
    <w:name w:val="List Bullet 3"/>
    <w:basedOn w:val="List3"/>
    <w:rsid w:val="00FB03BA"/>
    <w:pPr>
      <w:numPr>
        <w:numId w:val="15"/>
      </w:numPr>
      <w:tabs>
        <w:tab w:val="clear" w:pos="1021"/>
      </w:tabs>
      <w:ind w:left="1037" w:hanging="357"/>
    </w:pPr>
  </w:style>
  <w:style w:type="paragraph" w:styleId="ListBullet4">
    <w:name w:val="List Bullet 4"/>
    <w:basedOn w:val="List4"/>
    <w:rsid w:val="00FB03BA"/>
    <w:pPr>
      <w:numPr>
        <w:numId w:val="3"/>
      </w:numPr>
    </w:pPr>
  </w:style>
  <w:style w:type="paragraph" w:styleId="ListBullet5">
    <w:name w:val="List Bullet 5"/>
    <w:basedOn w:val="List5"/>
    <w:rsid w:val="00FB03BA"/>
    <w:pPr>
      <w:numPr>
        <w:numId w:val="4"/>
      </w:numPr>
    </w:pPr>
  </w:style>
  <w:style w:type="paragraph" w:styleId="ListContinue2">
    <w:name w:val="List Continue 2"/>
    <w:basedOn w:val="List2"/>
    <w:rsid w:val="00FB03BA"/>
    <w:pPr>
      <w:ind w:firstLine="0"/>
    </w:pPr>
  </w:style>
  <w:style w:type="paragraph" w:styleId="ListContinue3">
    <w:name w:val="List Continue 3"/>
    <w:basedOn w:val="List3"/>
    <w:rsid w:val="00FB03BA"/>
    <w:pPr>
      <w:ind w:left="1021" w:firstLine="0"/>
    </w:pPr>
  </w:style>
  <w:style w:type="paragraph" w:styleId="ListContinue4">
    <w:name w:val="List Continue 4"/>
    <w:basedOn w:val="List4"/>
    <w:rsid w:val="00FB03BA"/>
    <w:pPr>
      <w:ind w:firstLine="0"/>
    </w:pPr>
  </w:style>
  <w:style w:type="paragraph" w:styleId="ListContinue5">
    <w:name w:val="List Continue 5"/>
    <w:basedOn w:val="List5"/>
    <w:rsid w:val="00FB03BA"/>
    <w:pPr>
      <w:ind w:firstLine="0"/>
    </w:pPr>
  </w:style>
  <w:style w:type="paragraph" w:styleId="ListNumber3">
    <w:name w:val="List Number 3"/>
    <w:basedOn w:val="List3"/>
    <w:rsid w:val="00FB03BA"/>
    <w:pPr>
      <w:numPr>
        <w:numId w:val="5"/>
      </w:numPr>
    </w:pPr>
  </w:style>
  <w:style w:type="paragraph" w:styleId="ListNumber4">
    <w:name w:val="List Number 4"/>
    <w:basedOn w:val="List4"/>
    <w:rsid w:val="00FB03BA"/>
    <w:pPr>
      <w:numPr>
        <w:numId w:val="6"/>
      </w:numPr>
    </w:pPr>
  </w:style>
  <w:style w:type="paragraph" w:styleId="ListNumber5">
    <w:name w:val="List Number 5"/>
    <w:basedOn w:val="List5"/>
    <w:rsid w:val="00FB03BA"/>
    <w:pPr>
      <w:numPr>
        <w:numId w:val="7"/>
      </w:numPr>
    </w:pPr>
  </w:style>
  <w:style w:type="paragraph" w:styleId="BlockText">
    <w:name w:val="Block Text"/>
    <w:basedOn w:val="Normal"/>
    <w:rsid w:val="00FB03BA"/>
    <w:pPr>
      <w:spacing w:after="120"/>
      <w:ind w:left="1440" w:right="1440"/>
    </w:pPr>
  </w:style>
  <w:style w:type="character" w:customStyle="1" w:styleId="Subscript">
    <w:name w:val="Subscript"/>
    <w:basedOn w:val="DefaultParagraphFont"/>
    <w:rsid w:val="00FB03BA"/>
    <w:rPr>
      <w:sz w:val="16"/>
      <w:vertAlign w:val="subscript"/>
    </w:rPr>
  </w:style>
  <w:style w:type="character" w:customStyle="1" w:styleId="Superscript">
    <w:name w:val="Superscript"/>
    <w:basedOn w:val="DefaultParagraphFont"/>
    <w:rsid w:val="00FB03BA"/>
    <w:rPr>
      <w:sz w:val="16"/>
      <w:vertAlign w:val="superscript"/>
    </w:rPr>
  </w:style>
  <w:style w:type="character" w:customStyle="1" w:styleId="Symbols">
    <w:name w:val="Symbols"/>
    <w:basedOn w:val="DefaultParagraphFont"/>
    <w:rsid w:val="00FB03BA"/>
    <w:rPr>
      <w:rFonts w:ascii="Symbol" w:hAnsi="Symbol"/>
    </w:rPr>
  </w:style>
  <w:style w:type="character" w:customStyle="1" w:styleId="MenuOptions">
    <w:name w:val="Menu Options"/>
    <w:basedOn w:val="DefaultParagraphFont"/>
    <w:rsid w:val="00FB03BA"/>
    <w:rPr>
      <w:rFonts w:ascii="Arial Narrow" w:hAnsi="Arial Narrow"/>
      <w:smallCaps/>
    </w:rPr>
  </w:style>
  <w:style w:type="character" w:customStyle="1" w:styleId="Buttons">
    <w:name w:val="Buttons"/>
    <w:basedOn w:val="DefaultParagraphFont"/>
    <w:rsid w:val="00FB03BA"/>
    <w:rPr>
      <w:b/>
    </w:rPr>
  </w:style>
  <w:style w:type="character" w:customStyle="1" w:styleId="Underlined">
    <w:name w:val="Underlined"/>
    <w:basedOn w:val="DefaultParagraphFont"/>
    <w:rsid w:val="00FB03BA"/>
    <w:rPr>
      <w:u w:val="single"/>
    </w:rPr>
  </w:style>
  <w:style w:type="paragraph" w:customStyle="1" w:styleId="TableBodyTextRight">
    <w:name w:val="Table Body Text Right"/>
    <w:basedOn w:val="TableBodyText"/>
    <w:rsid w:val="00FB03BA"/>
    <w:pPr>
      <w:widowControl w:val="0"/>
      <w:autoSpaceDE w:val="0"/>
      <w:autoSpaceDN w:val="0"/>
      <w:adjustRightInd w:val="0"/>
      <w:jc w:val="right"/>
    </w:pPr>
    <w:rPr>
      <w:rFonts w:cs="Arial"/>
      <w:szCs w:val="18"/>
    </w:rPr>
  </w:style>
  <w:style w:type="paragraph" w:customStyle="1" w:styleId="CopyrightText">
    <w:name w:val="Copyright Text"/>
    <w:basedOn w:val="BodyText"/>
    <w:rsid w:val="00FB03BA"/>
    <w:rPr>
      <w:sz w:val="18"/>
    </w:rPr>
  </w:style>
  <w:style w:type="paragraph" w:customStyle="1" w:styleId="BodySmallRight">
    <w:name w:val="Body Small Right"/>
    <w:basedOn w:val="BodyTextRight"/>
    <w:rsid w:val="00FB03BA"/>
    <w:rPr>
      <w:sz w:val="18"/>
      <w:szCs w:val="18"/>
    </w:rPr>
  </w:style>
  <w:style w:type="paragraph" w:customStyle="1" w:styleId="MarginEdition">
    <w:name w:val="Margin Edition"/>
    <w:basedOn w:val="MarginNote"/>
    <w:rsid w:val="00FB03BA"/>
    <w:pPr>
      <w:spacing w:before="0" w:after="0"/>
    </w:pPr>
    <w:rPr>
      <w:rFonts w:ascii="Times New Roman" w:hAnsi="Times New Roman"/>
      <w:color w:val="999999"/>
    </w:rPr>
  </w:style>
  <w:style w:type="paragraph" w:customStyle="1" w:styleId="Spacer">
    <w:name w:val="Spacer"/>
    <w:basedOn w:val="Normal"/>
    <w:rsid w:val="00FB03BA"/>
    <w:rPr>
      <w:sz w:val="2"/>
      <w:szCs w:val="2"/>
    </w:rPr>
  </w:style>
  <w:style w:type="character" w:customStyle="1" w:styleId="Small">
    <w:name w:val="Small"/>
    <w:basedOn w:val="DefaultParagraphFont"/>
    <w:rsid w:val="00FB03BA"/>
    <w:rPr>
      <w:sz w:val="16"/>
    </w:rPr>
  </w:style>
  <w:style w:type="paragraph" w:customStyle="1" w:styleId="WideTable">
    <w:name w:val="Wide Table"/>
    <w:basedOn w:val="Normal"/>
    <w:rsid w:val="00FB03BA"/>
    <w:pPr>
      <w:ind w:left="-1418"/>
    </w:pPr>
    <w:rPr>
      <w:sz w:val="2"/>
      <w:szCs w:val="2"/>
    </w:rPr>
  </w:style>
  <w:style w:type="character" w:styleId="PageNumber">
    <w:name w:val="page number"/>
    <w:basedOn w:val="DefaultParagraphFont"/>
    <w:rsid w:val="00FB03BA"/>
  </w:style>
  <w:style w:type="paragraph" w:styleId="Quote">
    <w:name w:val="Quote"/>
    <w:basedOn w:val="Heading1"/>
    <w:link w:val="QuoteChar"/>
    <w:qFormat/>
    <w:rsid w:val="00FB03BA"/>
    <w:rPr>
      <w:b w:val="0"/>
      <w:sz w:val="72"/>
      <w:szCs w:val="72"/>
      <w:lang w:val="en-NZ"/>
    </w:rPr>
  </w:style>
  <w:style w:type="character" w:customStyle="1" w:styleId="QuoteChar">
    <w:name w:val="Quote Char"/>
    <w:basedOn w:val="DefaultParagraphFont"/>
    <w:link w:val="Quote"/>
    <w:rsid w:val="00FB0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3BA"/>
    <w:pPr>
      <w:pageBreakBefore/>
    </w:pPr>
  </w:style>
  <w:style w:type="paragraph" w:customStyle="1" w:styleId="Border">
    <w:name w:val="Border"/>
    <w:basedOn w:val="Normal"/>
    <w:qFormat/>
    <w:rsid w:val="00FB0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3BA"/>
    <w:rPr>
      <w:b/>
      <w:bCs/>
      <w:i/>
      <w:iCs/>
      <w:color w:val="auto"/>
    </w:rPr>
  </w:style>
  <w:style w:type="paragraph" w:styleId="IntenseQuote">
    <w:name w:val="Intense Quote"/>
    <w:basedOn w:val="Normal"/>
    <w:next w:val="Normal"/>
    <w:link w:val="IntenseQuoteChar"/>
    <w:uiPriority w:val="30"/>
    <w:qFormat/>
    <w:rsid w:val="00FB0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3BA"/>
    <w:rPr>
      <w:smallCaps/>
      <w:color w:val="auto"/>
      <w:u w:val="single"/>
    </w:rPr>
  </w:style>
  <w:style w:type="character" w:styleId="IntenseReference">
    <w:name w:val="Intense Reference"/>
    <w:basedOn w:val="DefaultParagraphFont"/>
    <w:uiPriority w:val="32"/>
    <w:qFormat/>
    <w:rsid w:val="00FB03BA"/>
    <w:rPr>
      <w:b/>
      <w:bCs/>
      <w:smallCaps/>
      <w:color w:val="auto"/>
      <w:spacing w:val="5"/>
      <w:u w:val="single"/>
    </w:rPr>
  </w:style>
  <w:style w:type="paragraph" w:customStyle="1" w:styleId="2ColumnHeading">
    <w:name w:val="2Column Heading"/>
    <w:basedOn w:val="BodyText"/>
    <w:qFormat/>
    <w:rsid w:val="00FB03BA"/>
    <w:pPr>
      <w:spacing w:after="60"/>
      <w:ind w:left="-2268"/>
    </w:pPr>
    <w:rPr>
      <w:b/>
    </w:rPr>
  </w:style>
  <w:style w:type="paragraph" w:customStyle="1" w:styleId="Heading1TOC">
    <w:name w:val="Heading1 TOC"/>
    <w:basedOn w:val="Normal"/>
    <w:qFormat/>
    <w:rsid w:val="00FB03BA"/>
    <w:pPr>
      <w:spacing w:before="240" w:after="120"/>
    </w:pPr>
    <w:rPr>
      <w:rFonts w:ascii="Times New Roman" w:hAnsi="Times New Roman"/>
      <w:b/>
      <w:sz w:val="32"/>
    </w:rPr>
  </w:style>
  <w:style w:type="paragraph" w:customStyle="1" w:styleId="Heading2TOC">
    <w:name w:val="Heading2 TOC"/>
    <w:basedOn w:val="Normal"/>
    <w:qFormat/>
    <w:rsid w:val="00FB03BA"/>
    <w:pPr>
      <w:spacing w:before="240" w:after="60"/>
    </w:pPr>
    <w:rPr>
      <w:rFonts w:ascii="Times New Roman" w:hAnsi="Times New Roman"/>
      <w:b/>
      <w:sz w:val="28"/>
    </w:rPr>
  </w:style>
  <w:style w:type="character" w:customStyle="1" w:styleId="Underline">
    <w:name w:val="Underline"/>
    <w:basedOn w:val="DefaultParagraphFont"/>
    <w:qFormat/>
    <w:rsid w:val="00FB03BA"/>
    <w:rPr>
      <w:u w:val="single"/>
    </w:rPr>
  </w:style>
  <w:style w:type="character" w:customStyle="1" w:styleId="BoldandItalics">
    <w:name w:val="Bold and Italics"/>
    <w:qFormat/>
    <w:rsid w:val="00FB03BA"/>
    <w:rPr>
      <w:b/>
      <w:i/>
      <w:u w:val="none"/>
    </w:rPr>
  </w:style>
  <w:style w:type="paragraph" w:styleId="BalloonText">
    <w:name w:val="Balloon Text"/>
    <w:basedOn w:val="Normal"/>
    <w:link w:val="BalloonTextChar"/>
    <w:rsid w:val="00FB03BA"/>
    <w:rPr>
      <w:rFonts w:ascii="Tahoma" w:hAnsi="Tahoma" w:cs="Tahoma"/>
      <w:sz w:val="16"/>
      <w:szCs w:val="16"/>
    </w:rPr>
  </w:style>
  <w:style w:type="character" w:customStyle="1" w:styleId="BalloonTextChar">
    <w:name w:val="Balloon Text Char"/>
    <w:basedOn w:val="DefaultParagraphFont"/>
    <w:link w:val="BalloonText"/>
    <w:rsid w:val="00FB0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3BA"/>
    <w:rPr>
      <w:b/>
      <w:color w:val="660033"/>
      <w:spacing w:val="0"/>
    </w:rPr>
  </w:style>
  <w:style w:type="paragraph" w:customStyle="1" w:styleId="Nameditemlist">
    <w:name w:val="Named item list"/>
    <w:basedOn w:val="BodyText"/>
    <w:qFormat/>
    <w:rsid w:val="00FB03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2510</Words>
  <Characters>15447</Characters>
  <Application>Microsoft Office Word</Application>
  <DocSecurity>0</DocSecurity>
  <Lines>585</Lines>
  <Paragraphs>249</Paragraphs>
  <ScaleCrop>false</ScaleCrop>
  <Company>Author-it Software Corporation Ltd.</Company>
  <LinksUpToDate>false</LinksUpToDate>
  <CharactersWithSpaces>17741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UEPMNT502B Test and commission electronic electrical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2012-07-25T16:35:00Z</dcterms:created>
  <dcterms:modified xsi:type="dcterms:W3CDTF">2012-07-25T16:35:00Z</dcterms:modified>
</cp:coreProperties>
</file>