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714" w:rsidP="00B86714">
      <w:pPr>
        <w:pStyle w:val="Title"/>
      </w:pPr>
      <w:bookmarkStart w:id="0" w:name="_GoBack"/>
      <w:bookmarkEnd w:id="0"/>
      <w:r>
        <w:fldChar w:fldCharType="begin"/>
      </w:r>
      <w:r>
        <w:instrText xml:space="preserve"> TITLE   \* MERGEFORMAT </w:instrText>
      </w:r>
      <w:r>
        <w:fldChar w:fldCharType="separate"/>
      </w:r>
      <w:r>
        <w:t>UEPMNT450A Test and commission wind turbine generators</w:t>
      </w:r>
      <w:r>
        <w:fldChar w:fldCharType="end"/>
      </w:r>
    </w:p>
    <w:p w:rsidR="00B86714" w:rsidP="00B86714">
      <w:pPr>
        <w:pStyle w:val="Version"/>
        <w:sectPr w:rsidSect="002F25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516" w:rsidP="002F2516">
      <w:pPr>
        <w:pStyle w:val="SuperHeading"/>
      </w:pPr>
      <w:r w:rsidRPr="002F2516">
        <w:t>UEPMNT450A Test and commission wind turbine generators</w:t>
      </w:r>
    </w:p>
    <w:p w:rsidR="00000000" w:rsidRPr="002F2516" w:rsidP="002F2516">
      <w:pPr>
        <w:pStyle w:val="Heading1"/>
      </w:pPr>
      <w:bookmarkStart w:id="1" w:name="O_505828"/>
      <w:bookmarkEnd w:id="1"/>
      <w:r w:rsidRPr="002F2516">
        <w:t>Modification History</w:t>
      </w:r>
    </w:p>
    <w:p w:rsidR="00000000" w:rsidRPr="002F2516" w:rsidP="002F2516">
      <w:pPr>
        <w:pStyle w:val="BodyText"/>
      </w:pPr>
      <w:r w:rsidRPr="002F2516">
        <w:t>Not applicable.</w:t>
      </w:r>
    </w:p>
    <w:p w:rsidR="00000000" w:rsidRPr="002F2516" w:rsidP="002F2516">
      <w:pPr>
        <w:pStyle w:val="AllowPageBreak"/>
      </w:pPr>
    </w:p>
    <w:p w:rsidR="00000000" w:rsidRPr="002F2516" w:rsidP="002F2516">
      <w:pPr>
        <w:pStyle w:val="Heading1"/>
      </w:pPr>
      <w:bookmarkStart w:id="2" w:name="O_505826"/>
      <w:bookmarkEnd w:id="2"/>
      <w:r w:rsidRPr="002F2516">
        <w:t>Unit Descriptor</w:t>
      </w:r>
    </w:p>
    <w:tbl>
      <w:tblPr>
        <w:tblW w:w="0" w:type="auto"/>
        <w:tblLayout w:type="fixed"/>
        <w:tblCellMar>
          <w:left w:w="62" w:type="dxa"/>
          <w:right w:w="62" w:type="dxa"/>
        </w:tblCellMar>
        <w:tblLook w:val="0000"/>
      </w:tblPr>
      <w:tblGrid>
        <w:gridCol w:w="2700"/>
        <w:gridCol w:w="5760"/>
      </w:tblGrid>
      <w:tr w:rsidTr="00B867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1)</w:t>
            </w:r>
            <w:r w:rsidRPr="002F2516">
              <w:t xml:space="preserve"> </w:t>
            </w:r>
            <w:r w:rsidRPr="002F2516">
              <w:rPr>
                <w:rStyle w:val="SpecialBold"/>
              </w:rPr>
              <w:t>Scope:</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251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1.1) Descriptor</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This unit deals with the skills and knowledge required to conduct testing and commissioning of a wind turbine generator (WTG</w:t>
            </w:r>
            <w:r w:rsidRPr="002F2516">
              <w:t>).</w:t>
            </w:r>
          </w:p>
        </w:tc>
      </w:tr>
    </w:tbl>
    <w:p w:rsidR="00000000" w:rsidRPr="002F2516" w:rsidP="002F2516">
      <w:pPr>
        <w:pStyle w:val="BodyText"/>
      </w:pPr>
    </w:p>
    <w:p w:rsidR="00000000" w:rsidRPr="002F2516" w:rsidP="002F2516">
      <w:pPr>
        <w:pStyle w:val="AllowPageBreak"/>
      </w:pPr>
    </w:p>
    <w:p w:rsidR="00000000" w:rsidRPr="002F2516" w:rsidP="002F2516">
      <w:pPr>
        <w:pStyle w:val="Heading1"/>
      </w:pPr>
      <w:bookmarkStart w:id="3" w:name="O_505815"/>
      <w:bookmarkEnd w:id="3"/>
      <w:r w:rsidRPr="002F2516">
        <w:t>Application of the Unit</w:t>
      </w:r>
    </w:p>
    <w:tbl>
      <w:tblPr>
        <w:tblW w:w="0" w:type="auto"/>
        <w:tblLayout w:type="fixed"/>
        <w:tblCellMar>
          <w:left w:w="62" w:type="dxa"/>
          <w:right w:w="62" w:type="dxa"/>
        </w:tblCellMar>
        <w:tblLook w:val="0000"/>
      </w:tblPr>
      <w:tblGrid>
        <w:gridCol w:w="2672"/>
        <w:gridCol w:w="5699"/>
      </w:tblGrid>
      <w:tr w:rsidTr="00B8671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2)</w:t>
            </w:r>
          </w:p>
        </w:tc>
      </w:tr>
      <w:tr w:rsidTr="00B8671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This unit is intended to augment formally acquired competencies. It is suitable for employment-based programs under an approved contract of training.</w:t>
            </w:r>
          </w:p>
        </w:tc>
      </w:tr>
    </w:tbl>
    <w:p w:rsidR="00000000" w:rsidRPr="002F2516" w:rsidP="002F2516">
      <w:pPr>
        <w:pStyle w:val="BodyText"/>
      </w:pPr>
    </w:p>
    <w:p w:rsidR="00000000" w:rsidRPr="002F2516" w:rsidP="002F2516">
      <w:pPr>
        <w:pStyle w:val="AllowPageBreak"/>
      </w:pPr>
    </w:p>
    <w:p w:rsidR="00000000" w:rsidRPr="002F2516" w:rsidP="002F2516">
      <w:pPr>
        <w:pStyle w:val="Heading1"/>
      </w:pPr>
      <w:bookmarkStart w:id="4" w:name="O_505822"/>
      <w:bookmarkEnd w:id="4"/>
      <w:r w:rsidRPr="002F2516">
        <w:t>Licensing/Regulatory Information</w:t>
      </w:r>
    </w:p>
    <w:tbl>
      <w:tblPr>
        <w:tblW w:w="0" w:type="auto"/>
        <w:tblLayout w:type="fixed"/>
        <w:tblCellMar>
          <w:left w:w="62" w:type="dxa"/>
          <w:right w:w="62" w:type="dxa"/>
        </w:tblCellMar>
        <w:tblLook w:val="0000"/>
      </w:tblPr>
      <w:tblGrid>
        <w:gridCol w:w="2700"/>
        <w:gridCol w:w="5760"/>
      </w:tblGrid>
      <w:tr w:rsidTr="00B867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 xml:space="preserve">3) </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 xml:space="preserve">The skills and knowledge described in this unit may require an electrical licence to practise in the workplace. </w:t>
            </w:r>
          </w:p>
          <w:p w:rsidR="00000000" w:rsidRPr="002F2516" w:rsidP="002F2516">
            <w:pPr>
              <w:pStyle w:val="BodyText"/>
            </w:pPr>
            <w:r w:rsidRPr="002F2516">
              <w:t>Practice in this unit is subject to regulations directly related to Occupational Health and Safety and where applicable contracts of training such as apprenticeships and the like.</w:t>
            </w:r>
          </w:p>
        </w:tc>
      </w:tr>
    </w:tbl>
    <w:p w:rsidR="00000000" w:rsidRPr="002F2516" w:rsidP="002F2516">
      <w:pPr>
        <w:pStyle w:val="BodyText"/>
      </w:pPr>
    </w:p>
    <w:p w:rsidR="00000000" w:rsidRPr="002F2516" w:rsidP="002F2516">
      <w:pPr>
        <w:pStyle w:val="AllowPageBreak"/>
      </w:pPr>
    </w:p>
    <w:p w:rsidR="00000000" w:rsidRPr="002F2516" w:rsidP="002F2516">
      <w:pPr>
        <w:pStyle w:val="Heading1"/>
      </w:pPr>
      <w:bookmarkStart w:id="5" w:name="O_505823"/>
      <w:bookmarkEnd w:id="5"/>
      <w:r w:rsidRPr="002F2516">
        <w:t>Pre-Requisites</w:t>
      </w:r>
    </w:p>
    <w:p w:rsidR="00000000" w:rsidRPr="002F2516" w:rsidP="002F2516">
      <w:pPr>
        <w:pStyle w:val="BodyText"/>
      </w:pPr>
    </w:p>
    <w:tbl>
      <w:tblPr>
        <w:tblW w:w="0" w:type="auto"/>
        <w:tblLayout w:type="fixed"/>
        <w:tblCellMar>
          <w:left w:w="62" w:type="dxa"/>
          <w:right w:w="62" w:type="dxa"/>
        </w:tblCellMar>
        <w:tblLook w:val="0000"/>
      </w:tblPr>
      <w:tblGrid>
        <w:gridCol w:w="2700"/>
        <w:gridCol w:w="2074"/>
        <w:gridCol w:w="3690"/>
      </w:tblGrid>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 xml:space="preserve">4) </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4</w:t>
            </w:r>
            <w:r w:rsidRPr="002F2516">
              <w:rPr>
                <w:rStyle w:val="SpecialBold"/>
              </w:rPr>
              <w:t>.1)</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Granting of competency in this unit shall be made only after competency in the following unit(s) has/have been confirmed.</w:t>
            </w:r>
          </w:p>
          <w:p w:rsidR="00000000" w:rsidRPr="002F2516" w:rsidP="002F2516">
            <w:pPr>
              <w:pStyle w:val="BodyText"/>
            </w:pPr>
            <w:r w:rsidRPr="002F2516">
              <w:t>Where pre-requisite pathways have been identified. All competencies in the Common Unit Group must have been completed plus all the competencies in one (1) of the identified Pathway Unit Group(s):</w:t>
            </w:r>
          </w:p>
          <w:p w:rsidR="00000000" w:rsidP="002F2516">
            <w:pPr>
              <w:pStyle w:val="BodyText"/>
              <w:rPr>
                <w:lang w:val="en-NZ"/>
              </w:rPr>
            </w:pPr>
            <w:r w:rsidRPr="002F2516">
              <w:t>Common Unit Group</w:t>
            </w:r>
          </w:p>
        </w:tc>
      </w:tr>
      <w:tr w:rsidTr="00B8671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Unit Code</w:t>
            </w:r>
            <w:r w:rsidRPr="002F2516">
              <w:tab/>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Unit Title</w:t>
            </w:r>
          </w:p>
        </w:tc>
      </w:tr>
      <w:tr w:rsidTr="00B86714">
        <w:tblPrEx>
          <w:tblW w:w="0" w:type="auto"/>
          <w:tblLayout w:type="fixed"/>
          <w:tblCellMar>
            <w:left w:w="62" w:type="dxa"/>
            <w:right w:w="62" w:type="dxa"/>
          </w:tblCellMar>
          <w:tblLook w:val="0000"/>
        </w:tblPrEx>
        <w:trPr>
          <w:trHeight w:val="635"/>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 xml:space="preserve">UEPMNT371A </w:t>
            </w:r>
            <w:r w:rsidRPr="002F2516">
              <w:tab/>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Ma</w:t>
            </w:r>
            <w:r w:rsidRPr="002F2516">
              <w:t>intain large scale wind turbine generators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UEPMNT444A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Maintain wind turbine generator mechanical systems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UEPMNT443A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Maintain wind turbine generator control systems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UEPMNT448A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Diagnose and repair faults in wind turbine generator control systems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UEPMNT449A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 xml:space="preserve">Diagnose and repair mechanical systems faults in wind turbine generators </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 xml:space="preserve">UEPMNT445A </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Diagnose and repair faults in large scale wind turbine generators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UEENEEG108A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Trouble-shoot and repair faults in low voltage electrical apparatus and circu</w:t>
            </w:r>
            <w:r w:rsidRPr="002F2516">
              <w:t>its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UEENEEE101A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 xml:space="preserve">Apply Occupational Health Safety regulations, codes and practices in the workplace </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UEENEEE102A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Fabricate, dismantle, assemble of utilities industry components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UEENEEE104A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Solve problems in d.c. circuits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UEENEEE105A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Fix and secure electrotechnology equipment</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UEENEEE107A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Use drawings, diagrams, schedules, standards, codes and specifications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UEENEEG006A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Solve problems in single and three phase low voltage machines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UEENEEG033A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Solve problems in single and three pha</w:t>
            </w:r>
            <w:r w:rsidRPr="002F2516">
              <w:t>se low voltage electrical apparatus and circuits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UEENEEG063A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Arrange circuits, control and protection for general electrical installations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UEENEEG101A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Solve problems in electromagnetic devices and related circuits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UEENEEG102A</w:t>
            </w:r>
          </w:p>
        </w:tc>
        <w:tc>
          <w:tcPr>
            <w:tcW w:w="36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Solve problems in low voltage a.c. circuits</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UEENEEG106A</w:t>
            </w:r>
          </w:p>
        </w:tc>
        <w:tc>
          <w:tcPr>
            <w:tcW w:w="369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Terminate cables, cords and accessories for low voltage circuits</w:t>
            </w:r>
          </w:p>
        </w:tc>
      </w:tr>
    </w:tbl>
    <w:p w:rsidR="00000000" w:rsidRPr="002F2516" w:rsidP="002F2516">
      <w:pPr>
        <w:pStyle w:val="BodyText"/>
      </w:pPr>
    </w:p>
    <w:p w:rsidR="00000000" w:rsidRPr="002F2516" w:rsidP="002F251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8671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 xml:space="preserve">4.2) </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Participants are best equipped to achieve this unit if they have reading, writing and numeracy skills indicated by the following levels. A description of what each level entails is provided in Section 2.3.1 Language, Literacy and Numeracy.</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Reading</w:t>
            </w:r>
          </w:p>
        </w:tc>
        <w:tc>
          <w:tcPr>
            <w:tcW w:w="81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4</w:t>
            </w:r>
          </w:p>
        </w:tc>
        <w:tc>
          <w:tcPr>
            <w:tcW w:w="99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Writing</w:t>
            </w: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4</w:t>
            </w:r>
          </w:p>
        </w:tc>
        <w:tc>
          <w:tcPr>
            <w:tcW w:w="12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Numeracy</w:t>
            </w:r>
          </w:p>
        </w:tc>
        <w:tc>
          <w:tcPr>
            <w:tcW w:w="72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4</w:t>
            </w:r>
          </w:p>
        </w:tc>
      </w:tr>
    </w:tbl>
    <w:p w:rsidR="00000000" w:rsidRPr="002F2516" w:rsidP="002F2516">
      <w:pPr>
        <w:pStyle w:val="BodyText"/>
      </w:pPr>
    </w:p>
    <w:p w:rsidR="00000000" w:rsidRPr="002F2516" w:rsidP="002F2516">
      <w:pPr>
        <w:pStyle w:val="AllowPageBreak"/>
      </w:pPr>
    </w:p>
    <w:p w:rsidR="00000000" w:rsidRPr="002F2516" w:rsidP="002F2516">
      <w:pPr>
        <w:pStyle w:val="Heading1"/>
      </w:pPr>
      <w:bookmarkStart w:id="6" w:name="O_505819"/>
      <w:bookmarkEnd w:id="6"/>
      <w:r w:rsidRPr="002F2516">
        <w:t>Employability Skills Information</w:t>
      </w:r>
    </w:p>
    <w:tbl>
      <w:tblPr>
        <w:tblW w:w="0" w:type="auto"/>
        <w:tblLayout w:type="fixed"/>
        <w:tblCellMar>
          <w:left w:w="62" w:type="dxa"/>
          <w:right w:w="62" w:type="dxa"/>
        </w:tblCellMar>
        <w:tblLook w:val="0000"/>
      </w:tblPr>
      <w:tblGrid>
        <w:gridCol w:w="2700"/>
        <w:gridCol w:w="5760"/>
      </w:tblGrid>
      <w:tr w:rsidTr="00B867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 xml:space="preserve">5) </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This unit contains Employability Skills.</w:t>
            </w:r>
          </w:p>
          <w:p w:rsidR="00000000" w:rsidRPr="002F2516" w:rsidP="002F2516">
            <w:pPr>
              <w:pStyle w:val="BodyText"/>
            </w:pPr>
            <w:r w:rsidRPr="002F251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F2516">
              <w:t>requirements.</w:t>
            </w:r>
          </w:p>
        </w:tc>
      </w:tr>
    </w:tbl>
    <w:p w:rsidR="00000000" w:rsidRPr="002F2516" w:rsidP="002F2516">
      <w:pPr>
        <w:pStyle w:val="BodyText"/>
      </w:pPr>
    </w:p>
    <w:p w:rsidR="00000000" w:rsidRPr="002F2516" w:rsidP="002F2516">
      <w:pPr>
        <w:pStyle w:val="AllowPageBreak"/>
      </w:pPr>
    </w:p>
    <w:p w:rsidR="00000000" w:rsidRPr="002F2516" w:rsidP="002F2516">
      <w:pPr>
        <w:pStyle w:val="Heading1"/>
      </w:pPr>
      <w:bookmarkStart w:id="7" w:name="O_505818"/>
      <w:bookmarkEnd w:id="7"/>
      <w:r w:rsidRPr="002F2516">
        <w:t>Elements and Performance Criteria Pre-Content</w:t>
      </w:r>
    </w:p>
    <w:tbl>
      <w:tblPr>
        <w:tblW w:w="0" w:type="auto"/>
        <w:tblLayout w:type="fixed"/>
        <w:tblCellMar>
          <w:left w:w="62" w:type="dxa"/>
          <w:right w:w="62" w:type="dxa"/>
        </w:tblCellMar>
        <w:tblLook w:val="0000"/>
      </w:tblPr>
      <w:tblGrid>
        <w:gridCol w:w="2700"/>
        <w:gridCol w:w="5760"/>
      </w:tblGrid>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6)</w:t>
            </w:r>
            <w:r w:rsidRPr="002F251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Performance Criteria describe the required performance needed to demonstrate achievement of the element. Assessment of performance is to be consistent with the Evidence Guide.</w:t>
            </w:r>
          </w:p>
        </w:tc>
      </w:tr>
    </w:tbl>
    <w:p w:rsidR="00000000" w:rsidRPr="002F2516" w:rsidP="002F2516">
      <w:pPr>
        <w:pStyle w:val="BodyText"/>
      </w:pPr>
    </w:p>
    <w:p w:rsidR="00000000" w:rsidRPr="002F2516" w:rsidP="002F2516">
      <w:pPr>
        <w:pStyle w:val="AllowPageBreak"/>
      </w:pPr>
    </w:p>
    <w:p w:rsidR="00000000" w:rsidRPr="002F2516" w:rsidP="002F2516">
      <w:pPr>
        <w:pStyle w:val="Heading1"/>
      </w:pPr>
      <w:bookmarkStart w:id="8" w:name="O_505817"/>
      <w:bookmarkEnd w:id="8"/>
      <w:r w:rsidRPr="002F251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8671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PERFORMANCE CRITER</w:t>
            </w:r>
            <w:r w:rsidRPr="002F2516">
              <w:rPr>
                <w:rStyle w:val="SpecialBold"/>
              </w:rPr>
              <w:t>IA</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w:t>
            </w:r>
          </w:p>
        </w:tc>
        <w:tc>
          <w:tcPr>
            <w:tcW w:w="2296" w:type="dxa"/>
            <w:vMerge w:val="restart"/>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1.1</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Work requirements are identified from work orders or equivalent and clarified and confirmed with appropriate parties or by site inspection.</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1.2</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Occupational Health and Safety standards, statutory requirements, relevant Australian standards, codes of practice, manufacturers’ specifications, environmental requirements and enterprise procedures are identified, applied and monitored throughout the wor</w:t>
            </w:r>
            <w:r w:rsidRPr="002F2516">
              <w:t>k procedure.</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1.3</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Resources required to satisfy the work plan are identified, obtained and inspected for compliance with the job specifications.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1.4</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Relevant plans, drawings and texts are selected and interpreted in accordance with the work plan.</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1.5</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Correct size, type and quantity of materials and components are determined, obtained and inspected for compliance with the job specifications.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1.6</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Commissioning is planned in detail including sequencing and prioritising and considerations made, wher</w:t>
            </w:r>
            <w:r w:rsidRPr="002F2516">
              <w:t>e appropriate, for the maintenance of plant security and capacity in accordance with system/site requirements.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1.7</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Coordination requirements, including requests for isolations where appropriate, are resolved with others involved, affected or required by the work.</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1.8</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Potential hazards are identified and control measures are implemented.</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1.9</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 xml:space="preserve">Work area is accessed </w:t>
            </w:r>
            <w:r w:rsidRPr="002F2516">
              <w:t>and prepared in accordance with work requirements and site procedures.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1.10</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 xml:space="preserve">Where appropriate, the teams and individuals roles and responsibilities within the team are identified and, where required, assist in the provision of the on-the-job training. </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2</w:t>
            </w:r>
          </w:p>
        </w:tc>
        <w:tc>
          <w:tcPr>
            <w:tcW w:w="2296" w:type="dxa"/>
            <w:vMerge w:val="restart"/>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Test systems equipment.</w:t>
            </w: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2.1</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Required isolations are confirmed where appropriate in accordance with site requirements.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2.2</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System equipment is visually inspected to ensure absence of any damage, defects and/or signs of deterioration in accordance with the commissioning plan.</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2.3</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System equipment is tested in conjunction with other related systems and equipment to ensure cor</w:t>
            </w:r>
            <w:r w:rsidRPr="002F2516">
              <w:t xml:space="preserve">rect operation in accordance with the commissioning plan. </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2.4</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Wiring systems are checked and tested in conjunction with other related systems and equipment in accordance with the commissioning plan.</w:t>
            </w:r>
          </w:p>
        </w:tc>
      </w:tr>
      <w:tr w:rsidTr="00B86714">
        <w:tblPrEx>
          <w:tblW w:w="0" w:type="auto"/>
          <w:tblLayout w:type="fixed"/>
          <w:tblCellMar>
            <w:left w:w="62" w:type="dxa"/>
            <w:right w:w="62" w:type="dxa"/>
          </w:tblCellMar>
          <w:tblLook w:val="0000"/>
        </w:tblPrEx>
        <w:trPr>
          <w:trHeight w:val="515"/>
        </w:trPr>
        <w:tc>
          <w:tcPr>
            <w:tcW w:w="40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3</w:t>
            </w:r>
          </w:p>
        </w:tc>
        <w:tc>
          <w:tcPr>
            <w:tcW w:w="2296" w:type="dxa"/>
            <w:vMerge w:val="restart"/>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Test the system.</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3.1</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Required isolations are confirmed where appropriate in accordance with site requirements.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3.2</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System plant and equipment is set up and calibrated in accordance with operational requirements/manufacturer specifications.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3.3</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System is set up and calibrated in accordance with operational requirements/manufacturer specifications.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3.4</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System is commissioned using appropriate plans, drawings and texts in accordance with the commissioning plan.</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3.5</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System is commissioned in c</w:t>
            </w:r>
            <w:r w:rsidRPr="002F2516">
              <w:t xml:space="preserve">onjunction with other related systems and equipment in accordance with the commissioning plan. </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3.6</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Equipment is commissioned with due regard being paid to plant security and capacity in accordance with the commissioning plan.</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3.7</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Faulty equipment is repaired or reported in accordance with site/enterprise procedures.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3.8</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Final job inspection is carried out and permits relinquished as required in accordance with the commissioning plan.</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4</w:t>
            </w:r>
          </w:p>
        </w:tc>
        <w:tc>
          <w:tcPr>
            <w:tcW w:w="2296" w:type="dxa"/>
            <w:vMerge w:val="restart"/>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Complete the work.</w:t>
            </w: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4.1</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Commissioning is co</w:t>
            </w:r>
            <w:r w:rsidRPr="002F2516">
              <w:t xml:space="preserve">mpleted and appropriate personnel notified in accordance with site/enterprise requirements. </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4.2</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Work area is cleared of waste, cleaned, restored and secured in accordance with site/enterprise procedures.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4.3</w:t>
            </w:r>
          </w:p>
        </w:tc>
        <w:tc>
          <w:tcPr>
            <w:tcW w:w="48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Plant, tools and equipment are maintained and stored in accordance with site/enterprise procedures.</w:t>
            </w:r>
          </w:p>
        </w:tc>
      </w:tr>
      <w:tr w:rsidTr="00B867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4.4</w:t>
            </w:r>
          </w:p>
        </w:tc>
        <w:tc>
          <w:tcPr>
            <w:tcW w:w="486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Work completion details are finalised in accordance with site/enterprise procedures.</w:t>
            </w:r>
          </w:p>
        </w:tc>
      </w:tr>
    </w:tbl>
    <w:p w:rsidR="00000000" w:rsidRPr="002F2516" w:rsidP="002F2516">
      <w:pPr>
        <w:pStyle w:val="BodyText"/>
      </w:pPr>
    </w:p>
    <w:p w:rsidR="00000000" w:rsidRPr="002F2516" w:rsidP="002F2516">
      <w:pPr>
        <w:pStyle w:val="AllowPageBreak"/>
      </w:pPr>
    </w:p>
    <w:p w:rsidR="00000000" w:rsidRPr="002F2516" w:rsidP="002F2516">
      <w:pPr>
        <w:pStyle w:val="Heading1"/>
      </w:pPr>
      <w:bookmarkStart w:id="9" w:name="O_505825"/>
      <w:bookmarkEnd w:id="9"/>
      <w:r w:rsidRPr="002F2516">
        <w:t>Required Skills and Knowledge</w:t>
      </w:r>
    </w:p>
    <w:tbl>
      <w:tblPr>
        <w:tblW w:w="0" w:type="auto"/>
        <w:tblLayout w:type="fixed"/>
        <w:tblCellMar>
          <w:left w:w="62" w:type="dxa"/>
          <w:right w:w="62" w:type="dxa"/>
        </w:tblCellMar>
        <w:tblLook w:val="0000"/>
      </w:tblPr>
      <w:tblGrid>
        <w:gridCol w:w="8460"/>
      </w:tblGrid>
      <w:tr w:rsidTr="00B867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REQUIRED SKILLS</w:t>
            </w:r>
            <w:r w:rsidRPr="002F2516">
              <w:rPr>
                <w:rStyle w:val="SpecialBold"/>
              </w:rPr>
              <w:t xml:space="preserve"> AND KNOWLEDGE</w:t>
            </w:r>
          </w:p>
        </w:tc>
      </w:tr>
      <w:tr w:rsidTr="00B8671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8)</w:t>
            </w:r>
            <w:r w:rsidRPr="002F2516">
              <w:t xml:space="preserve"> This describes the essential skills and knowledge and their level, required for this unit.</w:t>
            </w:r>
          </w:p>
          <w:p w:rsidR="00000000" w:rsidRPr="002F2516" w:rsidP="002F2516">
            <w:pPr>
              <w:pStyle w:val="BodyText"/>
            </w:pPr>
            <w:r w:rsidRPr="002F2516">
              <w:t>All knowledge and skills detailed in this unit should be contextualised to current industry practices and technologies.</w:t>
            </w:r>
          </w:p>
          <w:p w:rsidR="00000000" w:rsidRPr="002F2516" w:rsidP="002F2516">
            <w:pPr>
              <w:pStyle w:val="BodyText"/>
            </w:pPr>
            <w:r w:rsidRPr="002F2516">
              <w:t>KS01-PM436B</w:t>
            </w:r>
            <w:r w:rsidRPr="002F2516">
              <w:tab/>
              <w:t xml:space="preserve">  Test and</w:t>
            </w:r>
            <w:r w:rsidRPr="002F2516">
              <w:t xml:space="preserve"> commission wind turbine generators</w:t>
            </w:r>
          </w:p>
          <w:p w:rsidR="00000000" w:rsidRPr="002F2516" w:rsidP="002F2516">
            <w:pPr>
              <w:pStyle w:val="BodyText"/>
            </w:pPr>
            <w:r w:rsidRPr="002F2516">
              <w:t>Evidence shall show that knowledge has been acquired of testing and commissioning  wind turbine generator to the extent indicated by the following aspects:</w:t>
            </w:r>
            <w:r w:rsidRPr="002F2516">
              <w:tab/>
            </w:r>
          </w:p>
          <w:p w:rsidR="00000000" w:rsidRPr="002F2516" w:rsidP="002F2516">
            <w:pPr>
              <w:pStyle w:val="ListBullet"/>
            </w:pPr>
            <w:r w:rsidRPr="002F2516">
              <w:t>T1.</w:t>
            </w:r>
            <w:r w:rsidRPr="002F2516">
              <w:tab/>
              <w:t>Manufacturer and/or enterprise Test and Commission procedu</w:t>
            </w:r>
            <w:r w:rsidRPr="002F2516">
              <w:t>re and practices</w:t>
            </w:r>
          </w:p>
          <w:p w:rsidR="00000000" w:rsidRPr="002F2516" w:rsidP="002F2516">
            <w:pPr>
              <w:pStyle w:val="ListBullet"/>
            </w:pPr>
            <w:r w:rsidRPr="002F2516">
              <w:t>T2.</w:t>
            </w:r>
            <w:r w:rsidRPr="002F2516">
              <w:tab/>
              <w:t>Installation and commissioning software</w:t>
            </w:r>
          </w:p>
          <w:p w:rsidR="00000000" w:rsidRPr="002F2516" w:rsidP="002F2516">
            <w:pPr>
              <w:pStyle w:val="ListBullet"/>
            </w:pPr>
            <w:r w:rsidRPr="002F2516">
              <w:t>T3.</w:t>
            </w:r>
            <w:r w:rsidRPr="002F2516">
              <w:tab/>
              <w:t>Interconnection of test and commissioning hardware with WTG equipment</w:t>
            </w:r>
          </w:p>
          <w:p w:rsidR="00000000" w:rsidRPr="002F2516" w:rsidP="002F2516">
            <w:pPr>
              <w:pStyle w:val="ListBullet"/>
            </w:pPr>
            <w:r w:rsidRPr="002F2516">
              <w:t>T4.</w:t>
            </w:r>
            <w:r w:rsidRPr="002F2516">
              <w:tab/>
              <w:t xml:space="preserve">Advanced knowledge of manufacturer-specific WTG components, such as </w:t>
            </w:r>
          </w:p>
          <w:p w:rsidR="00000000" w:rsidRPr="002F2516" w:rsidP="002F2516">
            <w:pPr>
              <w:pStyle w:val="ListBullet2"/>
            </w:pPr>
            <w:r w:rsidRPr="002F2516">
              <w:t>•</w:t>
            </w:r>
            <w:r w:rsidRPr="002F2516">
              <w:tab/>
              <w:t>Generators</w:t>
            </w:r>
          </w:p>
          <w:p w:rsidR="00000000" w:rsidRPr="002F2516" w:rsidP="002F2516">
            <w:pPr>
              <w:pStyle w:val="ListBullet2"/>
            </w:pPr>
            <w:r w:rsidRPr="002F2516">
              <w:t>•</w:t>
            </w:r>
            <w:r w:rsidRPr="002F2516">
              <w:tab/>
              <w:t>Converter systems</w:t>
            </w:r>
          </w:p>
          <w:p w:rsidR="00000000" w:rsidRPr="002F2516" w:rsidP="002F2516">
            <w:pPr>
              <w:pStyle w:val="ListBullet2"/>
            </w:pPr>
            <w:r w:rsidRPr="002F2516">
              <w:t>•</w:t>
            </w:r>
            <w:r w:rsidRPr="002F2516">
              <w:tab/>
            </w:r>
            <w:r w:rsidRPr="002F2516">
              <w:t>Pitch frequency converters</w:t>
            </w:r>
          </w:p>
          <w:p w:rsidR="00000000" w:rsidRPr="002F2516" w:rsidP="002F2516">
            <w:pPr>
              <w:pStyle w:val="ListBullet2"/>
            </w:pPr>
            <w:r w:rsidRPr="002F2516">
              <w:t>•</w:t>
            </w:r>
            <w:r w:rsidRPr="002F2516">
              <w:tab/>
              <w:t>Soft starters</w:t>
            </w:r>
          </w:p>
          <w:p w:rsidR="00000000" w:rsidRPr="002F2516" w:rsidP="002F2516">
            <w:pPr>
              <w:pStyle w:val="ListBullet2"/>
            </w:pPr>
            <w:r w:rsidRPr="002F2516">
              <w:t>•</w:t>
            </w:r>
            <w:r w:rsidRPr="002F2516">
              <w:tab/>
              <w:t>Generator slip systems</w:t>
            </w:r>
          </w:p>
          <w:p w:rsidR="00000000" w:rsidRPr="002F2516" w:rsidP="002F2516">
            <w:pPr>
              <w:pStyle w:val="ListBullet2"/>
            </w:pPr>
            <w:r w:rsidRPr="002F2516">
              <w:t>•</w:t>
            </w:r>
            <w:r w:rsidRPr="002F2516">
              <w:tab/>
              <w:t>Compensation systems</w:t>
            </w:r>
          </w:p>
          <w:p w:rsidR="00000000" w:rsidRPr="002F2516" w:rsidP="002F2516">
            <w:pPr>
              <w:pStyle w:val="ListBullet"/>
            </w:pPr>
          </w:p>
        </w:tc>
      </w:tr>
    </w:tbl>
    <w:p w:rsidR="00000000" w:rsidRPr="002F2516" w:rsidP="002F2516">
      <w:pPr>
        <w:pStyle w:val="BodyText"/>
      </w:pPr>
    </w:p>
    <w:p w:rsidR="00000000" w:rsidRPr="002F2516" w:rsidP="002F2516">
      <w:pPr>
        <w:pStyle w:val="AllowPageBreak"/>
      </w:pPr>
    </w:p>
    <w:p w:rsidR="00000000" w:rsidRPr="002F2516" w:rsidP="002F2516">
      <w:pPr>
        <w:pStyle w:val="Heading1"/>
      </w:pPr>
      <w:bookmarkStart w:id="10" w:name="O_505820"/>
      <w:bookmarkEnd w:id="10"/>
      <w:r w:rsidRPr="002F2516">
        <w:t>Evidence Guide</w:t>
      </w:r>
    </w:p>
    <w:tbl>
      <w:tblPr>
        <w:tblW w:w="0" w:type="auto"/>
        <w:tblLayout w:type="fixed"/>
        <w:tblCellMar>
          <w:left w:w="62" w:type="dxa"/>
          <w:right w:w="62" w:type="dxa"/>
        </w:tblCellMar>
        <w:tblLook w:val="0000"/>
      </w:tblPr>
      <w:tblGrid>
        <w:gridCol w:w="8460"/>
      </w:tblGrid>
      <w:tr w:rsidTr="00B867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EVIDENCE GUIDE</w:t>
            </w:r>
          </w:p>
        </w:tc>
      </w:tr>
      <w:tr w:rsidTr="00B86714">
        <w:tblPrEx>
          <w:tblW w:w="0" w:type="auto"/>
          <w:tblLayout w:type="fixed"/>
          <w:tblCellMar>
            <w:left w:w="62" w:type="dxa"/>
            <w:right w:w="62" w:type="dxa"/>
          </w:tblCellMar>
          <w:tblLook w:val="0000"/>
        </w:tblPrEx>
        <w:trPr>
          <w:trHeight w:val="1808"/>
        </w:trPr>
        <w:tc>
          <w:tcPr>
            <w:tcW w:w="846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9)</w:t>
            </w:r>
            <w:r w:rsidRPr="002F2516">
              <w:t xml:space="preserve"> This provides essential advice for assessment of the competency standard unit and must be read in conjunc</w:t>
            </w:r>
            <w:r w:rsidRPr="002F2516">
              <w:t>tion with the Performance Criteria and the range statement of the competency standard unit and the Training Package Assessment Guidelines.</w:t>
            </w:r>
          </w:p>
          <w:p w:rsidR="00000000" w:rsidRPr="002F2516" w:rsidP="002F2516">
            <w:pPr>
              <w:pStyle w:val="BodyText"/>
            </w:pPr>
            <w:r w:rsidRPr="002F2516">
              <w:t xml:space="preserve">The Evidence Guide forms an integral part of this unit and shall be used in conjunction with all components parts of </w:t>
            </w:r>
            <w:r w:rsidRPr="002F2516">
              <w:t>this unit and, performed in accordance with the Assessment Guidelines of this Training Package.</w:t>
            </w:r>
          </w:p>
        </w:tc>
      </w:tr>
    </w:tbl>
    <w:p w:rsidR="00000000" w:rsidRPr="002F2516" w:rsidP="002F2516">
      <w:pPr>
        <w:pStyle w:val="BodyText"/>
      </w:pPr>
    </w:p>
    <w:tbl>
      <w:tblPr>
        <w:tblW w:w="0" w:type="auto"/>
        <w:tblLayout w:type="fixed"/>
        <w:tblCellMar>
          <w:left w:w="62" w:type="dxa"/>
          <w:right w:w="62" w:type="dxa"/>
        </w:tblCellMar>
        <w:tblLook w:val="0000"/>
      </w:tblPr>
      <w:tblGrid>
        <w:gridCol w:w="1890"/>
        <w:gridCol w:w="6570"/>
      </w:tblGrid>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9.1)</w:t>
            </w:r>
          </w:p>
        </w:tc>
      </w:tr>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Longitudinal competency development approaches to assessment, such as Profiling, require data to be reliably gathered in a form that can be consistently interpreted over time. This approach is best utilised in Apprenticeship programs and reduces assessment</w:t>
            </w:r>
            <w:r w:rsidRPr="002F2516">
              <w:t xml:space="preserve"> </w:t>
            </w:r>
            <w:r w:rsidRPr="002F2516">
              <w:t>intervention. It is the Industry preferred model for apprenticeships. However, where summative (or final) assessment is used it is to include the application of the competency in the normal work environment or in a realistically simulated work environment</w:t>
            </w:r>
            <w:r w:rsidRPr="002F2516">
              <w:t>. It is recognised that, in some circumstances, assessment in part or full can occur outside the workplace; however, it must be in accord with Industry and regulatory policy.</w:t>
            </w:r>
          </w:p>
          <w:p w:rsidR="00000000" w:rsidRPr="002F2516" w:rsidP="002F2516">
            <w:pPr>
              <w:pStyle w:val="BodyText"/>
            </w:pPr>
            <w:r w:rsidRPr="002F2516">
              <w:t>Methods chosen for a particular assessment will be influenced by various factors.</w:t>
            </w:r>
            <w:r w:rsidRPr="002F2516">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2F2516" w:rsidP="002F2516">
            <w:pPr>
              <w:pStyle w:val="BodyText"/>
            </w:pPr>
            <w:r w:rsidRPr="002F2516">
              <w:t>The critical safety nature of working with electricity, electrical equipment, gas or any other hazardous substance/material carries risk in deeming a person competent. Hence, sources of evidence need to be ‘rich’ in nature so as to minimise error in judgm</w:t>
            </w:r>
            <w:r w:rsidRPr="002F2516">
              <w:t>ent.</w:t>
            </w:r>
          </w:p>
          <w:p w:rsidR="00000000" w:rsidRPr="002F2516" w:rsidP="002F2516">
            <w:pPr>
              <w:pStyle w:val="BodyText"/>
            </w:pPr>
            <w:r w:rsidRPr="002F2516">
              <w:t>Activities associated with normal every day work have a bearing on the decision as to how much and how detailed the data gathered will contribute to its ‘richness’. Some skills are more critical to safety and operational requirements while the same sk</w:t>
            </w:r>
            <w:r w:rsidRPr="002F2516">
              <w:t>ills may be more or less frequently practised. These points are raised for the assessors to consider when choosing an assessment method and developing assessment instruments. Sample assessment instruments are included in the Assessment Guidelines of this T</w:t>
            </w:r>
            <w:r w:rsidRPr="002F2516">
              <w:t>raining Package.</w:t>
            </w:r>
          </w:p>
        </w:tc>
      </w:tr>
    </w:tbl>
    <w:p w:rsidR="00000000" w:rsidRPr="002F2516" w:rsidP="002F2516">
      <w:pPr>
        <w:pStyle w:val="BodyText"/>
      </w:pPr>
    </w:p>
    <w:tbl>
      <w:tblPr>
        <w:tblW w:w="0" w:type="auto"/>
        <w:tblLayout w:type="fixed"/>
        <w:tblCellMar>
          <w:left w:w="62" w:type="dxa"/>
          <w:right w:w="62" w:type="dxa"/>
        </w:tblCellMar>
        <w:tblLook w:val="0000"/>
      </w:tblPr>
      <w:tblGrid>
        <w:gridCol w:w="1890"/>
        <w:gridCol w:w="1620"/>
        <w:gridCol w:w="4950"/>
      </w:tblGrid>
      <w:tr w:rsidTr="00B86714">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9.2)</w:t>
            </w:r>
          </w:p>
        </w:tc>
      </w:tr>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Evidence for competence in this unit shall be considered holistically. Each element and associated Performance Criteria shall be demonstrated:</w:t>
            </w:r>
          </w:p>
          <w:p w:rsidR="00000000" w:rsidRPr="002F2516" w:rsidP="002F2516">
            <w:pPr>
              <w:pStyle w:val="ListBullet"/>
            </w:pPr>
            <w:r w:rsidRPr="002F2516">
              <w:t>On at le</w:t>
            </w:r>
            <w:r w:rsidRPr="002F2516">
              <w:t>ast two (2) occasions, In accordance with the "Assessment Guidelines” for the UEP12 Training Package.</w:t>
            </w:r>
          </w:p>
          <w:p w:rsidR="00000000" w:rsidRPr="002F2516" w:rsidP="002F2516">
            <w:pPr>
              <w:pStyle w:val="BodyText"/>
            </w:pPr>
            <w:r w:rsidRPr="002F2516">
              <w:t>Evidence shall also comprise:</w:t>
            </w:r>
          </w:p>
          <w:p w:rsidR="00000000" w:rsidRPr="002F2516" w:rsidP="002F2516">
            <w:pPr>
              <w:pStyle w:val="ListBullet"/>
            </w:pPr>
            <w:r w:rsidRPr="002F2516">
              <w:t xml:space="preserve">A representative body of work performance demonstrated within the timeframe typically </w:t>
            </w:r>
            <w:r w:rsidRPr="002F2516">
              <w:t>expected of the discipline, work function and industrial environment. In particular this shall incorporate evidence that shows a candidate is able to:</w:t>
            </w:r>
          </w:p>
          <w:p w:rsidR="00000000" w:rsidRPr="002F2516" w:rsidP="002F2516">
            <w:pPr>
              <w:pStyle w:val="ListBullet2"/>
            </w:pPr>
            <w:r w:rsidRPr="002F2516">
              <w:t>Implement Occupational Health and Safety workplace procedures and practices including the use of risk co</w:t>
            </w:r>
            <w:r w:rsidRPr="002F2516">
              <w:t>ntrol measures as specified in the Performance Criteria and range; and</w:t>
            </w:r>
          </w:p>
          <w:p w:rsidR="00000000" w:rsidRPr="002F2516" w:rsidP="002F2516">
            <w:pPr>
              <w:pStyle w:val="ListBullet2"/>
            </w:pPr>
            <w:r w:rsidRPr="002F2516">
              <w:t>Apply sustainable energy principles and practices as specified in the Performance Criteria and range; and</w:t>
            </w:r>
          </w:p>
          <w:p w:rsidR="00000000" w:rsidRPr="002F2516" w:rsidP="002F2516">
            <w:pPr>
              <w:pStyle w:val="ListBullet2"/>
            </w:pPr>
            <w:r w:rsidRPr="002F2516">
              <w:t xml:space="preserve">Demonstrate an understanding of the required skills and knowledge as described </w:t>
            </w:r>
            <w:r w:rsidRPr="002F2516">
              <w:t>in this unit to such an extent that the learner's performance outcome is reported in accordance with the preferred approach; namely a percentile graded result, where required by the regulated environment; and</w:t>
            </w:r>
          </w:p>
          <w:p w:rsidR="00000000" w:rsidRPr="002F2516" w:rsidP="002F2516">
            <w:pPr>
              <w:pStyle w:val="ListBullet2"/>
            </w:pPr>
            <w:r w:rsidRPr="002F2516">
              <w:t>Demonstrate an appropriate level of employabili</w:t>
            </w:r>
            <w:r w:rsidRPr="002F2516">
              <w:t>ty skills; and</w:t>
            </w:r>
          </w:p>
          <w:p w:rsidR="00000000" w:rsidRPr="002F2516" w:rsidP="002F2516">
            <w:pPr>
              <w:pStyle w:val="ListBullet2"/>
            </w:pPr>
            <w:r w:rsidRPr="002F2516">
              <w:t>Conduct work observing the relevant Anti Discrimination legislation, regulations, policies and workplace procedures;  and</w:t>
            </w:r>
          </w:p>
          <w:p w:rsidR="00000000" w:rsidP="002F2516">
            <w:pPr>
              <w:pStyle w:val="BodyText"/>
              <w:rPr>
                <w:lang w:val="en-NZ"/>
              </w:rPr>
            </w:pPr>
            <w:r w:rsidRPr="002F2516">
              <w:t>Demonstrated performance across a representative range of contexts from the prescribed items below:</w:t>
            </w:r>
          </w:p>
        </w:tc>
      </w:tr>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A</w:t>
            </w:r>
          </w:p>
        </w:tc>
        <w:tc>
          <w:tcPr>
            <w:tcW w:w="495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All of the following:</w:t>
            </w:r>
          </w:p>
          <w:p w:rsidR="00000000" w:rsidP="002F2516">
            <w:pPr>
              <w:pStyle w:val="BodyText"/>
              <w:rPr>
                <w:lang w:val="en-NZ"/>
              </w:rPr>
            </w:pPr>
            <w:r w:rsidRPr="002F2516">
              <w:t>Accessing main controller or pitch frequency converter software</w:t>
            </w:r>
          </w:p>
        </w:tc>
      </w:tr>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B</w:t>
            </w:r>
          </w:p>
        </w:tc>
        <w:tc>
          <w:tcPr>
            <w:tcW w:w="495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All of the following:</w:t>
            </w:r>
          </w:p>
          <w:p w:rsidR="00000000" w:rsidP="002F2516">
            <w:pPr>
              <w:pStyle w:val="BodyText"/>
              <w:rPr>
                <w:lang w:val="en-NZ"/>
              </w:rPr>
            </w:pPr>
            <w:r w:rsidRPr="002F2516">
              <w:t>Terminating LV cables</w:t>
            </w:r>
          </w:p>
        </w:tc>
      </w:tr>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C</w:t>
            </w:r>
          </w:p>
        </w:tc>
        <w:tc>
          <w:tcPr>
            <w:tcW w:w="495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All of the following:</w:t>
            </w:r>
          </w:p>
          <w:p w:rsidR="00000000" w:rsidP="002F2516">
            <w:pPr>
              <w:pStyle w:val="BodyText"/>
              <w:rPr>
                <w:lang w:val="en-NZ"/>
              </w:rPr>
            </w:pPr>
            <w:r w:rsidRPr="002F2516">
              <w:t>Generator alignment</w:t>
            </w:r>
          </w:p>
        </w:tc>
      </w:tr>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D</w:t>
            </w:r>
          </w:p>
        </w:tc>
        <w:tc>
          <w:tcPr>
            <w:tcW w:w="495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All of the following:</w:t>
            </w:r>
          </w:p>
          <w:p w:rsidR="00000000" w:rsidP="002F2516">
            <w:pPr>
              <w:pStyle w:val="BodyText"/>
              <w:rPr>
                <w:lang w:val="en-NZ"/>
              </w:rPr>
            </w:pPr>
            <w:r w:rsidRPr="002F2516">
              <w:t>Blade calibration</w:t>
            </w:r>
          </w:p>
        </w:tc>
      </w:tr>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E</w:t>
            </w:r>
          </w:p>
        </w:tc>
        <w:tc>
          <w:tcPr>
            <w:tcW w:w="495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All of the following:</w:t>
            </w:r>
          </w:p>
          <w:p w:rsidR="00000000" w:rsidP="002F2516">
            <w:pPr>
              <w:pStyle w:val="BodyText"/>
              <w:rPr>
                <w:lang w:val="en-NZ"/>
              </w:rPr>
            </w:pPr>
            <w:r w:rsidRPr="002F2516">
              <w:t>Pitch or yaw brake calibration</w:t>
            </w:r>
          </w:p>
        </w:tc>
      </w:tr>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t>F</w:t>
            </w:r>
          </w:p>
        </w:tc>
        <w:tc>
          <w:tcPr>
            <w:tcW w:w="495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All of the following:</w:t>
            </w:r>
          </w:p>
          <w:p w:rsidR="00000000" w:rsidRPr="002F2516" w:rsidP="002F2516">
            <w:pPr>
              <w:pStyle w:val="BodyText"/>
            </w:pPr>
            <w:r w:rsidRPr="002F2516">
              <w:t>Deal with an unplanned event by drawing on essential knowledge and skills to provide appropriate solutions.</w:t>
            </w:r>
          </w:p>
        </w:tc>
      </w:tr>
    </w:tbl>
    <w:p w:rsidR="00000000" w:rsidRPr="002F2516" w:rsidP="002F2516">
      <w:pPr>
        <w:pStyle w:val="BodyText"/>
      </w:pPr>
    </w:p>
    <w:tbl>
      <w:tblPr>
        <w:tblW w:w="0" w:type="auto"/>
        <w:tblLayout w:type="fixed"/>
        <w:tblCellMar>
          <w:left w:w="62" w:type="dxa"/>
          <w:right w:w="62" w:type="dxa"/>
        </w:tblCellMar>
        <w:tblLook w:val="0000"/>
      </w:tblPr>
      <w:tblGrid>
        <w:gridCol w:w="1890"/>
        <w:gridCol w:w="6570"/>
      </w:tblGrid>
      <w:tr w:rsidTr="00B8671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9.3)</w:t>
            </w:r>
          </w:p>
        </w:tc>
      </w:tr>
      <w:tr w:rsidTr="00B8671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This unit should be assessed as it relates to normal work practice using procedures, information and resources typical of a workplace. This should include:</w:t>
            </w:r>
          </w:p>
          <w:p w:rsidR="00000000" w:rsidRPr="002F2516" w:rsidP="002F2516">
            <w:pPr>
              <w:pStyle w:val="ListBullet2"/>
            </w:pPr>
            <w:r w:rsidRPr="002F2516">
              <w:t>OHS policy and work procedures and instructions.</w:t>
            </w:r>
          </w:p>
          <w:p w:rsidR="00000000" w:rsidRPr="002F2516" w:rsidP="002F2516">
            <w:pPr>
              <w:pStyle w:val="ListBullet2"/>
            </w:pPr>
            <w:r w:rsidRPr="002F2516">
              <w:t>Suitable work environment, facilities, equipment a</w:t>
            </w:r>
            <w:r w:rsidRPr="002F2516">
              <w:t>nd materials to undertake actual work as prescribed by this unit.</w:t>
            </w:r>
          </w:p>
          <w:p w:rsidR="00000000" w:rsidRPr="002F2516" w:rsidP="002F2516">
            <w:pPr>
              <w:pStyle w:val="BodyText"/>
            </w:pPr>
            <w:r w:rsidRPr="002F2516">
              <w:t>These should be used in the formal learning/assessment environment.</w:t>
            </w:r>
          </w:p>
          <w:p w:rsidR="00000000" w:rsidRPr="002F2516" w:rsidP="002F2516">
            <w:pPr>
              <w:pStyle w:val="BodyText"/>
            </w:pPr>
            <w:r w:rsidRPr="002F2516">
              <w:t>Note:</w:t>
            </w:r>
          </w:p>
          <w:p w:rsidR="00000000" w:rsidRPr="002F2516" w:rsidP="002F2516">
            <w:pPr>
              <w:pStyle w:val="BodyText"/>
            </w:pPr>
            <w:r w:rsidRPr="002F2516">
              <w:t>Where simulation is considered a suitable strategy for assessment, conditions must be authentic and as far as possib</w:t>
            </w:r>
            <w:r w:rsidRPr="002F2516">
              <w:t>le reproduce and replicate the workplace and be consistent with the approved industry simulation policy.</w:t>
            </w:r>
          </w:p>
          <w:p w:rsidR="00000000" w:rsidRPr="002F2516" w:rsidP="002F2516">
            <w:pPr>
              <w:pStyle w:val="BodyText"/>
            </w:pPr>
            <w:r w:rsidRPr="002F2516">
              <w:t xml:space="preserve">The resources used for assessment should reflect current industry practices in relation to: </w:t>
            </w:r>
          </w:p>
          <w:p w:rsidR="00000000" w:rsidRPr="002F2516" w:rsidP="002F2516">
            <w:pPr>
              <w:pStyle w:val="ListBullet2"/>
            </w:pPr>
            <w:r w:rsidRPr="002F2516">
              <w:t>Test and commission wind turbine generators</w:t>
            </w:r>
          </w:p>
        </w:tc>
      </w:tr>
    </w:tbl>
    <w:p w:rsidR="00000000" w:rsidRPr="002F2516" w:rsidP="002F2516">
      <w:pPr>
        <w:pStyle w:val="BodyText"/>
      </w:pPr>
    </w:p>
    <w:tbl>
      <w:tblPr>
        <w:tblW w:w="0" w:type="auto"/>
        <w:tblLayout w:type="fixed"/>
        <w:tblCellMar>
          <w:left w:w="62" w:type="dxa"/>
          <w:right w:w="62" w:type="dxa"/>
        </w:tblCellMar>
        <w:tblLook w:val="0000"/>
      </w:tblPr>
      <w:tblGrid>
        <w:gridCol w:w="1890"/>
        <w:gridCol w:w="6570"/>
      </w:tblGrid>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9.4)</w:t>
            </w:r>
          </w:p>
        </w:tc>
      </w:tr>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This unit shall be assessed by methods given in 1.3.00 Assessment Guidelines.</w:t>
            </w:r>
          </w:p>
          <w:p w:rsidR="00000000" w:rsidRPr="002F2516" w:rsidP="002F2516">
            <w:pPr>
              <w:pStyle w:val="BodyText"/>
            </w:pPr>
            <w:r w:rsidRPr="002F2516">
              <w:t xml:space="preserve">Note: </w:t>
            </w:r>
          </w:p>
          <w:p w:rsidR="00000000" w:rsidRPr="002F2516" w:rsidP="002F2516">
            <w:pPr>
              <w:pStyle w:val="BodyText"/>
            </w:pPr>
            <w:r w:rsidRPr="002F2516">
              <w:t>Competent performance with inherent safe working practices is expected in the Industry to which this unit applies. This requires that the speci</w:t>
            </w:r>
            <w:r w:rsidRPr="002F2516">
              <w:t>fied essential knowledge and associated skills are assessed in a structured environment which is primarily intended for learning/assessment and incorporates all necessary equipment and facilities for learners to develop and demonstrate the essential knowle</w:t>
            </w:r>
            <w:r w:rsidRPr="002F2516">
              <w:t>dge and skills described in this unit.</w:t>
            </w:r>
          </w:p>
        </w:tc>
      </w:tr>
    </w:tbl>
    <w:p w:rsidR="00000000" w:rsidRPr="002F2516" w:rsidP="002F2516">
      <w:pPr>
        <w:pStyle w:val="BodyText"/>
      </w:pPr>
    </w:p>
    <w:tbl>
      <w:tblPr>
        <w:tblW w:w="0" w:type="auto"/>
        <w:tblLayout w:type="fixed"/>
        <w:tblCellMar>
          <w:left w:w="62" w:type="dxa"/>
          <w:right w:w="62" w:type="dxa"/>
        </w:tblCellMar>
        <w:tblLook w:val="0000"/>
      </w:tblPr>
      <w:tblGrid>
        <w:gridCol w:w="1890"/>
        <w:gridCol w:w="6570"/>
      </w:tblGrid>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9.5)</w:t>
            </w:r>
          </w:p>
        </w:tc>
      </w:tr>
      <w:tr w:rsidTr="00B867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There are no recommended concurrent assessments with this unit, however in some cases efficiencies may be gained in terms of learning and assessment eff</w:t>
            </w:r>
            <w:r w:rsidRPr="002F2516">
              <w:t>ort being concurrently managed with allied competency standard units where listed.</w:t>
            </w:r>
          </w:p>
          <w:p w:rsidR="00000000" w:rsidRPr="002F2516" w:rsidP="002F2516">
            <w:pPr>
              <w:pStyle w:val="BodyText"/>
            </w:pPr>
            <w:r w:rsidRPr="002F2516">
              <w:t>Nil</w:t>
            </w:r>
            <w:r w:rsidRPr="002F2516">
              <w:tab/>
            </w:r>
          </w:p>
        </w:tc>
      </w:tr>
    </w:tbl>
    <w:p w:rsidR="00000000" w:rsidRPr="002F2516" w:rsidP="002F2516">
      <w:pPr>
        <w:pStyle w:val="BodyText"/>
      </w:pPr>
    </w:p>
    <w:p w:rsidR="00000000" w:rsidRPr="002F2516" w:rsidP="002F2516">
      <w:pPr>
        <w:pStyle w:val="AllowPageBreak"/>
      </w:pPr>
    </w:p>
    <w:p w:rsidR="00000000" w:rsidRPr="002F2516" w:rsidP="002F2516">
      <w:pPr>
        <w:pStyle w:val="Heading1"/>
      </w:pPr>
      <w:bookmarkStart w:id="11" w:name="O_505824"/>
      <w:bookmarkEnd w:id="11"/>
      <w:r w:rsidRPr="002F2516">
        <w:t>Range Statement</w:t>
      </w:r>
    </w:p>
    <w:tbl>
      <w:tblPr>
        <w:tblW w:w="0" w:type="auto"/>
        <w:tblLayout w:type="fixed"/>
        <w:tblCellMar>
          <w:left w:w="62" w:type="dxa"/>
          <w:right w:w="62" w:type="dxa"/>
        </w:tblCellMar>
        <w:tblLook w:val="0000"/>
      </w:tblPr>
      <w:tblGrid>
        <w:gridCol w:w="8460"/>
      </w:tblGrid>
      <w:tr w:rsidTr="00B867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RANGE STATEMENT</w:t>
            </w:r>
          </w:p>
        </w:tc>
      </w:tr>
      <w:tr w:rsidTr="00B867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10)</w:t>
            </w:r>
            <w:r w:rsidRPr="002F2516">
              <w:t xml:space="preserve"> This relates to the competency standard unit as a whole providing the range of contexts and conditions </w:t>
            </w:r>
            <w:r w:rsidRPr="002F2516">
              <w:t>to which the Performance Criteria apply. It allows for different work environments and situations that will affect performance.</w:t>
            </w:r>
          </w:p>
          <w:p w:rsidR="00000000" w:rsidRPr="002F2516" w:rsidP="002F2516">
            <w:pPr>
              <w:pStyle w:val="BodyText"/>
            </w:pPr>
            <w:r w:rsidRPr="002F2516">
              <w:t>Inspection should be planned with the appropriate parties to determine access, conditions and work requirements.</w:t>
            </w:r>
          </w:p>
          <w:p w:rsidR="00000000" w:rsidRPr="002F2516" w:rsidP="002F2516">
            <w:pPr>
              <w:pStyle w:val="BodyText"/>
            </w:pPr>
            <w:r w:rsidRPr="002F2516">
              <w:t>WTG systems may</w:t>
            </w:r>
            <w:r w:rsidRPr="002F2516">
              <w:t xml:space="preserve"> include blade pitch systems, weather monitoring systems, converters, generator slip systems, compensation systems, safety chain systems, generators, gearboxes, and yaw control systems.</w:t>
            </w:r>
          </w:p>
          <w:p w:rsidR="00000000" w:rsidRPr="002F2516" w:rsidP="002F2516">
            <w:pPr>
              <w:pStyle w:val="BodyText"/>
            </w:pPr>
            <w:r w:rsidRPr="002F2516">
              <w:t>WTG communication systems may include: TCP/IP network, Ethernet, fibre</w:t>
            </w:r>
            <w:r w:rsidRPr="002F2516">
              <w:t xml:space="preserve"> optic, wireless, Fieldbus (IEC 61158), FASTBUS (IEEE 960-1986), CANCOMM, HART communication protocol, PROFIBUS, internet and hard wired.</w:t>
            </w:r>
          </w:p>
          <w:p w:rsidR="00000000" w:rsidRPr="002F2516" w:rsidP="002F2516">
            <w:pPr>
              <w:pStyle w:val="BodyText"/>
            </w:pPr>
            <w:r w:rsidRPr="002F2516">
              <w:t>WTG control systems may include one or a combination of: electronic systems, distributive control systems, SCADA, elec</w:t>
            </w:r>
            <w:r w:rsidRPr="002F2516">
              <w:t>trical systems, pneumatic systems, hydraulic systems, mechanical systems and PLC systems.</w:t>
            </w:r>
          </w:p>
          <w:p w:rsidR="00000000" w:rsidRPr="002F2516" w:rsidP="002F2516">
            <w:pPr>
              <w:pStyle w:val="BodyText"/>
            </w:pPr>
            <w:r w:rsidRPr="002F2516">
              <w:t>Equipment and components  may include: circuit boards, circuit breakers, transformers, rectifiers, , inverters, pressure sensors, power factor correction circuitry, r</w:t>
            </w:r>
            <w:r w:rsidRPr="002F2516">
              <w:t>esistors, electric motors, control cabinets, protection equipment, transmitters, switches, temperature sensors, indicators, meters, proximity switches, encoders, resolvers, thyristors, fire detectors, smoke detectors and vibration sensors, fibre optic cabl</w:t>
            </w:r>
            <w:r w:rsidRPr="002F2516">
              <w:t>es, Category 5 and 6 communication cables, wireless transmitters and receivers fuses, circuit breakers, timers, contactors, contacts, coils, relays, inductors, capacitors, bridge rectifiers, diodes, heat sinks, solenoids, overloads, plug in printed circuit</w:t>
            </w:r>
            <w:r w:rsidRPr="002F2516">
              <w:t xml:space="preserve"> boards, switches, plugs, cables and thermistors.</w:t>
            </w:r>
          </w:p>
          <w:p w:rsidR="00000000" w:rsidRPr="002F2516" w:rsidP="002F2516">
            <w:pPr>
              <w:pStyle w:val="BodyText"/>
            </w:pPr>
            <w:r w:rsidRPr="002F2516">
              <w:t>Fixed wiring tests can refer to: voltage, resistance, current, polarity, loop impedance, insulation resistance and continuity tests.</w:t>
            </w:r>
          </w:p>
          <w:p w:rsidR="00000000" w:rsidRPr="002F2516" w:rsidP="002F2516">
            <w:pPr>
              <w:pStyle w:val="BodyText"/>
            </w:pPr>
            <w:r w:rsidRPr="002F2516">
              <w:t>Materials may refer to: insulation tapes, heat shrink, sleeving, spiral b</w:t>
            </w:r>
            <w:r w:rsidRPr="002F2516">
              <w:t>inding, cable ties, solder, lubricants, oil, greases, and sealants, cleaning chemicals, lugs, connectors, terminal blocks, cable markers and identification labels.</w:t>
            </w:r>
          </w:p>
          <w:p w:rsidR="00000000" w:rsidRPr="002F2516" w:rsidP="002F2516">
            <w:pPr>
              <w:pStyle w:val="BodyText"/>
            </w:pPr>
            <w:r w:rsidRPr="002F2516">
              <w:t>Tools, equipment and test and measurement instruments may include: multimeter, frequency cou</w:t>
            </w:r>
            <w:r w:rsidRPr="002F2516">
              <w:t>nter, frequency generator, hand tools, power tools, lifting equipment, laser alignment tools and specialised test equipment.</w:t>
            </w:r>
          </w:p>
          <w:p w:rsidR="00000000" w:rsidRPr="002F2516" w:rsidP="002F2516">
            <w:pPr>
              <w:pStyle w:val="BodyText"/>
            </w:pPr>
            <w:r w:rsidRPr="002F2516">
              <w:t>Fault indicators may include: self test systems, software logs, indication lamps, alarms and flag relays.</w:t>
            </w:r>
          </w:p>
          <w:p w:rsidR="00000000" w:rsidRPr="002F2516" w:rsidP="002F2516">
            <w:pPr>
              <w:pStyle w:val="BodyText"/>
            </w:pPr>
            <w:r w:rsidRPr="002F2516">
              <w:t xml:space="preserve">Setup and calibrate may include loading software, setting parameters, energising components, checking tension, checking alignments, calibrating brakes, setting north points, terminating cables, cleaning, removal of packaging, filling automatic lubrication </w:t>
            </w:r>
            <w:r w:rsidRPr="002F2516">
              <w:t xml:space="preserve">systems </w:t>
            </w:r>
          </w:p>
          <w:p w:rsidR="00000000" w:rsidRPr="002F2516" w:rsidP="002F2516">
            <w:pPr>
              <w:pStyle w:val="BodyText"/>
            </w:pPr>
            <w:r w:rsidRPr="002F2516">
              <w:t xml:space="preserve">Work may be performed in service or out of service.  </w:t>
            </w:r>
          </w:p>
          <w:p w:rsidR="00000000" w:rsidRPr="002F2516" w:rsidP="002F2516">
            <w:pPr>
              <w:pStyle w:val="BodyText"/>
            </w:pPr>
            <w:r w:rsidRPr="002F2516">
              <w:t xml:space="preserve">Work completion details may include: plant and maintenance records, warranty </w:t>
            </w:r>
            <w:r w:rsidRPr="002F2516">
              <w:t>documents job cards, check sheets, punch lists and on device labelling updates.</w:t>
            </w:r>
          </w:p>
          <w:p w:rsidR="00000000" w:rsidRPr="002F2516" w:rsidP="002F2516">
            <w:pPr>
              <w:pStyle w:val="BodyText"/>
            </w:pPr>
            <w:r w:rsidRPr="002F2516">
              <w:t>Work site environment may be affecte</w:t>
            </w:r>
            <w:r w:rsidRPr="002F2516">
              <w:t>d by weather or nearby animals, plant or processes, eg heat, noise, dust, oil, cattle, farm animals, native animals, snakes, water, height and chemicals.</w:t>
            </w:r>
          </w:p>
          <w:p w:rsidR="00000000" w:rsidRPr="002F2516" w:rsidP="002F2516">
            <w:pPr>
              <w:pStyle w:val="BodyText"/>
            </w:pPr>
            <w:r w:rsidRPr="002F2516">
              <w:t>Isolations can refer to electrical, mechanical or other associated processes.</w:t>
            </w:r>
          </w:p>
          <w:p w:rsidR="00000000" w:rsidRPr="002F2516" w:rsidP="002F2516">
            <w:pPr>
              <w:pStyle w:val="BodyText"/>
            </w:pPr>
            <w:r w:rsidRPr="002F2516">
              <w:t>Large Scale Wind Generat</w:t>
            </w:r>
            <w:r w:rsidRPr="002F2516">
              <w:t>ors (WTGs) include systems having a rating of greater than 10 kW</w:t>
            </w:r>
          </w:p>
          <w:p w:rsidR="00000000" w:rsidRPr="002F2516" w:rsidP="002F2516">
            <w:pPr>
              <w:pStyle w:val="BodyText"/>
            </w:pPr>
            <w:r w:rsidRPr="002F2516">
              <w:t>Generic terms are used throughout this Training Package for vocational standard shall be regarded as part of the Range Statement in which competency is demonstrated. The definition of these a</w:t>
            </w:r>
            <w:r w:rsidRPr="002F2516">
              <w:t>nd other terms are given in  Section 2.1 Preliminary Information and Glossaries.</w:t>
            </w:r>
          </w:p>
        </w:tc>
      </w:tr>
    </w:tbl>
    <w:p w:rsidR="00000000" w:rsidRPr="002F2516" w:rsidP="002F2516">
      <w:pPr>
        <w:pStyle w:val="BodyText"/>
      </w:pPr>
    </w:p>
    <w:p w:rsidR="00000000" w:rsidRPr="002F2516" w:rsidP="002F2516">
      <w:pPr>
        <w:pStyle w:val="AllowPageBreak"/>
      </w:pPr>
    </w:p>
    <w:p w:rsidR="00000000" w:rsidRPr="002F2516" w:rsidP="002F2516">
      <w:pPr>
        <w:pStyle w:val="Heading1"/>
      </w:pPr>
      <w:bookmarkStart w:id="12" w:name="O_505827"/>
      <w:bookmarkEnd w:id="12"/>
      <w:r w:rsidRPr="002F2516">
        <w:t>Unit Sector(s)</w:t>
      </w:r>
    </w:p>
    <w:p w:rsidR="00000000" w:rsidRPr="002F2516" w:rsidP="002F2516">
      <w:pPr>
        <w:pStyle w:val="BodyText"/>
      </w:pPr>
      <w:r w:rsidRPr="002F2516">
        <w:t>Not applicable.</w:t>
      </w:r>
    </w:p>
    <w:p w:rsidR="00000000" w:rsidRPr="002F2516" w:rsidP="002F2516">
      <w:pPr>
        <w:pStyle w:val="AllowPageBreak"/>
      </w:pPr>
    </w:p>
    <w:p w:rsidR="00000000" w:rsidRPr="002F2516" w:rsidP="002F2516">
      <w:pPr>
        <w:pStyle w:val="Heading1"/>
      </w:pPr>
      <w:bookmarkStart w:id="13" w:name="O_505816"/>
      <w:bookmarkEnd w:id="13"/>
      <w:r w:rsidRPr="002F2516">
        <w:t>Competency Field</w:t>
      </w:r>
    </w:p>
    <w:tbl>
      <w:tblPr>
        <w:tblW w:w="0" w:type="auto"/>
        <w:tblLayout w:type="fixed"/>
        <w:tblCellMar>
          <w:left w:w="62" w:type="dxa"/>
          <w:right w:w="62" w:type="dxa"/>
        </w:tblCellMar>
        <w:tblLook w:val="0000"/>
      </w:tblPr>
      <w:tblGrid>
        <w:gridCol w:w="2700"/>
        <w:gridCol w:w="5760"/>
      </w:tblGrid>
      <w:tr w:rsidTr="00B867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F2516">
            <w:pPr>
              <w:pStyle w:val="BodyText"/>
              <w:rPr>
                <w:lang w:val="en-NZ"/>
              </w:rPr>
            </w:pPr>
            <w:r w:rsidRPr="002F2516">
              <w:rPr>
                <w:rStyle w:val="SpecialBold"/>
              </w:rPr>
              <w:t xml:space="preserve">11) </w:t>
            </w:r>
          </w:p>
        </w:tc>
      </w:tr>
      <w:tr w:rsidTr="00B86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2516" w:rsidP="002F2516">
            <w:pPr>
              <w:pStyle w:val="BodyText"/>
            </w:pPr>
            <w:r w:rsidRPr="002F2516">
              <w:t>Maintenance</w:t>
            </w:r>
          </w:p>
        </w:tc>
      </w:tr>
    </w:tbl>
    <w:p w:rsidR="00000000" w:rsidRPr="002F2516" w:rsidP="002F2516">
      <w:pPr>
        <w:pStyle w:val="BodyText"/>
      </w:pPr>
    </w:p>
    <w:p w:rsidR="00000000" w:rsidRPr="002F2516" w:rsidP="002F2516"/>
    <w:sectPr w:rsidSect="002F25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16" w:rsidRPr="00B86714" w:rsidP="00B867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14" w:rsidP="002F25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86714" w:rsidP="002F25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B86714" w:rsidP="002F25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16" w:rsidRPr="00B86714" w:rsidP="00B867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14" w:rsidRPr="002D2AF8" w:rsidP="002F2516">
    <w:pPr>
      <w:pStyle w:val="Header"/>
      <w:framePr w:wrap="around"/>
    </w:pPr>
    <w:r>
      <w:fldChar w:fldCharType="begin"/>
    </w:r>
    <w:r>
      <w:instrText xml:space="preserve"> TITLE   \* MERGEFORMAT </w:instrText>
    </w:r>
    <w:r>
      <w:fldChar w:fldCharType="separate"/>
    </w:r>
    <w:r>
      <w:t>UEPMNT450A Test and commission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B86714" w:rsidP="002F25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3EA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4E4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108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5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516"/>
    <w:pPr>
      <w:spacing w:before="360" w:after="60"/>
      <w:outlineLvl w:val="0"/>
    </w:pPr>
    <w:rPr>
      <w:sz w:val="32"/>
    </w:rPr>
  </w:style>
  <w:style w:type="paragraph" w:styleId="Heading2">
    <w:name w:val="heading 2"/>
    <w:basedOn w:val="HeadingBase"/>
    <w:next w:val="BodyText"/>
    <w:link w:val="Heading2Char"/>
    <w:qFormat/>
    <w:rsid w:val="002F2516"/>
    <w:pPr>
      <w:keepLines/>
      <w:spacing w:before="240" w:after="120"/>
      <w:outlineLvl w:val="1"/>
    </w:pPr>
    <w:rPr>
      <w:sz w:val="28"/>
      <w:szCs w:val="40"/>
    </w:rPr>
  </w:style>
  <w:style w:type="paragraph" w:styleId="Heading3">
    <w:name w:val="heading 3"/>
    <w:basedOn w:val="HeadingBase"/>
    <w:next w:val="BodyText"/>
    <w:link w:val="Heading3Char"/>
    <w:qFormat/>
    <w:rsid w:val="002F2516"/>
    <w:pPr>
      <w:spacing w:before="180" w:after="120"/>
      <w:outlineLvl w:val="2"/>
    </w:pPr>
    <w:rPr>
      <w:spacing w:val="-10"/>
      <w:kern w:val="32"/>
    </w:rPr>
  </w:style>
  <w:style w:type="paragraph" w:styleId="Heading4">
    <w:name w:val="heading 4"/>
    <w:basedOn w:val="HeadingBase"/>
    <w:next w:val="BodyText"/>
    <w:link w:val="Heading4Char"/>
    <w:qFormat/>
    <w:rsid w:val="002F2516"/>
    <w:pPr>
      <w:spacing w:before="160" w:after="120"/>
      <w:outlineLvl w:val="3"/>
    </w:pPr>
    <w:rPr>
      <w:sz w:val="22"/>
    </w:rPr>
  </w:style>
  <w:style w:type="paragraph" w:styleId="Heading5">
    <w:name w:val="heading 5"/>
    <w:basedOn w:val="HeadingBase"/>
    <w:next w:val="Normal"/>
    <w:link w:val="Heading5Char"/>
    <w:qFormat/>
    <w:rsid w:val="002F2516"/>
    <w:pPr>
      <w:spacing w:before="80"/>
      <w:outlineLvl w:val="4"/>
    </w:pPr>
    <w:rPr>
      <w:color w:val="918585"/>
      <w:sz w:val="20"/>
    </w:rPr>
  </w:style>
  <w:style w:type="paragraph" w:styleId="Heading6">
    <w:name w:val="heading 6"/>
    <w:basedOn w:val="HeadingBase"/>
    <w:next w:val="Normal"/>
    <w:link w:val="Heading6Char"/>
    <w:qFormat/>
    <w:rsid w:val="002F2516"/>
    <w:pPr>
      <w:spacing w:before="60"/>
      <w:outlineLvl w:val="5"/>
    </w:pPr>
    <w:rPr>
      <w:color w:val="918585"/>
      <w:sz w:val="20"/>
    </w:rPr>
  </w:style>
  <w:style w:type="paragraph" w:styleId="Heading7">
    <w:name w:val="heading 7"/>
    <w:basedOn w:val="Normal"/>
    <w:next w:val="Normal"/>
    <w:link w:val="Heading7Char"/>
    <w:qFormat/>
    <w:rsid w:val="002F2516"/>
    <w:pPr>
      <w:ind w:left="720"/>
      <w:outlineLvl w:val="6"/>
    </w:pPr>
    <w:rPr>
      <w:i/>
    </w:rPr>
  </w:style>
  <w:style w:type="paragraph" w:styleId="Heading8">
    <w:name w:val="heading 8"/>
    <w:basedOn w:val="Normal"/>
    <w:next w:val="Normal"/>
    <w:link w:val="Heading8Char"/>
    <w:qFormat/>
    <w:rsid w:val="002F2516"/>
    <w:pPr>
      <w:ind w:left="720"/>
      <w:outlineLvl w:val="7"/>
    </w:pPr>
    <w:rPr>
      <w:i/>
    </w:rPr>
  </w:style>
  <w:style w:type="paragraph" w:styleId="Heading9">
    <w:name w:val="heading 9"/>
    <w:basedOn w:val="Normal"/>
    <w:next w:val="Normal"/>
    <w:link w:val="Heading9Char"/>
    <w:qFormat/>
    <w:rsid w:val="002F2516"/>
    <w:pPr>
      <w:ind w:left="720"/>
      <w:outlineLvl w:val="8"/>
    </w:pPr>
    <w:rPr>
      <w:i/>
    </w:rPr>
  </w:style>
  <w:style w:type="character" w:default="1" w:styleId="DefaultParagraphFont">
    <w:name w:val="Default Paragraph Font"/>
    <w:uiPriority w:val="1"/>
    <w:unhideWhenUsed/>
    <w:rsid w:val="002F2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516"/>
  </w:style>
  <w:style w:type="character" w:customStyle="1" w:styleId="Heading1Char">
    <w:name w:val="Heading 1 Char"/>
    <w:basedOn w:val="DefaultParagraphFont"/>
    <w:link w:val="Heading1"/>
    <w:rsid w:val="002F2516"/>
    <w:rPr>
      <w:rFonts w:ascii="Times New Roman" w:eastAsia="Times New Roman" w:hAnsi="Times New Roman" w:cs="Times New Roman"/>
      <w:b/>
      <w:sz w:val="32"/>
      <w:szCs w:val="20"/>
      <w:lang w:eastAsia="en-US"/>
    </w:rPr>
  </w:style>
  <w:style w:type="paragraph" w:styleId="BodyText">
    <w:name w:val="Body Text"/>
    <w:basedOn w:val="Normal"/>
    <w:link w:val="BodyTextChar"/>
    <w:rsid w:val="002F25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516"/>
    <w:rPr>
      <w:rFonts w:ascii="Times New Roman" w:eastAsia="Times New Roman" w:hAnsi="Times New Roman" w:cs="Times New Roman"/>
      <w:sz w:val="24"/>
      <w:lang w:eastAsia="en-US"/>
    </w:rPr>
  </w:style>
  <w:style w:type="paragraph" w:styleId="ListBullet">
    <w:name w:val="List Bullet"/>
    <w:basedOn w:val="List"/>
    <w:rsid w:val="002F2516"/>
    <w:pPr>
      <w:numPr>
        <w:numId w:val="13"/>
      </w:numPr>
      <w:tabs>
        <w:tab w:val="clear" w:pos="340"/>
      </w:tabs>
      <w:spacing w:before="40" w:after="40"/>
    </w:pPr>
  </w:style>
  <w:style w:type="character" w:customStyle="1" w:styleId="SpecialBold">
    <w:name w:val="Special Bold"/>
    <w:basedOn w:val="DefaultParagraphFont"/>
    <w:rsid w:val="002F2516"/>
    <w:rPr>
      <w:b/>
      <w:spacing w:val="0"/>
    </w:rPr>
  </w:style>
  <w:style w:type="paragraph" w:styleId="ListBullet2">
    <w:name w:val="List Bullet 2"/>
    <w:basedOn w:val="List2"/>
    <w:rsid w:val="002F2516"/>
    <w:pPr>
      <w:numPr>
        <w:numId w:val="14"/>
      </w:numPr>
      <w:tabs>
        <w:tab w:val="clear" w:pos="680"/>
      </w:tabs>
    </w:pPr>
  </w:style>
  <w:style w:type="paragraph" w:customStyle="1" w:styleId="SuperHeading">
    <w:name w:val="SuperHeading"/>
    <w:basedOn w:val="Normal"/>
    <w:rsid w:val="002F2516"/>
    <w:pPr>
      <w:spacing w:before="240" w:after="120"/>
      <w:outlineLvl w:val="0"/>
    </w:pPr>
    <w:rPr>
      <w:rFonts w:ascii="Times New Roman" w:hAnsi="Times New Roman"/>
      <w:b/>
      <w:sz w:val="32"/>
    </w:rPr>
  </w:style>
  <w:style w:type="paragraph" w:customStyle="1" w:styleId="AllowPageBreak">
    <w:name w:val="AllowPageBreak"/>
    <w:rsid w:val="002F25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5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5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5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5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516"/>
    <w:rPr>
      <w:rFonts w:ascii="Courier New" w:eastAsia="Times New Roman" w:hAnsi="Courier New" w:cs="Times New Roman"/>
      <w:i/>
      <w:szCs w:val="20"/>
      <w:lang w:eastAsia="en-US"/>
    </w:rPr>
  </w:style>
  <w:style w:type="paragraph" w:customStyle="1" w:styleId="HeadingBase">
    <w:name w:val="Heading Base"/>
    <w:rsid w:val="002F2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516"/>
    <w:pPr>
      <w:tabs>
        <w:tab w:val="right" w:leader="dot" w:pos="9072"/>
      </w:tabs>
      <w:ind w:left="567"/>
    </w:pPr>
    <w:rPr>
      <w:szCs w:val="22"/>
    </w:rPr>
  </w:style>
  <w:style w:type="paragraph" w:customStyle="1" w:styleId="TOCBase">
    <w:name w:val="TOC Base"/>
    <w:rsid w:val="002F2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516"/>
    <w:pPr>
      <w:tabs>
        <w:tab w:val="right" w:leader="dot" w:pos="9072"/>
      </w:tabs>
      <w:spacing w:before="40" w:after="40"/>
      <w:ind w:left="284"/>
    </w:pPr>
    <w:rPr>
      <w:rFonts w:ascii="Times New Roman" w:hAnsi="Times New Roman"/>
    </w:rPr>
  </w:style>
  <w:style w:type="paragraph" w:styleId="TOC1">
    <w:name w:val="toc 1"/>
    <w:basedOn w:val="TOCBase"/>
    <w:next w:val="Normal"/>
    <w:rsid w:val="002F25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516"/>
    <w:rPr>
      <w:rFonts w:ascii="Times New Roman" w:eastAsia="Times New Roman" w:hAnsi="Times New Roman" w:cs="Times New Roman"/>
      <w:sz w:val="16"/>
      <w:lang w:eastAsia="en-US"/>
    </w:rPr>
  </w:style>
  <w:style w:type="paragraph" w:styleId="Title">
    <w:name w:val="Title"/>
    <w:basedOn w:val="HeadingBase"/>
    <w:link w:val="TitleChar"/>
    <w:qFormat/>
    <w:rsid w:val="002F2516"/>
    <w:pPr>
      <w:spacing w:before="5040"/>
      <w:jc w:val="center"/>
    </w:pPr>
    <w:rPr>
      <w:sz w:val="48"/>
      <w:szCs w:val="72"/>
      <w:lang w:val="en-US"/>
    </w:rPr>
  </w:style>
  <w:style w:type="character" w:customStyle="1" w:styleId="TitleChar">
    <w:name w:val="Title Char"/>
    <w:basedOn w:val="DefaultParagraphFont"/>
    <w:link w:val="Title"/>
    <w:rsid w:val="002F2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516"/>
    <w:pPr>
      <w:tabs>
        <w:tab w:val="left" w:pos="3600"/>
        <w:tab w:val="left" w:pos="3958"/>
      </w:tabs>
    </w:pPr>
  </w:style>
  <w:style w:type="paragraph" w:styleId="List">
    <w:name w:val="List"/>
    <w:basedOn w:val="BodyText"/>
    <w:next w:val="BodyText"/>
    <w:rsid w:val="002F2516"/>
    <w:pPr>
      <w:tabs>
        <w:tab w:val="left" w:pos="340"/>
      </w:tabs>
      <w:spacing w:before="60" w:after="60"/>
      <w:ind w:left="340" w:hanging="340"/>
    </w:pPr>
  </w:style>
  <w:style w:type="paragraph" w:customStyle="1" w:styleId="Note">
    <w:name w:val="Note"/>
    <w:basedOn w:val="BodyText"/>
    <w:rsid w:val="002F2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516"/>
    <w:pPr>
      <w:framePr w:wrap="auto" w:hAnchor="text" w:y="6049"/>
    </w:pPr>
    <w:rPr>
      <w:color w:val="000000"/>
      <w:sz w:val="40"/>
    </w:rPr>
  </w:style>
  <w:style w:type="paragraph" w:customStyle="1" w:styleId="TOCTitle">
    <w:name w:val="TOCTitle"/>
    <w:basedOn w:val="Heading1"/>
    <w:rsid w:val="002F2516"/>
    <w:pPr>
      <w:spacing w:after="240"/>
      <w:jc w:val="center"/>
      <w:outlineLvl w:val="9"/>
    </w:pPr>
    <w:rPr>
      <w:caps/>
    </w:rPr>
  </w:style>
  <w:style w:type="paragraph" w:customStyle="1" w:styleId="Version">
    <w:name w:val="Version"/>
    <w:rsid w:val="002F25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516"/>
    <w:pPr>
      <w:keepNext w:val="0"/>
      <w:tabs>
        <w:tab w:val="right" w:pos="4176"/>
      </w:tabs>
      <w:ind w:left="198" w:hanging="198"/>
    </w:pPr>
    <w:rPr>
      <w:rFonts w:ascii="Garamond" w:hAnsi="Garamond"/>
    </w:rPr>
  </w:style>
  <w:style w:type="paragraph" w:styleId="IndexHeading">
    <w:name w:val="index heading"/>
    <w:basedOn w:val="Normal"/>
    <w:next w:val="Index1"/>
    <w:semiHidden/>
    <w:rsid w:val="002F2516"/>
    <w:pPr>
      <w:spacing w:before="120" w:after="120"/>
    </w:pPr>
    <w:rPr>
      <w:rFonts w:ascii="Arial" w:hAnsi="Arial"/>
      <w:b/>
      <w:color w:val="918585"/>
      <w:sz w:val="24"/>
    </w:rPr>
  </w:style>
  <w:style w:type="paragraph" w:styleId="Header">
    <w:name w:val="header"/>
    <w:basedOn w:val="Normal"/>
    <w:link w:val="HeaderChar"/>
    <w:rsid w:val="002F2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516"/>
    <w:rPr>
      <w:rFonts w:ascii="Times New Roman" w:eastAsia="Times New Roman" w:hAnsi="Times New Roman" w:cs="Times New Roman"/>
      <w:sz w:val="16"/>
      <w:szCs w:val="20"/>
      <w:lang w:val="en-GB" w:eastAsia="en-US"/>
    </w:rPr>
  </w:style>
  <w:style w:type="paragraph" w:customStyle="1" w:styleId="Chapter">
    <w:name w:val="Chapter"/>
    <w:basedOn w:val="Normal"/>
    <w:rsid w:val="002F2516"/>
    <w:pPr>
      <w:spacing w:before="240"/>
    </w:pPr>
    <w:rPr>
      <w:rFonts w:ascii="Times New Roman" w:hAnsi="Times New Roman"/>
      <w:smallCaps/>
      <w:spacing w:val="80"/>
      <w:sz w:val="28"/>
    </w:rPr>
  </w:style>
  <w:style w:type="paragraph" w:customStyle="1" w:styleId="InChapter">
    <w:name w:val="InChapter"/>
    <w:basedOn w:val="Heading3"/>
    <w:rsid w:val="002F2516"/>
    <w:pPr>
      <w:spacing w:after="240"/>
      <w:outlineLvl w:val="9"/>
    </w:pPr>
    <w:rPr>
      <w:noProof/>
    </w:rPr>
  </w:style>
  <w:style w:type="paragraph" w:styleId="Index2">
    <w:name w:val="index 2"/>
    <w:basedOn w:val="Normal"/>
    <w:next w:val="Normal"/>
    <w:semiHidden/>
    <w:rsid w:val="002F2516"/>
    <w:pPr>
      <w:tabs>
        <w:tab w:val="right" w:pos="4176"/>
      </w:tabs>
      <w:ind w:left="568" w:hanging="284"/>
    </w:pPr>
    <w:rPr>
      <w:rFonts w:ascii="Garamond" w:hAnsi="Garamond"/>
    </w:rPr>
  </w:style>
  <w:style w:type="paragraph" w:customStyle="1" w:styleId="Byline">
    <w:name w:val="Byline"/>
    <w:rsid w:val="002F2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516"/>
    <w:pPr>
      <w:tabs>
        <w:tab w:val="clear" w:pos="3600"/>
        <w:tab w:val="clear" w:pos="3958"/>
      </w:tabs>
      <w:jc w:val="right"/>
    </w:pPr>
  </w:style>
  <w:style w:type="character" w:styleId="Emphasis">
    <w:name w:val="Emphasis"/>
    <w:basedOn w:val="DefaultParagraphFont"/>
    <w:qFormat/>
    <w:rsid w:val="002F2516"/>
    <w:rPr>
      <w:i/>
    </w:rPr>
  </w:style>
  <w:style w:type="paragraph" w:styleId="Caption">
    <w:name w:val="caption"/>
    <w:basedOn w:val="BodyText"/>
    <w:next w:val="Normal"/>
    <w:qFormat/>
    <w:rsid w:val="002F2516"/>
    <w:pPr>
      <w:framePr w:w="2268" w:hSpace="181" w:vSpace="181" w:wrap="around" w:vAnchor="text" w:hAnchor="page" w:x="1135" w:y="285" w:anchorLock="1"/>
    </w:pPr>
    <w:rPr>
      <w:i/>
    </w:rPr>
  </w:style>
  <w:style w:type="paragraph" w:customStyle="1" w:styleId="MiniTOCTitle">
    <w:name w:val="MiniTOCTitle"/>
    <w:basedOn w:val="Heading4"/>
    <w:rsid w:val="002F2516"/>
    <w:pPr>
      <w:spacing w:before="240"/>
      <w:outlineLvl w:val="9"/>
    </w:pPr>
    <w:rPr>
      <w:noProof/>
      <w:sz w:val="24"/>
    </w:rPr>
  </w:style>
  <w:style w:type="paragraph" w:customStyle="1" w:styleId="MiniTOCItem">
    <w:name w:val="MiniTOCItem"/>
    <w:basedOn w:val="ListBullet"/>
    <w:rsid w:val="002F2516"/>
    <w:pPr>
      <w:numPr>
        <w:numId w:val="0"/>
      </w:numPr>
      <w:tabs>
        <w:tab w:val="right" w:leader="dot" w:pos="6521"/>
      </w:tabs>
      <w:spacing w:before="0" w:after="0"/>
    </w:pPr>
  </w:style>
  <w:style w:type="paragraph" w:customStyle="1" w:styleId="TOFTitle">
    <w:name w:val="TOFTitle"/>
    <w:basedOn w:val="TOCTitle"/>
    <w:rsid w:val="002F2516"/>
  </w:style>
  <w:style w:type="paragraph" w:styleId="TableofFigures">
    <w:name w:val="table of figures"/>
    <w:basedOn w:val="Normal"/>
    <w:next w:val="Normal"/>
    <w:semiHidden/>
    <w:rsid w:val="002F2516"/>
    <w:pPr>
      <w:tabs>
        <w:tab w:val="right" w:leader="dot" w:pos="9072"/>
      </w:tabs>
      <w:ind w:left="970" w:hanging="403"/>
    </w:pPr>
    <w:rPr>
      <w:rFonts w:ascii="Times New Roman" w:hAnsi="Times New Roman"/>
      <w:b/>
    </w:rPr>
  </w:style>
  <w:style w:type="paragraph" w:styleId="ListNumber">
    <w:name w:val="List Number"/>
    <w:basedOn w:val="List"/>
    <w:rsid w:val="002F2516"/>
    <w:pPr>
      <w:numPr>
        <w:numId w:val="11"/>
      </w:numPr>
    </w:pPr>
  </w:style>
  <w:style w:type="character" w:customStyle="1" w:styleId="WingdingSymbols">
    <w:name w:val="Wingding Symbols"/>
    <w:rsid w:val="002F2516"/>
    <w:rPr>
      <w:rFonts w:ascii="Wingdings" w:hAnsi="Wingdings"/>
    </w:rPr>
  </w:style>
  <w:style w:type="paragraph" w:customStyle="1" w:styleId="TableHeading">
    <w:name w:val="Table Heading"/>
    <w:basedOn w:val="HeadingBase"/>
    <w:rsid w:val="002F2516"/>
    <w:pPr>
      <w:keepLines/>
      <w:pBdr>
        <w:bottom w:val="single" w:sz="6" w:space="1" w:color="918585"/>
      </w:pBdr>
      <w:spacing w:before="240"/>
    </w:pPr>
  </w:style>
  <w:style w:type="character" w:customStyle="1" w:styleId="HotSpot">
    <w:name w:val="HotSpot"/>
    <w:rsid w:val="002F2516"/>
    <w:rPr>
      <w:color w:val="0033CC"/>
      <w:u w:val="none"/>
    </w:rPr>
  </w:style>
  <w:style w:type="paragraph" w:customStyle="1" w:styleId="BodyTextRight">
    <w:name w:val="Body Text Right"/>
    <w:basedOn w:val="BodyText"/>
    <w:rsid w:val="002F2516"/>
    <w:pPr>
      <w:spacing w:before="0" w:after="0"/>
      <w:jc w:val="right"/>
    </w:pPr>
  </w:style>
  <w:style w:type="paragraph" w:styleId="Index3">
    <w:name w:val="index 3"/>
    <w:basedOn w:val="ListNumber2"/>
    <w:next w:val="Normal"/>
    <w:semiHidden/>
    <w:rsid w:val="002F2516"/>
    <w:pPr>
      <w:numPr>
        <w:numId w:val="0"/>
      </w:numPr>
      <w:tabs>
        <w:tab w:val="right" w:leader="dot" w:pos="4176"/>
      </w:tabs>
    </w:pPr>
  </w:style>
  <w:style w:type="paragraph" w:styleId="ListNumber2">
    <w:name w:val="List Number 2"/>
    <w:basedOn w:val="List2"/>
    <w:rsid w:val="002F2516"/>
    <w:pPr>
      <w:numPr>
        <w:numId w:val="10"/>
      </w:numPr>
      <w:tabs>
        <w:tab w:val="clear" w:pos="1060"/>
      </w:tabs>
    </w:pPr>
  </w:style>
  <w:style w:type="paragraph" w:customStyle="1" w:styleId="MarginNote">
    <w:name w:val="Margin Note"/>
    <w:basedOn w:val="BodyText"/>
    <w:rsid w:val="002F2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5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516"/>
    <w:rPr>
      <w:sz w:val="32"/>
    </w:rPr>
  </w:style>
  <w:style w:type="paragraph" w:customStyle="1" w:styleId="HeadingProcedure">
    <w:name w:val="Heading Procedure"/>
    <w:basedOn w:val="HeadingBase"/>
    <w:next w:val="Normal"/>
    <w:rsid w:val="002F2516"/>
    <w:pPr>
      <w:tabs>
        <w:tab w:val="left" w:pos="0"/>
      </w:tabs>
      <w:spacing w:before="120" w:after="60"/>
    </w:pPr>
    <w:rPr>
      <w:i/>
      <w:color w:val="918585"/>
      <w:sz w:val="22"/>
    </w:rPr>
  </w:style>
  <w:style w:type="paragraph" w:customStyle="1" w:styleId="TableBodyText">
    <w:name w:val="Table Body Text"/>
    <w:basedOn w:val="BodyText"/>
    <w:rsid w:val="002F2516"/>
    <w:pPr>
      <w:spacing w:before="60" w:after="60"/>
    </w:pPr>
  </w:style>
  <w:style w:type="paragraph" w:styleId="ListContinue">
    <w:name w:val="List Continue"/>
    <w:basedOn w:val="List"/>
    <w:rsid w:val="002F2516"/>
    <w:pPr>
      <w:ind w:firstLine="0"/>
    </w:pPr>
  </w:style>
  <w:style w:type="paragraph" w:customStyle="1" w:styleId="ListNote">
    <w:name w:val="List Note"/>
    <w:basedOn w:val="List"/>
    <w:rsid w:val="002F2516"/>
    <w:pPr>
      <w:pBdr>
        <w:top w:val="single" w:sz="6" w:space="2" w:color="918585"/>
        <w:bottom w:val="single" w:sz="6" w:space="2" w:color="918585"/>
      </w:pBdr>
      <w:tabs>
        <w:tab w:val="left" w:pos="1021"/>
      </w:tabs>
      <w:ind w:firstLine="0"/>
    </w:pPr>
  </w:style>
  <w:style w:type="paragraph" w:customStyle="1" w:styleId="Warning">
    <w:name w:val="Warning"/>
    <w:basedOn w:val="BodyText"/>
    <w:rsid w:val="002F2516"/>
    <w:pPr>
      <w:shd w:val="clear" w:color="auto" w:fill="D9D9D9"/>
      <w:tabs>
        <w:tab w:val="left" w:pos="992"/>
      </w:tabs>
      <w:ind w:left="119" w:right="119"/>
    </w:pPr>
    <w:rPr>
      <w:sz w:val="20"/>
    </w:rPr>
  </w:style>
  <w:style w:type="paragraph" w:customStyle="1" w:styleId="MarginIcons">
    <w:name w:val="Margin Icons"/>
    <w:basedOn w:val="BodyText"/>
    <w:rsid w:val="002F2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516"/>
    <w:rPr>
      <w:rFonts w:ascii="Courier New" w:hAnsi="Courier New"/>
    </w:rPr>
  </w:style>
  <w:style w:type="paragraph" w:customStyle="1" w:styleId="NoteBullet">
    <w:name w:val="Note Bullet"/>
    <w:basedOn w:val="Note"/>
    <w:rsid w:val="002F2516"/>
    <w:pPr>
      <w:tabs>
        <w:tab w:val="clear" w:pos="680"/>
      </w:tabs>
      <w:spacing w:before="60" w:after="60"/>
    </w:pPr>
  </w:style>
  <w:style w:type="paragraph" w:customStyle="1" w:styleId="SubHeading2">
    <w:name w:val="SubHeading2"/>
    <w:basedOn w:val="HeadingBase"/>
    <w:rsid w:val="002F2516"/>
    <w:pPr>
      <w:spacing w:before="240" w:after="60"/>
    </w:pPr>
    <w:rPr>
      <w:sz w:val="20"/>
    </w:rPr>
  </w:style>
  <w:style w:type="paragraph" w:customStyle="1" w:styleId="SubHeading1">
    <w:name w:val="SubHeading1"/>
    <w:basedOn w:val="HeadingBase"/>
    <w:rsid w:val="002F2516"/>
    <w:pPr>
      <w:spacing w:before="240" w:after="60"/>
    </w:pPr>
    <w:rPr>
      <w:color w:val="918585"/>
      <w:sz w:val="22"/>
    </w:rPr>
  </w:style>
  <w:style w:type="paragraph" w:customStyle="1" w:styleId="SideHeading">
    <w:name w:val="Side Heading"/>
    <w:basedOn w:val="HeadingBase"/>
    <w:rsid w:val="002F2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516"/>
    <w:pPr>
      <w:numPr>
        <w:numId w:val="12"/>
      </w:numPr>
    </w:pPr>
  </w:style>
  <w:style w:type="paragraph" w:styleId="PlainText">
    <w:name w:val="Plain Text"/>
    <w:basedOn w:val="Normal"/>
    <w:link w:val="PlainTextChar"/>
    <w:rsid w:val="002F2516"/>
    <w:rPr>
      <w:sz w:val="20"/>
    </w:rPr>
  </w:style>
  <w:style w:type="character" w:customStyle="1" w:styleId="PlainTextChar">
    <w:name w:val="Plain Text Char"/>
    <w:basedOn w:val="DefaultParagraphFont"/>
    <w:link w:val="PlainText"/>
    <w:rsid w:val="002F2516"/>
    <w:rPr>
      <w:rFonts w:ascii="Courier New" w:eastAsia="Times New Roman" w:hAnsi="Courier New" w:cs="Times New Roman"/>
      <w:sz w:val="20"/>
      <w:szCs w:val="20"/>
      <w:lang w:eastAsia="en-US"/>
    </w:rPr>
  </w:style>
  <w:style w:type="character" w:customStyle="1" w:styleId="MenuOption">
    <w:name w:val="Menu Option"/>
    <w:basedOn w:val="DefaultParagraphFont"/>
    <w:rsid w:val="002F2516"/>
    <w:rPr>
      <w:b/>
      <w:smallCaps/>
    </w:rPr>
  </w:style>
  <w:style w:type="paragraph" w:customStyle="1" w:styleId="TableListNumber">
    <w:name w:val="Table List Number"/>
    <w:basedOn w:val="ListNumber"/>
    <w:rsid w:val="002F2516"/>
    <w:pPr>
      <w:numPr>
        <w:numId w:val="0"/>
      </w:numPr>
    </w:pPr>
  </w:style>
  <w:style w:type="paragraph" w:styleId="TOC4">
    <w:name w:val="toc 4"/>
    <w:basedOn w:val="TOCBase"/>
    <w:next w:val="Normal"/>
    <w:semiHidden/>
    <w:rsid w:val="002F2516"/>
    <w:pPr>
      <w:tabs>
        <w:tab w:val="right" w:leader="dot" w:pos="9071"/>
      </w:tabs>
      <w:ind w:left="1701"/>
    </w:pPr>
  </w:style>
  <w:style w:type="paragraph" w:customStyle="1" w:styleId="ListAlpha">
    <w:name w:val="List Alpha"/>
    <w:basedOn w:val="List"/>
    <w:rsid w:val="002F2516"/>
    <w:pPr>
      <w:numPr>
        <w:numId w:val="9"/>
      </w:numPr>
    </w:pPr>
  </w:style>
  <w:style w:type="paragraph" w:customStyle="1" w:styleId="ListAlpha2">
    <w:name w:val="List Alpha 2"/>
    <w:basedOn w:val="List2"/>
    <w:rsid w:val="002F2516"/>
    <w:pPr>
      <w:numPr>
        <w:numId w:val="8"/>
      </w:numPr>
    </w:pPr>
  </w:style>
  <w:style w:type="paragraph" w:styleId="List2">
    <w:name w:val="List 2"/>
    <w:basedOn w:val="BodyText"/>
    <w:rsid w:val="002F2516"/>
    <w:pPr>
      <w:tabs>
        <w:tab w:val="left" w:pos="680"/>
      </w:tabs>
      <w:spacing w:before="60" w:after="60"/>
      <w:ind w:left="680" w:hanging="340"/>
    </w:pPr>
  </w:style>
  <w:style w:type="paragraph" w:styleId="List3">
    <w:name w:val="List 3"/>
    <w:basedOn w:val="BodyText"/>
    <w:rsid w:val="002F2516"/>
    <w:pPr>
      <w:tabs>
        <w:tab w:val="left" w:pos="1021"/>
      </w:tabs>
      <w:spacing w:before="60" w:after="60"/>
      <w:ind w:left="1020" w:hanging="340"/>
    </w:pPr>
  </w:style>
  <w:style w:type="paragraph" w:styleId="List4">
    <w:name w:val="List 4"/>
    <w:basedOn w:val="BodyText"/>
    <w:rsid w:val="002F2516"/>
    <w:pPr>
      <w:tabs>
        <w:tab w:val="left" w:pos="1361"/>
      </w:tabs>
      <w:spacing w:before="60" w:after="60"/>
      <w:ind w:left="1361" w:hanging="340"/>
    </w:pPr>
  </w:style>
  <w:style w:type="paragraph" w:styleId="List5">
    <w:name w:val="List 5"/>
    <w:basedOn w:val="BodyText"/>
    <w:rsid w:val="002F2516"/>
    <w:pPr>
      <w:tabs>
        <w:tab w:val="left" w:pos="1701"/>
      </w:tabs>
      <w:spacing w:before="60" w:after="60"/>
      <w:ind w:left="1701" w:hanging="340"/>
    </w:pPr>
  </w:style>
  <w:style w:type="paragraph" w:styleId="ListBullet3">
    <w:name w:val="List Bullet 3"/>
    <w:basedOn w:val="List3"/>
    <w:rsid w:val="002F2516"/>
    <w:pPr>
      <w:numPr>
        <w:numId w:val="15"/>
      </w:numPr>
      <w:tabs>
        <w:tab w:val="clear" w:pos="1021"/>
      </w:tabs>
      <w:ind w:left="1037" w:hanging="357"/>
    </w:pPr>
  </w:style>
  <w:style w:type="paragraph" w:styleId="ListBullet4">
    <w:name w:val="List Bullet 4"/>
    <w:basedOn w:val="List4"/>
    <w:rsid w:val="002F2516"/>
    <w:pPr>
      <w:numPr>
        <w:numId w:val="3"/>
      </w:numPr>
    </w:pPr>
  </w:style>
  <w:style w:type="paragraph" w:styleId="ListBullet5">
    <w:name w:val="List Bullet 5"/>
    <w:basedOn w:val="List5"/>
    <w:rsid w:val="002F2516"/>
    <w:pPr>
      <w:numPr>
        <w:numId w:val="4"/>
      </w:numPr>
    </w:pPr>
  </w:style>
  <w:style w:type="paragraph" w:styleId="ListContinue2">
    <w:name w:val="List Continue 2"/>
    <w:basedOn w:val="List2"/>
    <w:rsid w:val="002F2516"/>
    <w:pPr>
      <w:ind w:firstLine="0"/>
    </w:pPr>
  </w:style>
  <w:style w:type="paragraph" w:styleId="ListContinue3">
    <w:name w:val="List Continue 3"/>
    <w:basedOn w:val="List3"/>
    <w:rsid w:val="002F2516"/>
    <w:pPr>
      <w:ind w:left="1021" w:firstLine="0"/>
    </w:pPr>
  </w:style>
  <w:style w:type="paragraph" w:styleId="ListContinue4">
    <w:name w:val="List Continue 4"/>
    <w:basedOn w:val="List4"/>
    <w:rsid w:val="002F2516"/>
    <w:pPr>
      <w:ind w:firstLine="0"/>
    </w:pPr>
  </w:style>
  <w:style w:type="paragraph" w:styleId="ListContinue5">
    <w:name w:val="List Continue 5"/>
    <w:basedOn w:val="List5"/>
    <w:rsid w:val="002F2516"/>
    <w:pPr>
      <w:ind w:firstLine="0"/>
    </w:pPr>
  </w:style>
  <w:style w:type="paragraph" w:styleId="ListNumber3">
    <w:name w:val="List Number 3"/>
    <w:basedOn w:val="List3"/>
    <w:rsid w:val="002F2516"/>
    <w:pPr>
      <w:numPr>
        <w:numId w:val="5"/>
      </w:numPr>
    </w:pPr>
  </w:style>
  <w:style w:type="paragraph" w:styleId="ListNumber4">
    <w:name w:val="List Number 4"/>
    <w:basedOn w:val="List4"/>
    <w:rsid w:val="002F2516"/>
    <w:pPr>
      <w:numPr>
        <w:numId w:val="6"/>
      </w:numPr>
    </w:pPr>
  </w:style>
  <w:style w:type="paragraph" w:styleId="ListNumber5">
    <w:name w:val="List Number 5"/>
    <w:basedOn w:val="List5"/>
    <w:rsid w:val="002F2516"/>
    <w:pPr>
      <w:numPr>
        <w:numId w:val="7"/>
      </w:numPr>
    </w:pPr>
  </w:style>
  <w:style w:type="paragraph" w:styleId="BlockText">
    <w:name w:val="Block Text"/>
    <w:basedOn w:val="Normal"/>
    <w:rsid w:val="002F2516"/>
    <w:pPr>
      <w:spacing w:after="120"/>
      <w:ind w:left="1440" w:right="1440"/>
    </w:pPr>
  </w:style>
  <w:style w:type="character" w:customStyle="1" w:styleId="Subscript">
    <w:name w:val="Subscript"/>
    <w:basedOn w:val="DefaultParagraphFont"/>
    <w:rsid w:val="002F2516"/>
    <w:rPr>
      <w:sz w:val="16"/>
      <w:vertAlign w:val="subscript"/>
    </w:rPr>
  </w:style>
  <w:style w:type="character" w:customStyle="1" w:styleId="Superscript">
    <w:name w:val="Superscript"/>
    <w:basedOn w:val="DefaultParagraphFont"/>
    <w:rsid w:val="002F2516"/>
    <w:rPr>
      <w:sz w:val="16"/>
      <w:vertAlign w:val="superscript"/>
    </w:rPr>
  </w:style>
  <w:style w:type="character" w:customStyle="1" w:styleId="Symbols">
    <w:name w:val="Symbols"/>
    <w:basedOn w:val="DefaultParagraphFont"/>
    <w:rsid w:val="002F2516"/>
    <w:rPr>
      <w:rFonts w:ascii="Symbol" w:hAnsi="Symbol"/>
    </w:rPr>
  </w:style>
  <w:style w:type="character" w:customStyle="1" w:styleId="MenuOptions">
    <w:name w:val="Menu Options"/>
    <w:basedOn w:val="DefaultParagraphFont"/>
    <w:rsid w:val="002F2516"/>
    <w:rPr>
      <w:rFonts w:ascii="Arial Narrow" w:hAnsi="Arial Narrow"/>
      <w:smallCaps/>
    </w:rPr>
  </w:style>
  <w:style w:type="character" w:customStyle="1" w:styleId="Buttons">
    <w:name w:val="Buttons"/>
    <w:basedOn w:val="DefaultParagraphFont"/>
    <w:rsid w:val="002F2516"/>
    <w:rPr>
      <w:b/>
    </w:rPr>
  </w:style>
  <w:style w:type="character" w:customStyle="1" w:styleId="Underlined">
    <w:name w:val="Underlined"/>
    <w:basedOn w:val="DefaultParagraphFont"/>
    <w:rsid w:val="002F2516"/>
    <w:rPr>
      <w:u w:val="single"/>
    </w:rPr>
  </w:style>
  <w:style w:type="paragraph" w:customStyle="1" w:styleId="TableBodyTextRight">
    <w:name w:val="Table Body Text Right"/>
    <w:basedOn w:val="TableBodyText"/>
    <w:rsid w:val="002F2516"/>
    <w:pPr>
      <w:widowControl w:val="0"/>
      <w:autoSpaceDE w:val="0"/>
      <w:autoSpaceDN w:val="0"/>
      <w:adjustRightInd w:val="0"/>
      <w:jc w:val="right"/>
    </w:pPr>
    <w:rPr>
      <w:rFonts w:cs="Arial"/>
      <w:szCs w:val="18"/>
    </w:rPr>
  </w:style>
  <w:style w:type="paragraph" w:customStyle="1" w:styleId="CopyrightText">
    <w:name w:val="Copyright Text"/>
    <w:basedOn w:val="BodyText"/>
    <w:rsid w:val="002F2516"/>
    <w:rPr>
      <w:sz w:val="18"/>
    </w:rPr>
  </w:style>
  <w:style w:type="paragraph" w:customStyle="1" w:styleId="BodySmallRight">
    <w:name w:val="Body Small Right"/>
    <w:basedOn w:val="BodyTextRight"/>
    <w:rsid w:val="002F2516"/>
    <w:rPr>
      <w:sz w:val="18"/>
      <w:szCs w:val="18"/>
    </w:rPr>
  </w:style>
  <w:style w:type="paragraph" w:customStyle="1" w:styleId="MarginEdition">
    <w:name w:val="Margin Edition"/>
    <w:basedOn w:val="MarginNote"/>
    <w:rsid w:val="002F2516"/>
    <w:pPr>
      <w:spacing w:before="0" w:after="0"/>
    </w:pPr>
    <w:rPr>
      <w:rFonts w:ascii="Times New Roman" w:hAnsi="Times New Roman"/>
      <w:color w:val="999999"/>
    </w:rPr>
  </w:style>
  <w:style w:type="paragraph" w:customStyle="1" w:styleId="Spacer">
    <w:name w:val="Spacer"/>
    <w:basedOn w:val="Normal"/>
    <w:rsid w:val="002F2516"/>
    <w:rPr>
      <w:sz w:val="2"/>
      <w:szCs w:val="2"/>
    </w:rPr>
  </w:style>
  <w:style w:type="character" w:customStyle="1" w:styleId="Small">
    <w:name w:val="Small"/>
    <w:basedOn w:val="DefaultParagraphFont"/>
    <w:rsid w:val="002F2516"/>
    <w:rPr>
      <w:sz w:val="16"/>
    </w:rPr>
  </w:style>
  <w:style w:type="paragraph" w:customStyle="1" w:styleId="WideTable">
    <w:name w:val="Wide Table"/>
    <w:basedOn w:val="Normal"/>
    <w:rsid w:val="002F2516"/>
    <w:pPr>
      <w:ind w:left="-1418"/>
    </w:pPr>
    <w:rPr>
      <w:sz w:val="2"/>
      <w:szCs w:val="2"/>
    </w:rPr>
  </w:style>
  <w:style w:type="character" w:styleId="PageNumber">
    <w:name w:val="page number"/>
    <w:basedOn w:val="DefaultParagraphFont"/>
    <w:rsid w:val="002F2516"/>
  </w:style>
  <w:style w:type="paragraph" w:styleId="Quote">
    <w:name w:val="Quote"/>
    <w:basedOn w:val="Heading1"/>
    <w:link w:val="QuoteChar"/>
    <w:qFormat/>
    <w:rsid w:val="002F2516"/>
    <w:rPr>
      <w:b w:val="0"/>
      <w:sz w:val="72"/>
      <w:szCs w:val="72"/>
      <w:lang w:val="en-NZ"/>
    </w:rPr>
  </w:style>
  <w:style w:type="character" w:customStyle="1" w:styleId="QuoteChar">
    <w:name w:val="Quote Char"/>
    <w:basedOn w:val="DefaultParagraphFont"/>
    <w:link w:val="Quote"/>
    <w:rsid w:val="002F2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516"/>
    <w:pPr>
      <w:pageBreakBefore/>
    </w:pPr>
  </w:style>
  <w:style w:type="paragraph" w:customStyle="1" w:styleId="Border">
    <w:name w:val="Border"/>
    <w:basedOn w:val="Normal"/>
    <w:qFormat/>
    <w:rsid w:val="002F2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516"/>
    <w:rPr>
      <w:b/>
      <w:bCs/>
      <w:i/>
      <w:iCs/>
      <w:color w:val="auto"/>
    </w:rPr>
  </w:style>
  <w:style w:type="paragraph" w:styleId="IntenseQuote">
    <w:name w:val="Intense Quote"/>
    <w:basedOn w:val="Normal"/>
    <w:next w:val="Normal"/>
    <w:link w:val="IntenseQuoteChar"/>
    <w:uiPriority w:val="30"/>
    <w:qFormat/>
    <w:rsid w:val="002F2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5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516"/>
    <w:rPr>
      <w:smallCaps/>
      <w:color w:val="auto"/>
      <w:u w:val="single"/>
    </w:rPr>
  </w:style>
  <w:style w:type="character" w:styleId="IntenseReference">
    <w:name w:val="Intense Reference"/>
    <w:basedOn w:val="DefaultParagraphFont"/>
    <w:uiPriority w:val="32"/>
    <w:qFormat/>
    <w:rsid w:val="002F2516"/>
    <w:rPr>
      <w:b/>
      <w:bCs/>
      <w:smallCaps/>
      <w:color w:val="auto"/>
      <w:spacing w:val="5"/>
      <w:u w:val="single"/>
    </w:rPr>
  </w:style>
  <w:style w:type="paragraph" w:customStyle="1" w:styleId="2ColumnHeading">
    <w:name w:val="2Column Heading"/>
    <w:basedOn w:val="BodyText"/>
    <w:qFormat/>
    <w:rsid w:val="002F2516"/>
    <w:pPr>
      <w:spacing w:after="60"/>
      <w:ind w:left="-2268"/>
    </w:pPr>
    <w:rPr>
      <w:b/>
    </w:rPr>
  </w:style>
  <w:style w:type="paragraph" w:customStyle="1" w:styleId="Heading1TOC">
    <w:name w:val="Heading1 TOC"/>
    <w:basedOn w:val="Normal"/>
    <w:qFormat/>
    <w:rsid w:val="002F2516"/>
    <w:pPr>
      <w:spacing w:before="240" w:after="120"/>
    </w:pPr>
    <w:rPr>
      <w:rFonts w:ascii="Times New Roman" w:hAnsi="Times New Roman"/>
      <w:b/>
      <w:sz w:val="32"/>
    </w:rPr>
  </w:style>
  <w:style w:type="paragraph" w:customStyle="1" w:styleId="Heading2TOC">
    <w:name w:val="Heading2 TOC"/>
    <w:basedOn w:val="Normal"/>
    <w:qFormat/>
    <w:rsid w:val="002F2516"/>
    <w:pPr>
      <w:spacing w:before="240" w:after="60"/>
    </w:pPr>
    <w:rPr>
      <w:rFonts w:ascii="Times New Roman" w:hAnsi="Times New Roman"/>
      <w:b/>
      <w:sz w:val="28"/>
    </w:rPr>
  </w:style>
  <w:style w:type="character" w:customStyle="1" w:styleId="Underline">
    <w:name w:val="Underline"/>
    <w:basedOn w:val="DefaultParagraphFont"/>
    <w:qFormat/>
    <w:rsid w:val="002F2516"/>
    <w:rPr>
      <w:u w:val="single"/>
    </w:rPr>
  </w:style>
  <w:style w:type="character" w:customStyle="1" w:styleId="BoldandItalics">
    <w:name w:val="Bold and Italics"/>
    <w:qFormat/>
    <w:rsid w:val="002F2516"/>
    <w:rPr>
      <w:b/>
      <w:i/>
      <w:u w:val="none"/>
    </w:rPr>
  </w:style>
  <w:style w:type="paragraph" w:styleId="BalloonText">
    <w:name w:val="Balloon Text"/>
    <w:basedOn w:val="Normal"/>
    <w:link w:val="BalloonTextChar"/>
    <w:rsid w:val="002F2516"/>
    <w:rPr>
      <w:rFonts w:ascii="Tahoma" w:hAnsi="Tahoma" w:cs="Tahoma"/>
      <w:sz w:val="16"/>
      <w:szCs w:val="16"/>
    </w:rPr>
  </w:style>
  <w:style w:type="character" w:customStyle="1" w:styleId="BalloonTextChar">
    <w:name w:val="Balloon Text Char"/>
    <w:basedOn w:val="DefaultParagraphFont"/>
    <w:link w:val="BalloonText"/>
    <w:rsid w:val="002F25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5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5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516"/>
    <w:rPr>
      <w:b/>
      <w:color w:val="660033"/>
      <w:spacing w:val="0"/>
    </w:rPr>
  </w:style>
  <w:style w:type="paragraph" w:customStyle="1" w:styleId="Nameditemlist">
    <w:name w:val="Named item list"/>
    <w:basedOn w:val="BodyText"/>
    <w:qFormat/>
    <w:rsid w:val="002F25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2434</Words>
  <Characters>15366</Characters>
  <Application>Microsoft Office Word</Application>
  <DocSecurity>0</DocSecurity>
  <Lines>614</Lines>
  <Paragraphs>287</Paragraphs>
  <ScaleCrop>false</ScaleCrop>
  <Company>Author-it Software Corporation Ltd.</Company>
  <LinksUpToDate>false</LinksUpToDate>
  <CharactersWithSpaces>17513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UEPMNT450A Test and commission wind turbine generators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2013-03-14T21:59:00Z</dcterms:created>
  <dcterms:modified xsi:type="dcterms:W3CDTF">2013-03-14T21:59:00Z</dcterms:modified>
</cp:coreProperties>
</file>