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F55" w:rsidP="00E82F55">
      <w:pPr>
        <w:pStyle w:val="Title"/>
      </w:pPr>
      <w:bookmarkStart w:id="0" w:name="_GoBack"/>
      <w:bookmarkEnd w:id="0"/>
      <w:r>
        <w:fldChar w:fldCharType="begin"/>
      </w:r>
      <w:r>
        <w:instrText xml:space="preserve"> TITLE   \* MERGEFORMAT </w:instrText>
      </w:r>
      <w:r>
        <w:fldChar w:fldCharType="separate"/>
      </w:r>
      <w:r>
        <w:t>UEPMNT449A Diagnose and repair mechanical systems faults in wind turbine generators</w:t>
      </w:r>
      <w:r>
        <w:fldChar w:fldCharType="end"/>
      </w:r>
    </w:p>
    <w:p w:rsidR="00E82F55" w:rsidP="00E82F55">
      <w:pPr>
        <w:pStyle w:val="Version"/>
        <w:sectPr w:rsidSect="00573B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B2E" w:rsidP="00573B2E">
      <w:pPr>
        <w:pStyle w:val="SuperHeading"/>
      </w:pPr>
      <w:r w:rsidRPr="00573B2E">
        <w:t>UEPMNT449A Diagnose and repair mechanical systems faults in wind turbine generators</w:t>
      </w:r>
    </w:p>
    <w:p w:rsidR="00000000" w:rsidRPr="00573B2E" w:rsidP="00573B2E">
      <w:pPr>
        <w:pStyle w:val="Heading1"/>
      </w:pPr>
      <w:bookmarkStart w:id="1" w:name="O_505292"/>
      <w:bookmarkEnd w:id="1"/>
      <w:r w:rsidRPr="00573B2E">
        <w:t>Modification History</w:t>
      </w:r>
    </w:p>
    <w:p w:rsidR="00000000" w:rsidRPr="00573B2E" w:rsidP="00573B2E">
      <w:pPr>
        <w:pStyle w:val="BodyText"/>
      </w:pPr>
      <w:r w:rsidRPr="00573B2E">
        <w:t>Not applicable.</w:t>
      </w:r>
    </w:p>
    <w:p w:rsidR="00000000" w:rsidRPr="00573B2E" w:rsidP="00573B2E">
      <w:pPr>
        <w:pStyle w:val="AllowPageBreak"/>
      </w:pPr>
    </w:p>
    <w:p w:rsidR="00000000" w:rsidRPr="00573B2E" w:rsidP="00573B2E">
      <w:pPr>
        <w:pStyle w:val="Heading1"/>
      </w:pPr>
      <w:bookmarkStart w:id="2" w:name="O_505290"/>
      <w:bookmarkEnd w:id="2"/>
      <w:r w:rsidRPr="00573B2E">
        <w:t>Unit Descriptor</w:t>
      </w:r>
    </w:p>
    <w:tbl>
      <w:tblPr>
        <w:tblW w:w="0" w:type="auto"/>
        <w:tblLayout w:type="fixed"/>
        <w:tblCellMar>
          <w:left w:w="62" w:type="dxa"/>
          <w:right w:w="62" w:type="dxa"/>
        </w:tblCellMar>
        <w:tblLook w:val="0000"/>
      </w:tblPr>
      <w:tblGrid>
        <w:gridCol w:w="2700"/>
        <w:gridCol w:w="5760"/>
      </w:tblGrid>
      <w:tr w:rsidTr="00E82F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1)</w:t>
            </w:r>
            <w:r w:rsidRPr="00573B2E">
              <w:t xml:space="preserve"> </w:t>
            </w:r>
            <w:r w:rsidRPr="00573B2E">
              <w:rPr>
                <w:rStyle w:val="SpecialBold"/>
              </w:rPr>
              <w:t>Scope:</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73B2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1.1) Descriptor</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This unit deals with the skills and knowledge required to diagnose and repair mechanical systems faults in large scale wind turbine generator (WTG).</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3" w:name="O_505279"/>
      <w:bookmarkEnd w:id="3"/>
      <w:r w:rsidRPr="00573B2E">
        <w:t>Application of the Unit</w:t>
      </w:r>
    </w:p>
    <w:tbl>
      <w:tblPr>
        <w:tblW w:w="0" w:type="auto"/>
        <w:tblLayout w:type="fixed"/>
        <w:tblCellMar>
          <w:left w:w="62" w:type="dxa"/>
          <w:right w:w="62" w:type="dxa"/>
        </w:tblCellMar>
        <w:tblLook w:val="0000"/>
      </w:tblPr>
      <w:tblGrid>
        <w:gridCol w:w="2672"/>
        <w:gridCol w:w="5699"/>
      </w:tblGrid>
      <w:tr w:rsidTr="00E82F55">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2)</w:t>
            </w:r>
          </w:p>
        </w:tc>
      </w:tr>
      <w:tr w:rsidTr="00E82F55">
        <w:tblPrEx>
          <w:tblW w:w="0" w:type="auto"/>
          <w:tblLayout w:type="fixed"/>
          <w:tblCellMar>
            <w:left w:w="62" w:type="dxa"/>
            <w:right w:w="62" w:type="dxa"/>
          </w:tblCellMar>
          <w:tblLook w:val="0000"/>
        </w:tblPrEx>
        <w:trPr>
          <w:trHeight w:val="843"/>
        </w:trPr>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This unit is intended to augment formally acquired competencies. It is suitable for employment-based programs under an approved contract of training.</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4" w:name="O_505286"/>
      <w:bookmarkEnd w:id="4"/>
      <w:r w:rsidRPr="00573B2E">
        <w:t>Licensing/Regulatory Information</w:t>
      </w:r>
    </w:p>
    <w:tbl>
      <w:tblPr>
        <w:tblW w:w="0" w:type="auto"/>
        <w:tblLayout w:type="fixed"/>
        <w:tblCellMar>
          <w:left w:w="62" w:type="dxa"/>
          <w:right w:w="62" w:type="dxa"/>
        </w:tblCellMar>
        <w:tblLook w:val="0000"/>
      </w:tblPr>
      <w:tblGrid>
        <w:gridCol w:w="2700"/>
        <w:gridCol w:w="5760"/>
      </w:tblGrid>
      <w:tr w:rsidTr="00E82F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License to practice</w:t>
            </w:r>
          </w:p>
        </w:tc>
        <w:tc>
          <w:tcPr>
            <w:tcW w:w="57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 xml:space="preserve">3) </w:t>
            </w:r>
          </w:p>
        </w:tc>
      </w:tr>
      <w:tr w:rsidTr="00E82F55">
        <w:tblPrEx>
          <w:tblW w:w="0" w:type="auto"/>
          <w:tblLayout w:type="fixed"/>
          <w:tblCellMar>
            <w:left w:w="62" w:type="dxa"/>
            <w:right w:w="62" w:type="dxa"/>
          </w:tblCellMar>
          <w:tblLook w:val="0000"/>
        </w:tblPrEx>
        <w:trPr>
          <w:trHeight w:val="1325"/>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 xml:space="preserve">The skills and knowledge described in this unit may require an electrical licence to practise in the workplace. </w:t>
            </w:r>
          </w:p>
          <w:p w:rsidR="00000000" w:rsidRPr="00573B2E" w:rsidP="00573B2E">
            <w:pPr>
              <w:pStyle w:val="BodyText"/>
            </w:pPr>
            <w:r w:rsidRPr="00573B2E">
              <w:t>Practice in this unit is subject to regulations directly related to Occupational Health and Safety and where applicable contracts of training s</w:t>
            </w:r>
            <w:r w:rsidRPr="00573B2E">
              <w:t>uch as apprenticeships and the like.</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5" w:name="O_505287"/>
      <w:bookmarkEnd w:id="5"/>
      <w:r w:rsidRPr="00573B2E">
        <w:t>Pre-Requisites</w:t>
      </w:r>
    </w:p>
    <w:tbl>
      <w:tblPr>
        <w:tblW w:w="0" w:type="auto"/>
        <w:tblLayout w:type="fixed"/>
        <w:tblCellMar>
          <w:left w:w="62" w:type="dxa"/>
          <w:right w:w="62" w:type="dxa"/>
        </w:tblCellMar>
        <w:tblLook w:val="0000"/>
      </w:tblPr>
      <w:tblGrid>
        <w:gridCol w:w="2700"/>
        <w:gridCol w:w="2068"/>
        <w:gridCol w:w="3696"/>
      </w:tblGrid>
      <w:tr w:rsidTr="00E82F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Prerequisite Unit(s)</w:t>
            </w:r>
          </w:p>
        </w:tc>
        <w:tc>
          <w:tcPr>
            <w:tcW w:w="5764" w:type="dxa"/>
            <w:gridSpan w:val="2"/>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 xml:space="preserve">4) </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Competencies</w:t>
            </w:r>
          </w:p>
        </w:tc>
        <w:tc>
          <w:tcPr>
            <w:tcW w:w="5764" w:type="dxa"/>
            <w:gridSpan w:val="2"/>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4.1)</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gridSpan w:val="2"/>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Granting of competency in this unit shall be made only after competency in the following unit(s) has/have been confirmed.</w:t>
            </w:r>
          </w:p>
          <w:p w:rsidR="00000000" w:rsidRPr="00573B2E" w:rsidP="00573B2E">
            <w:pPr>
              <w:pStyle w:val="BodyText"/>
            </w:pPr>
            <w:r w:rsidRPr="00573B2E">
              <w:t>Where pre-requisite pathways have been identified. All competencies in the Common Unit Group must have been completed.</w:t>
            </w:r>
          </w:p>
          <w:p w:rsidR="00000000" w:rsidP="00573B2E">
            <w:pPr>
              <w:pStyle w:val="BodyText"/>
              <w:rPr>
                <w:lang w:val="en-NZ"/>
              </w:rPr>
            </w:pPr>
            <w:r w:rsidRPr="00573B2E">
              <w:t>Common Unit Group</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Unit Code</w:t>
            </w:r>
            <w:r w:rsidRPr="00573B2E">
              <w:tab/>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Unit Title</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UEPMNT371A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Maintain large scale wind turbines generators</w:t>
            </w:r>
          </w:p>
        </w:tc>
      </w:tr>
      <w:tr w:rsidTr="00E82F5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UEPMNT444A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Maintain wind turbine generator mechanical systems</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UEPMNT445A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Diagnose and repair faults in large scale wind turbine generators</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UEENEEG108A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Trouble-shoot and repair faults in low voltage electrical apparatus and circuits</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UEENEEE101A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 xml:space="preserve">Apply Occupational Health Safety regulations, codes and practices in the workplace </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UEENEEE102A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Fabricate, dismantle, assemble of utilities industry components</w:t>
            </w:r>
          </w:p>
        </w:tc>
      </w:tr>
      <w:tr w:rsidTr="00E82F55">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UEENEEE104A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Solve problems in d.c. circuits</w:t>
            </w:r>
          </w:p>
        </w:tc>
      </w:tr>
      <w:tr w:rsidTr="00E82F55">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UEENEEE105A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Fix and secure electrotechnology equipment</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UEENEEE107A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Use drawings, diagrams, schedules, standards, codes and specifications</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UEENEEG006A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Solve problems in single and three phase low voltage machines</w:t>
            </w:r>
          </w:p>
        </w:tc>
      </w:tr>
      <w:tr w:rsidTr="00E82F55">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UEENEEG033A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 xml:space="preserve">Solve problems in single and three phase low voltage electrical </w:t>
            </w:r>
            <w:r w:rsidRPr="00573B2E">
              <w:t>apparatus and circuits</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UEENEEG063A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Arrange circuits, control and protection for general electrical installations</w:t>
            </w:r>
          </w:p>
        </w:tc>
      </w:tr>
      <w:tr w:rsidTr="00E82F55">
        <w:tblPrEx>
          <w:tblW w:w="0" w:type="auto"/>
          <w:tblLayout w:type="fixed"/>
          <w:tblCellMar>
            <w:left w:w="62" w:type="dxa"/>
            <w:right w:w="62" w:type="dxa"/>
          </w:tblCellMar>
          <w:tblLook w:val="0000"/>
        </w:tblPrEx>
        <w:trPr>
          <w:trHeight w:val="643"/>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UEENEEG101A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Solve problems in electromagnetic devices and related circuits</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UEENEEG102A</w:t>
            </w:r>
          </w:p>
        </w:tc>
        <w:tc>
          <w:tcPr>
            <w:tcW w:w="3696"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Solve problems in low voltage a.c. circuits</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68"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UEENEEG106A</w:t>
            </w:r>
          </w:p>
        </w:tc>
        <w:tc>
          <w:tcPr>
            <w:tcW w:w="3696"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Terminate cables, cords and accessories for low voltage circuits</w:t>
            </w:r>
          </w:p>
        </w:tc>
      </w:tr>
    </w:tbl>
    <w:p w:rsidR="00000000" w:rsidRPr="00573B2E" w:rsidP="00573B2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82F55">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 xml:space="preserve">4.2) </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Participants are best equipped to achieve this unit if they have reading, writing and numeracy skills indicated by the following levels. A description of what each level entails is provided in Section 2.3.1 Language, Literacy and Numeracy.</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Reading</w:t>
            </w:r>
          </w:p>
        </w:tc>
        <w:tc>
          <w:tcPr>
            <w:tcW w:w="81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4</w:t>
            </w:r>
          </w:p>
        </w:tc>
        <w:tc>
          <w:tcPr>
            <w:tcW w:w="99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Writing</w:t>
            </w: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4</w:t>
            </w:r>
          </w:p>
        </w:tc>
        <w:tc>
          <w:tcPr>
            <w:tcW w:w="12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Numeracy</w:t>
            </w:r>
          </w:p>
        </w:tc>
        <w:tc>
          <w:tcPr>
            <w:tcW w:w="72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4</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6" w:name="O_505283"/>
      <w:bookmarkEnd w:id="6"/>
      <w:r w:rsidRPr="00573B2E">
        <w:t>Employability Skills Information</w:t>
      </w:r>
    </w:p>
    <w:tbl>
      <w:tblPr>
        <w:tblW w:w="0" w:type="auto"/>
        <w:tblLayout w:type="fixed"/>
        <w:tblCellMar>
          <w:left w:w="62" w:type="dxa"/>
          <w:right w:w="62" w:type="dxa"/>
        </w:tblCellMar>
        <w:tblLook w:val="0000"/>
      </w:tblPr>
      <w:tblGrid>
        <w:gridCol w:w="2700"/>
        <w:gridCol w:w="5760"/>
      </w:tblGrid>
      <w:tr w:rsidTr="00E82F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 xml:space="preserve">5) </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 xml:space="preserve">The required outcomes described in this unit of competency contain applicable facets of Employability Skills. The Employability Skills Summary </w:t>
            </w:r>
            <w:r w:rsidRPr="00573B2E">
              <w:t>of the qualification in which this unit of competency is packaged will assist in identifying Employability Skill requirements.</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7" w:name="O_505282"/>
      <w:bookmarkEnd w:id="7"/>
      <w:r w:rsidRPr="00573B2E">
        <w:t>Elements and Performance Criteria Pre-Content</w:t>
      </w:r>
    </w:p>
    <w:tbl>
      <w:tblPr>
        <w:tblW w:w="0" w:type="auto"/>
        <w:tblLayout w:type="fixed"/>
        <w:tblCellMar>
          <w:left w:w="62" w:type="dxa"/>
          <w:right w:w="62" w:type="dxa"/>
        </w:tblCellMar>
        <w:tblLook w:val="0000"/>
      </w:tblPr>
      <w:tblGrid>
        <w:gridCol w:w="2700"/>
        <w:gridCol w:w="5760"/>
      </w:tblGrid>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6)</w:t>
            </w:r>
            <w:r w:rsidRPr="00573B2E">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Performance Criteria describe the required performance needed to demonstrate achievement of the element. Assessment of performance is to be consistent with the Evidence Guide.</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8" w:name="O_505281"/>
      <w:bookmarkEnd w:id="8"/>
      <w:r w:rsidRPr="00573B2E">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82F5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PERFORMANCE CRITERIA</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1</w:t>
            </w:r>
          </w:p>
        </w:tc>
        <w:tc>
          <w:tcPr>
            <w:tcW w:w="2296" w:type="dxa"/>
            <w:vMerge w:val="restart"/>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Gather data</w:t>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1.1</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Data logging information and error codes are accessed</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1.2</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Sensory data on fault or problem are gathered (auditory, visual, smell, touch)</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1.3</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Relevant hard copy or online documentation to support fault finding process are accessed</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1.4</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Built-in fault indicators and error codes, where appropriate, are examined and correctly interpreted</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1.5</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 xml:space="preserve">Circuit/system function and characteristics are </w:t>
            </w:r>
            <w:r w:rsidRPr="00573B2E">
              <w:t>determined by reference to circuit diagrams, specifications, schematics and/or consultation with technical adviser.</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2</w:t>
            </w:r>
          </w:p>
        </w:tc>
        <w:tc>
          <w:tcPr>
            <w:tcW w:w="2296" w:type="dxa"/>
            <w:vMerge w:val="restart"/>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 xml:space="preserve">Interpret data to establish hypothesis in regards to WTG mechanical system fault </w:t>
            </w:r>
            <w:r w:rsidRPr="00573B2E">
              <w:tab/>
            </w: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2.1</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Knowledge of WTG mechanical systems and performanc</w:t>
            </w:r>
            <w:r w:rsidRPr="00573B2E">
              <w:t>e parameters is applied to interpretation of fault data</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2.2</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Faults are verified or localised using correct and appropriate techniques, procedures, tools and test equipment.</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2.3</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Priorities are set for testing / replacement of specific components, wiring, and connections in the WTG</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w:t>
            </w:r>
          </w:p>
        </w:tc>
        <w:tc>
          <w:tcPr>
            <w:tcW w:w="2296" w:type="dxa"/>
            <w:vMerge w:val="restart"/>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Repair WTG mechanical system fault</w:t>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r w:rsidRPr="00573B2E">
              <w:tab/>
            </w:r>
          </w:p>
          <w:p w:rsidR="00000000" w:rsidRPr="00573B2E" w:rsidP="00573B2E">
            <w:pPr>
              <w:pStyle w:val="BodyText"/>
            </w:pPr>
            <w:r w:rsidRPr="00573B2E">
              <w:tab/>
            </w:r>
            <w:r w:rsidRPr="00573B2E">
              <w:tab/>
            </w:r>
            <w:r w:rsidRPr="00573B2E">
              <w:tab/>
            </w:r>
          </w:p>
          <w:p w:rsidR="00000000" w:rsidP="00573B2E">
            <w:pPr>
              <w:pStyle w:val="BodyText"/>
              <w:rPr>
                <w:lang w:val="en-NZ"/>
              </w:rPr>
            </w:pPr>
            <w:r w:rsidRPr="00573B2E">
              <w:tab/>
            </w:r>
            <w:r w:rsidRPr="00573B2E">
              <w:tab/>
            </w:r>
            <w:r w:rsidRPr="00573B2E">
              <w:tab/>
            </w: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3.1</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Risk analysis of the job is undertaken, and communicated among the work team.</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3.2</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Safety precautions such as circuit isolations, physical barriers, and other protective devices or systems are  used, where appropriate,to ensure safety</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3.3</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Tests are conducted to ensure fault has been correctly repaired or isolated</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3.4</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 xml:space="preserve">Faulty components that have been removed from service are, where possible, examined and cause of problem is identified </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3.5</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Loose connections or wiring are repaired</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3.6</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Parts likely to be cause of fault are removed and replaced with tested and operat</w:t>
            </w:r>
            <w:r w:rsidRPr="00573B2E">
              <w:t>ional parts</w:t>
            </w:r>
          </w:p>
        </w:tc>
      </w:tr>
      <w:tr w:rsidTr="00E82F55">
        <w:tblPrEx>
          <w:tblW w:w="0" w:type="auto"/>
          <w:tblLayout w:type="fixed"/>
          <w:tblCellMar>
            <w:left w:w="62" w:type="dxa"/>
            <w:right w:w="62" w:type="dxa"/>
          </w:tblCellMar>
          <w:tblLook w:val="0000"/>
        </w:tblPrEx>
        <w:trPr>
          <w:trHeight w:val="5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3.7</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Systems are tested to ensure correct operation</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3.8</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Fault finding processes and work to repair complex fault(s) are, if required, effectively escalated with technical adviser.</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4</w:t>
            </w:r>
          </w:p>
        </w:tc>
        <w:tc>
          <w:tcPr>
            <w:tcW w:w="2296" w:type="dxa"/>
            <w:vMerge w:val="restart"/>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Record WTG mechanical system fault</w:t>
            </w:r>
            <w:r w:rsidRPr="00573B2E">
              <w:tab/>
            </w:r>
            <w:r w:rsidRPr="00573B2E">
              <w:tab/>
            </w:r>
            <w:r w:rsidRPr="00573B2E">
              <w:tab/>
            </w:r>
            <w:r w:rsidRPr="00573B2E">
              <w:tab/>
            </w:r>
            <w:r w:rsidRPr="00573B2E">
              <w:tab/>
            </w:r>
          </w:p>
          <w:p w:rsidR="00000000" w:rsidRPr="00573B2E" w:rsidP="00573B2E">
            <w:pPr>
              <w:pStyle w:val="BodyText"/>
            </w:pPr>
            <w:r w:rsidRPr="00573B2E">
              <w:tab/>
            </w:r>
            <w:r w:rsidRPr="00573B2E">
              <w:tab/>
            </w:r>
            <w:r w:rsidRPr="00573B2E">
              <w:tab/>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4.1</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Faulty components and parts are correctly tagged, identified and stored or shipped as per enterprise requirements</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4.2</w:t>
            </w:r>
          </w:p>
        </w:tc>
        <w:tc>
          <w:tcPr>
            <w:tcW w:w="48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Faults are recorded to standard operating procedures.</w:t>
            </w:r>
          </w:p>
        </w:tc>
      </w:tr>
      <w:tr w:rsidTr="00E82F5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4.3</w:t>
            </w:r>
          </w:p>
        </w:tc>
        <w:tc>
          <w:tcPr>
            <w:tcW w:w="48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Cause of complex fault and process of repair is discussed with the team and other personnel using an appropriate forum.</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9" w:name="O_505289"/>
      <w:bookmarkEnd w:id="9"/>
      <w:r w:rsidRPr="00573B2E">
        <w:t>Required Skills and Knowledge</w:t>
      </w:r>
    </w:p>
    <w:tbl>
      <w:tblPr>
        <w:tblW w:w="0" w:type="auto"/>
        <w:tblLayout w:type="fixed"/>
        <w:tblCellMar>
          <w:left w:w="62" w:type="dxa"/>
          <w:right w:w="62" w:type="dxa"/>
        </w:tblCellMar>
        <w:tblLook w:val="0000"/>
      </w:tblPr>
      <w:tblGrid>
        <w:gridCol w:w="8460"/>
      </w:tblGrid>
      <w:tr w:rsidTr="00E82F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REQUIRED SKILLS AND KNOWLEDGE</w:t>
            </w:r>
          </w:p>
        </w:tc>
      </w:tr>
      <w:tr w:rsidTr="00E82F55">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8)</w:t>
            </w:r>
            <w:r w:rsidRPr="00573B2E">
              <w:t xml:space="preserve"> This describes the Essential Skills and Knowledge and their level, required for this unit.</w:t>
            </w:r>
          </w:p>
          <w:p w:rsidR="00000000" w:rsidRPr="00573B2E" w:rsidP="00573B2E">
            <w:pPr>
              <w:pStyle w:val="BodyText"/>
            </w:pPr>
            <w:r w:rsidRPr="00573B2E">
              <w:t>All knowledge and skills detailed in this unit should be contextualised to current industry practices and technologies.</w:t>
            </w:r>
          </w:p>
          <w:p w:rsidR="00000000" w:rsidRPr="00573B2E" w:rsidP="00573B2E">
            <w:pPr>
              <w:pStyle w:val="BodyText"/>
            </w:pPr>
            <w:r w:rsidRPr="00573B2E">
              <w:t>KS01-PM4349A  Diagnose and repair mechanical</w:t>
            </w:r>
            <w:r w:rsidRPr="00573B2E">
              <w:t xml:space="preserve"> systems faults in wind turbine generators</w:t>
            </w:r>
          </w:p>
          <w:p w:rsidR="00000000" w:rsidRPr="00573B2E" w:rsidP="00573B2E">
            <w:pPr>
              <w:pStyle w:val="BodyText"/>
            </w:pPr>
            <w:r w:rsidRPr="00573B2E">
              <w:t>Evidence shall show that knowledge has been acquired of diagnosing and repairing wind turbine generator mechanical systems to the extent indicated by the following aspects:</w:t>
            </w:r>
          </w:p>
          <w:p w:rsidR="00000000" w:rsidRPr="00573B2E" w:rsidP="00573B2E">
            <w:pPr>
              <w:pStyle w:val="ListBullet"/>
            </w:pPr>
            <w:r w:rsidRPr="00573B2E">
              <w:t>T1.</w:t>
            </w:r>
            <w:r w:rsidRPr="00573B2E">
              <w:tab/>
              <w:t xml:space="preserve">Diagnose and repair pitch drive </w:t>
            </w:r>
          </w:p>
          <w:p w:rsidR="00000000" w:rsidRPr="00573B2E" w:rsidP="00573B2E">
            <w:pPr>
              <w:pStyle w:val="ListBullet2"/>
            </w:pPr>
            <w:r w:rsidRPr="00573B2E">
              <w:t>•</w:t>
            </w:r>
            <w:r w:rsidRPr="00573B2E">
              <w:tab/>
              <w:t>Hydraulic systems</w:t>
            </w:r>
          </w:p>
          <w:p w:rsidR="00000000" w:rsidRPr="00573B2E" w:rsidP="00573B2E">
            <w:pPr>
              <w:pStyle w:val="ListBullet2"/>
            </w:pPr>
            <w:r w:rsidRPr="00573B2E">
              <w:t>•</w:t>
            </w:r>
            <w:r w:rsidRPr="00573B2E">
              <w:tab/>
              <w:t>Mechanical systems</w:t>
            </w:r>
          </w:p>
          <w:p w:rsidR="00000000" w:rsidRPr="00573B2E" w:rsidP="00573B2E">
            <w:pPr>
              <w:pStyle w:val="ListBullet"/>
            </w:pPr>
            <w:r w:rsidRPr="00573B2E">
              <w:t>T2.</w:t>
            </w:r>
            <w:r w:rsidRPr="00573B2E">
              <w:tab/>
              <w:t xml:space="preserve">Diagnose and repair yaw drive </w:t>
            </w:r>
          </w:p>
          <w:p w:rsidR="00000000" w:rsidRPr="00573B2E" w:rsidP="00573B2E">
            <w:pPr>
              <w:pStyle w:val="ListBullet"/>
            </w:pPr>
            <w:r w:rsidRPr="00573B2E">
              <w:t>T3.</w:t>
            </w:r>
            <w:r w:rsidRPr="00573B2E">
              <w:tab/>
              <w:t xml:space="preserve">Diagnose and repair WTG gearbox </w:t>
            </w:r>
          </w:p>
          <w:p w:rsidR="00000000" w:rsidRPr="00573B2E" w:rsidP="00573B2E">
            <w:pPr>
              <w:pStyle w:val="ListBullet"/>
            </w:pPr>
            <w:r w:rsidRPr="00573B2E">
              <w:t>T4.</w:t>
            </w:r>
            <w:r w:rsidRPr="00573B2E">
              <w:tab/>
              <w:t>Non-pitch turbine braking systems</w:t>
            </w:r>
          </w:p>
          <w:p w:rsidR="00000000" w:rsidRPr="00573B2E" w:rsidP="00573B2E">
            <w:pPr>
              <w:pStyle w:val="ListBullet"/>
            </w:pPr>
            <w:r w:rsidRPr="00573B2E">
              <w:t>T5.</w:t>
            </w:r>
            <w:r w:rsidRPr="00573B2E">
              <w:tab/>
              <w:t>Diagnose and repair hydraulic pumps</w:t>
            </w:r>
          </w:p>
          <w:p w:rsidR="00000000" w:rsidRPr="00573B2E" w:rsidP="00573B2E">
            <w:pPr>
              <w:pStyle w:val="ListBullet"/>
            </w:pPr>
            <w:r w:rsidRPr="00573B2E">
              <w:t>T6.</w:t>
            </w:r>
            <w:r w:rsidRPr="00573B2E">
              <w:tab/>
              <w:t>Field-based oil testing techniques</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10" w:name="O_505284"/>
      <w:bookmarkEnd w:id="10"/>
      <w:r w:rsidRPr="00573B2E">
        <w:t>Evidence Guide</w:t>
      </w:r>
    </w:p>
    <w:tbl>
      <w:tblPr>
        <w:tblW w:w="0" w:type="auto"/>
        <w:tblLayout w:type="fixed"/>
        <w:tblCellMar>
          <w:left w:w="62" w:type="dxa"/>
          <w:right w:w="62" w:type="dxa"/>
        </w:tblCellMar>
        <w:tblLook w:val="0000"/>
      </w:tblPr>
      <w:tblGrid>
        <w:gridCol w:w="8460"/>
      </w:tblGrid>
      <w:tr w:rsidTr="00E82F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EVIDENCE GUIDE</w:t>
            </w:r>
          </w:p>
        </w:tc>
      </w:tr>
      <w:tr w:rsidTr="00E82F5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9)</w:t>
            </w:r>
            <w:r w:rsidRPr="00573B2E">
              <w:t xml:space="preserve"> This provides essential advice for assessment of the competency standard unit and must be read in conjunction with the Performance Criteria and the Range Statement of unit and the Training Package Assessment Guidelines.</w:t>
            </w:r>
          </w:p>
          <w:p w:rsidR="00000000" w:rsidRPr="00573B2E" w:rsidP="00573B2E">
            <w:pPr>
              <w:pStyle w:val="BodyText"/>
            </w:pPr>
            <w:r w:rsidRPr="00573B2E">
              <w:t>Th</w:t>
            </w:r>
            <w:r w:rsidRPr="00573B2E">
              <w:t>e Evidence Guide forms an integral part of this competency standard unit and shall be used in conjunction with all components parts of this unit and, performed in accordance with the Assessment Guidelines of this Training Package.</w:t>
            </w:r>
          </w:p>
        </w:tc>
      </w:tr>
    </w:tbl>
    <w:p w:rsidR="00000000" w:rsidRPr="00573B2E" w:rsidP="00573B2E">
      <w:pPr>
        <w:pStyle w:val="BodyText"/>
      </w:pPr>
    </w:p>
    <w:tbl>
      <w:tblPr>
        <w:tblW w:w="0" w:type="auto"/>
        <w:tblLayout w:type="fixed"/>
        <w:tblCellMar>
          <w:left w:w="62" w:type="dxa"/>
          <w:right w:w="62" w:type="dxa"/>
        </w:tblCellMar>
        <w:tblLook w:val="0000"/>
      </w:tblPr>
      <w:tblGrid>
        <w:gridCol w:w="1890"/>
        <w:gridCol w:w="6570"/>
      </w:tblGrid>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9.1)</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 xml:space="preserve">Longitude competency development approaches to assessment, such as Profiling, require data to be reliably gathered in a form that can be consistently </w:t>
            </w:r>
            <w:r w:rsidRPr="00573B2E">
              <w:t>interpreted over time. This approach is best utilised in Apprenticeship programs and reduces assessment intervention. It is the Industry’s preferred model for apprenticeships. However, where summative (or final) assessment is used it is to include the appl</w:t>
            </w:r>
            <w:r w:rsidRPr="00573B2E">
              <w:t>ication of the competency in the normal work environment or in a realistically simulated work environment. It is recognised that, in some circumstances, assessment in part or full can occur outside the workplace. However, it must be in accord with Industry</w:t>
            </w:r>
            <w:r w:rsidRPr="00573B2E">
              <w:t xml:space="preserve"> and regulatory policy.</w:t>
            </w:r>
          </w:p>
          <w:p w:rsidR="00000000" w:rsidRPr="00573B2E" w:rsidP="00573B2E">
            <w:pPr>
              <w:pStyle w:val="BodyText"/>
            </w:pPr>
            <w:r w:rsidRPr="00573B2E">
              <w:t>Methods chosen for a particular assessment will be influenced by various factors. These include the extent of the assessment, the most effective locations for the assessment activities to take place, access to physical resources, ad</w:t>
            </w:r>
            <w:r w:rsidRPr="00573B2E">
              <w:t>ditional safety measures that may be required and the critical nature of the competencies being assessed.</w:t>
            </w:r>
          </w:p>
          <w:p w:rsidR="00000000" w:rsidRPr="00573B2E" w:rsidP="00573B2E">
            <w:pPr>
              <w:pStyle w:val="BodyText"/>
            </w:pPr>
            <w:r w:rsidRPr="00573B2E">
              <w:t xml:space="preserve">The critical safety nature of working with electricity, electrical equipment, gas or any other hazardous substance/material carries risk in deeming a </w:t>
            </w:r>
            <w:r w:rsidRPr="00573B2E">
              <w:t>person competent. Hence, sources of evidence need to be ‘rich’ in nature so as to minimise error in judgment.</w:t>
            </w:r>
          </w:p>
          <w:p w:rsidR="00000000" w:rsidRPr="00573B2E" w:rsidP="00573B2E">
            <w:pPr>
              <w:pStyle w:val="BodyText"/>
            </w:pPr>
            <w:r w:rsidRPr="00573B2E">
              <w:t xml:space="preserve">Activities associated with normal every day work have a bearing on the decision as to how much and how detailed the data gathered will contribute </w:t>
            </w:r>
            <w:r w:rsidRPr="00573B2E">
              <w:t xml:space="preserve">to its ‘richness’. Some skills are more critical to safety and operational requirements while the same skills may be more or less frequently practiced. These points are raised for the assessors to consider when choosing an assessment method and developing </w:t>
            </w:r>
            <w:r w:rsidRPr="00573B2E">
              <w:t>assessment instruments. Sample assessment instruments are included in the Assessment Guidelines of this Training Package.</w:t>
            </w:r>
          </w:p>
        </w:tc>
      </w:tr>
    </w:tbl>
    <w:p w:rsidR="00000000" w:rsidRPr="00573B2E" w:rsidP="00573B2E">
      <w:pPr>
        <w:pStyle w:val="BodyText"/>
      </w:pPr>
    </w:p>
    <w:tbl>
      <w:tblPr>
        <w:tblW w:w="0" w:type="auto"/>
        <w:tblLayout w:type="fixed"/>
        <w:tblCellMar>
          <w:left w:w="62" w:type="dxa"/>
          <w:right w:w="62" w:type="dxa"/>
        </w:tblCellMar>
        <w:tblLook w:val="0000"/>
      </w:tblPr>
      <w:tblGrid>
        <w:gridCol w:w="1890"/>
        <w:gridCol w:w="1620"/>
        <w:gridCol w:w="4950"/>
      </w:tblGrid>
      <w:tr w:rsidTr="00E82F55">
        <w:tblPrEx>
          <w:tblW w:w="0" w:type="auto"/>
          <w:tblLayout w:type="fixed"/>
          <w:tblCellMar>
            <w:left w:w="62" w:type="dxa"/>
            <w:right w:w="62" w:type="dxa"/>
          </w:tblCellMar>
          <w:tblLook w:val="0000"/>
        </w:tblPrEx>
        <w:trPr>
          <w:trHeight w:val="1250"/>
        </w:trPr>
        <w:tc>
          <w:tcPr>
            <w:tcW w:w="189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9.2)</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Evidence for competence in this unit shall be c</w:t>
            </w:r>
            <w:r w:rsidRPr="00573B2E">
              <w:t>onsidered holistically. Each element and associated Performance Criteria shall be demonstrated:</w:t>
            </w:r>
          </w:p>
          <w:p w:rsidR="00000000" w:rsidRPr="00573B2E" w:rsidP="00573B2E">
            <w:pPr>
              <w:pStyle w:val="ListBullet"/>
            </w:pPr>
            <w:r w:rsidRPr="00573B2E">
              <w:t>On at least two (2) occasions, In accordance with the "Assessment Guidelines” for the UEP12 Training Package.</w:t>
            </w:r>
          </w:p>
          <w:p w:rsidR="00000000" w:rsidRPr="00573B2E" w:rsidP="00573B2E">
            <w:pPr>
              <w:pStyle w:val="BodyText"/>
            </w:pPr>
            <w:r w:rsidRPr="00573B2E">
              <w:t>Evidence shall also comprise:</w:t>
            </w:r>
          </w:p>
          <w:p w:rsidR="00000000" w:rsidRPr="00573B2E" w:rsidP="00573B2E">
            <w:pPr>
              <w:pStyle w:val="ListBullet"/>
            </w:pPr>
            <w:r w:rsidRPr="00573B2E">
              <w:t>A representative body of work performance demonstrated within the timeframe typically expected of the discipline, work function and industrial environment. In particular this shall incorporate evidence that shows a candidate is able to:</w:t>
            </w:r>
          </w:p>
          <w:p w:rsidR="00000000" w:rsidRPr="00573B2E" w:rsidP="00573B2E">
            <w:pPr>
              <w:pStyle w:val="ListBullet2"/>
            </w:pPr>
            <w:r w:rsidRPr="00573B2E">
              <w:t>Implement Occupati</w:t>
            </w:r>
            <w:r w:rsidRPr="00573B2E">
              <w:t>onal Health and Safety workplace procedures and practices including the use of risk control measures as specified in the Performance Criteria and range; and</w:t>
            </w:r>
          </w:p>
          <w:p w:rsidR="00000000" w:rsidRPr="00573B2E" w:rsidP="00573B2E">
            <w:pPr>
              <w:pStyle w:val="ListBullet2"/>
            </w:pPr>
            <w:r w:rsidRPr="00573B2E">
              <w:t>Apply sustainable energy principles and practices as specified in the Performance Criteria and rang</w:t>
            </w:r>
            <w:r w:rsidRPr="00573B2E">
              <w:t>e; and</w:t>
            </w:r>
          </w:p>
          <w:p w:rsidR="00000000" w:rsidRPr="00573B2E" w:rsidP="00573B2E">
            <w:pPr>
              <w:pStyle w:val="ListBullet2"/>
            </w:pPr>
            <w:r w:rsidRPr="00573B2E">
              <w:t>Demonstrate an understanding of the required skills and knowledge as described in this unit to such an extent that the learner's performance outcome is reported in accordance with the preferred approach; namely a percentile graded result, where requ</w:t>
            </w:r>
            <w:r w:rsidRPr="00573B2E">
              <w:t>ired by the regulated environment; and</w:t>
            </w:r>
          </w:p>
          <w:p w:rsidR="00000000" w:rsidRPr="00573B2E" w:rsidP="00573B2E">
            <w:pPr>
              <w:pStyle w:val="ListBullet2"/>
            </w:pPr>
            <w:r w:rsidRPr="00573B2E">
              <w:t>Demonstrate an appropriate level of employability skills; and</w:t>
            </w:r>
          </w:p>
          <w:p w:rsidR="00000000" w:rsidRPr="00573B2E" w:rsidP="00573B2E">
            <w:pPr>
              <w:pStyle w:val="ListBullet2"/>
            </w:pPr>
            <w:r w:rsidRPr="00573B2E">
              <w:t>Conduct work observing the relevant Anti Discrimination legislation, regulations, policies and workplace procedures;  and</w:t>
            </w:r>
          </w:p>
          <w:p w:rsidR="00000000" w:rsidP="00573B2E">
            <w:pPr>
              <w:pStyle w:val="BodyText"/>
              <w:rPr>
                <w:lang w:val="en-NZ"/>
              </w:rPr>
            </w:pPr>
            <w:r w:rsidRPr="00573B2E">
              <w:t>Demonstrated performance across a</w:t>
            </w:r>
            <w:r w:rsidRPr="00573B2E">
              <w:t xml:space="preserve"> representative range of contexts from the prescribed items below:</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E82F55" w:rsidP="00573B2E">
            <w:pPr>
              <w:pStyle w:val="BodyText"/>
            </w:pPr>
            <w:r w:rsidRPr="00573B2E">
              <w:t>A</w:t>
            </w:r>
          </w:p>
          <w:p w:rsidR="00E82F55" w:rsidP="00573B2E">
            <w:pPr>
              <w:pStyle w:val="BodyText"/>
            </w:pPr>
          </w:p>
          <w:p w:rsidR="00000000">
            <w:pPr>
              <w:pStyle w:val="BodyText"/>
              <w:keepNext w:val="0"/>
              <w:keepLines w:val="0"/>
              <w:contextualSpacing w:val="0"/>
              <w:rPr>
                <w:rFonts w:ascii="Tahoma" w:hAnsi="Tahoma"/>
                <w:color w:val="000000"/>
                <w:sz w:val="20"/>
                <w:lang w:val="en-NZ"/>
              </w:rPr>
            </w:pPr>
          </w:p>
        </w:tc>
        <w:tc>
          <w:tcPr>
            <w:tcW w:w="495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All of the following:</w:t>
            </w:r>
          </w:p>
          <w:p w:rsidR="00000000" w:rsidRPr="00573B2E" w:rsidP="00573B2E">
            <w:pPr>
              <w:pStyle w:val="BodyText"/>
            </w:pPr>
            <w:r w:rsidRPr="00573B2E">
              <w:t>Inspect a gearbox using an endoscope</w:t>
            </w:r>
          </w:p>
          <w:p w:rsidR="00000000" w:rsidRPr="00573B2E" w:rsidP="00573B2E">
            <w:pPr>
              <w:pStyle w:val="BodyText"/>
            </w:pPr>
            <w:r w:rsidRPr="00573B2E">
              <w:t>Replace a worn gear in the gearbox</w:t>
            </w:r>
          </w:p>
          <w:p w:rsidR="00000000" w:rsidRPr="00573B2E" w:rsidP="00573B2E">
            <w:pPr>
              <w:pStyle w:val="BodyText"/>
            </w:pPr>
            <w:r w:rsidRPr="00573B2E">
              <w:t>Replace a gearbox bearing</w:t>
            </w:r>
          </w:p>
          <w:p w:rsidR="00000000" w:rsidP="00573B2E">
            <w:pPr>
              <w:pStyle w:val="BodyText"/>
              <w:rPr>
                <w:lang w:val="en-NZ"/>
              </w:rPr>
            </w:pPr>
            <w:r w:rsidRPr="00573B2E">
              <w:t>Perform in-field oil testing</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B</w:t>
            </w:r>
          </w:p>
        </w:tc>
        <w:tc>
          <w:tcPr>
            <w:tcW w:w="495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All of the following:</w:t>
            </w:r>
          </w:p>
          <w:p w:rsidR="00000000" w:rsidRPr="00573B2E" w:rsidP="00573B2E">
            <w:pPr>
              <w:pStyle w:val="BodyText"/>
            </w:pPr>
            <w:r w:rsidRPr="00573B2E">
              <w:t>Diagnose and repair a faulty pitch drive</w:t>
            </w:r>
          </w:p>
          <w:p w:rsidR="00000000" w:rsidP="00573B2E">
            <w:pPr>
              <w:pStyle w:val="BodyText"/>
              <w:rPr>
                <w:lang w:val="en-NZ"/>
              </w:rPr>
            </w:pPr>
            <w:r w:rsidRPr="00573B2E">
              <w:t>Diagnose and repair a faulty yaw drive</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C</w:t>
            </w:r>
          </w:p>
        </w:tc>
        <w:tc>
          <w:tcPr>
            <w:tcW w:w="495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All of the following:</w:t>
            </w:r>
          </w:p>
          <w:p w:rsidR="00000000" w:rsidP="00573B2E">
            <w:pPr>
              <w:pStyle w:val="BodyText"/>
              <w:rPr>
                <w:lang w:val="en-NZ"/>
              </w:rPr>
            </w:pPr>
            <w:r w:rsidRPr="00573B2E">
              <w:t>Diagnose and repair non-pitch turbine braking systems</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D</w:t>
            </w:r>
          </w:p>
        </w:tc>
        <w:tc>
          <w:tcPr>
            <w:tcW w:w="495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All of the following:</w:t>
            </w:r>
          </w:p>
          <w:p w:rsidR="00000000" w:rsidRPr="00573B2E" w:rsidP="00573B2E">
            <w:pPr>
              <w:pStyle w:val="BodyText"/>
            </w:pPr>
            <w:r w:rsidRPr="00573B2E">
              <w:t>Deal with an unplanned event by drawing on essential knowledge and skills to provide appropriate solutions.</w:t>
            </w:r>
          </w:p>
        </w:tc>
      </w:tr>
    </w:tbl>
    <w:p w:rsidR="00000000" w:rsidRPr="00573B2E" w:rsidP="00573B2E">
      <w:pPr>
        <w:pStyle w:val="BodyText"/>
      </w:pPr>
    </w:p>
    <w:tbl>
      <w:tblPr>
        <w:tblW w:w="0" w:type="auto"/>
        <w:tblLayout w:type="fixed"/>
        <w:tblCellMar>
          <w:left w:w="62" w:type="dxa"/>
          <w:right w:w="62" w:type="dxa"/>
        </w:tblCellMar>
        <w:tblLook w:val="0000"/>
      </w:tblPr>
      <w:tblGrid>
        <w:gridCol w:w="1890"/>
        <w:gridCol w:w="6570"/>
      </w:tblGrid>
      <w:tr w:rsidTr="00E82F55">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9.3)</w:t>
            </w:r>
          </w:p>
        </w:tc>
      </w:tr>
      <w:tr w:rsidTr="00E82F55">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d be assessed as it relates to normal work practice using procedures, information and r</w:t>
            </w:r>
            <w:r w:rsidRPr="00573B2E">
              <w:t>esources typical of a workplace. This should include:</w:t>
            </w:r>
          </w:p>
          <w:p w:rsidR="00000000" w:rsidRPr="00573B2E" w:rsidP="00573B2E">
            <w:pPr>
              <w:pStyle w:val="ListBullet2"/>
            </w:pPr>
            <w:r w:rsidRPr="00573B2E">
              <w:t>OHS policy and work procedures and instructions.</w:t>
            </w:r>
          </w:p>
          <w:p w:rsidR="00000000" w:rsidRPr="00573B2E" w:rsidP="00573B2E">
            <w:pPr>
              <w:pStyle w:val="ListBullet2"/>
            </w:pPr>
            <w:r w:rsidRPr="00573B2E">
              <w:t>Suitable work environment, facilities, equipment and materials to undertake actual work as prescribed by this unit.</w:t>
            </w:r>
          </w:p>
          <w:p w:rsidR="00000000" w:rsidRPr="00573B2E" w:rsidP="00573B2E">
            <w:pPr>
              <w:pStyle w:val="BodyText"/>
            </w:pPr>
            <w:r w:rsidRPr="00573B2E">
              <w:t>These should be used in the formal l</w:t>
            </w:r>
            <w:r w:rsidRPr="00573B2E">
              <w:t>earning/assessment environment.</w:t>
            </w:r>
          </w:p>
          <w:p w:rsidR="00000000" w:rsidRPr="00573B2E" w:rsidP="00573B2E">
            <w:pPr>
              <w:pStyle w:val="BodyText"/>
            </w:pPr>
            <w:r w:rsidRPr="00573B2E">
              <w:t>Note:</w:t>
            </w:r>
          </w:p>
          <w:p w:rsidR="00000000" w:rsidRPr="00573B2E" w:rsidP="00573B2E">
            <w:pPr>
              <w:pStyle w:val="BodyText"/>
            </w:pPr>
            <w:r w:rsidRPr="00573B2E">
              <w:t>Where simulation is considered a suitable strategy for assessment, conditions must be authentic and as far as possible reproduce and replicate the workplace and be consistent with the approved industry simulation polic</w:t>
            </w:r>
            <w:r w:rsidRPr="00573B2E">
              <w:t>y.</w:t>
            </w:r>
          </w:p>
          <w:p w:rsidR="00000000" w:rsidRPr="00573B2E" w:rsidP="00573B2E">
            <w:pPr>
              <w:pStyle w:val="BodyText"/>
            </w:pPr>
            <w:r w:rsidRPr="00573B2E">
              <w:t xml:space="preserve">The resources used for assessment should reflect current industry practices in relation to: </w:t>
            </w:r>
          </w:p>
          <w:p w:rsidR="00000000" w:rsidRPr="00573B2E" w:rsidP="00573B2E">
            <w:pPr>
              <w:pStyle w:val="ListBullet2"/>
            </w:pPr>
            <w:r w:rsidRPr="00573B2E">
              <w:t xml:space="preserve">Diagnose and repair mechanical systems faults in wind turbine generators </w:t>
            </w:r>
          </w:p>
        </w:tc>
      </w:tr>
    </w:tbl>
    <w:p w:rsidR="00000000" w:rsidRPr="00573B2E" w:rsidP="00573B2E">
      <w:pPr>
        <w:pStyle w:val="BodyText"/>
      </w:pPr>
    </w:p>
    <w:tbl>
      <w:tblPr>
        <w:tblW w:w="0" w:type="auto"/>
        <w:tblLayout w:type="fixed"/>
        <w:tblCellMar>
          <w:left w:w="62" w:type="dxa"/>
          <w:right w:w="62" w:type="dxa"/>
        </w:tblCellMar>
        <w:tblLook w:val="0000"/>
      </w:tblPr>
      <w:tblGrid>
        <w:gridCol w:w="1890"/>
        <w:gridCol w:w="6570"/>
      </w:tblGrid>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9.4)</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This unit shall be assessed by methods given in 1.3.00 Assessment Guidelines.</w:t>
            </w:r>
          </w:p>
          <w:p w:rsidR="00000000" w:rsidRPr="00573B2E" w:rsidP="00573B2E">
            <w:pPr>
              <w:pStyle w:val="BodyText"/>
            </w:pPr>
            <w:r w:rsidRPr="00573B2E">
              <w:t xml:space="preserve">Note: </w:t>
            </w:r>
          </w:p>
          <w:p w:rsidR="00000000" w:rsidRPr="00573B2E" w:rsidP="00573B2E">
            <w:pPr>
              <w:pStyle w:val="BodyText"/>
            </w:pPr>
            <w:r w:rsidRPr="00573B2E">
              <w:t>Competent performance with inherent safe working practices is expected in the Industry to which this unit applies. This requires that the specified essential knowledge and</w:t>
            </w:r>
            <w:r w:rsidRPr="00573B2E">
              <w:t xml:space="preserve"> associated skills are assessed in a structured environment which is primarily intended for learning/assessment and incorporates all necessary equipment and facilities for learners to develop and demonstrate the essential knowledge and skills described in </w:t>
            </w:r>
            <w:r w:rsidRPr="00573B2E">
              <w:t>this unit.</w:t>
            </w:r>
          </w:p>
        </w:tc>
      </w:tr>
    </w:tbl>
    <w:p w:rsidR="00000000" w:rsidRPr="00573B2E" w:rsidP="00573B2E">
      <w:pPr>
        <w:pStyle w:val="BodyText"/>
      </w:pPr>
    </w:p>
    <w:tbl>
      <w:tblPr>
        <w:tblW w:w="0" w:type="auto"/>
        <w:tblLayout w:type="fixed"/>
        <w:tblCellMar>
          <w:left w:w="62" w:type="dxa"/>
          <w:right w:w="62" w:type="dxa"/>
        </w:tblCellMar>
        <w:tblLook w:val="0000"/>
      </w:tblPr>
      <w:tblGrid>
        <w:gridCol w:w="1890"/>
        <w:gridCol w:w="1350"/>
        <w:gridCol w:w="5220"/>
      </w:tblGrid>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9.5)</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For optimisation of training and assessment effort, competency development in this unit may be arranged concurrently with units:</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Unit Code</w:t>
            </w:r>
          </w:p>
        </w:tc>
        <w:tc>
          <w:tcPr>
            <w:tcW w:w="522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Unit Title</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UEPMNT448A</w:t>
            </w:r>
          </w:p>
        </w:tc>
        <w:tc>
          <w:tcPr>
            <w:tcW w:w="522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Diagnose and repair faults in wind turbine generator control systems</w:t>
            </w:r>
          </w:p>
        </w:tc>
      </w:tr>
      <w:tr w:rsidTr="00E82F55">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t>UEPMNT447A</w:t>
            </w:r>
          </w:p>
        </w:tc>
        <w:tc>
          <w:tcPr>
            <w:tcW w:w="522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Diagnose and repair faults in wind turbine generator electrical systems</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11" w:name="O_505288"/>
      <w:bookmarkEnd w:id="11"/>
      <w:r w:rsidRPr="00573B2E">
        <w:t>Range Statement</w:t>
      </w:r>
    </w:p>
    <w:tbl>
      <w:tblPr>
        <w:tblW w:w="0" w:type="auto"/>
        <w:tblLayout w:type="fixed"/>
        <w:tblCellMar>
          <w:left w:w="62" w:type="dxa"/>
          <w:right w:w="62" w:type="dxa"/>
        </w:tblCellMar>
        <w:tblLook w:val="0000"/>
      </w:tblPr>
      <w:tblGrid>
        <w:gridCol w:w="8460"/>
      </w:tblGrid>
      <w:tr w:rsidTr="00E82F5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RANGE STATEMENT</w:t>
            </w:r>
          </w:p>
        </w:tc>
      </w:tr>
      <w:tr w:rsidTr="00E82F55">
        <w:tblPrEx>
          <w:tblW w:w="0" w:type="auto"/>
          <w:tblLayout w:type="fixed"/>
          <w:tblCellMar>
            <w:left w:w="62" w:type="dxa"/>
            <w:right w:w="62" w:type="dxa"/>
          </w:tblCellMar>
          <w:tblLook w:val="0000"/>
        </w:tblPrEx>
        <w:trPr>
          <w:trHeight w:val="346"/>
        </w:trPr>
        <w:tc>
          <w:tcPr>
            <w:tcW w:w="84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10)</w:t>
            </w:r>
            <w:r w:rsidRPr="00573B2E">
              <w:t xml:space="preserve"> This relates to the competency standard unit as a whole providing the range of contexts and conditions to which the Performance Criteria apply. It allows for different work environments and situations that will affect performance.</w:t>
            </w:r>
          </w:p>
          <w:p w:rsidR="00000000" w:rsidRPr="00573B2E" w:rsidP="00573B2E">
            <w:pPr>
              <w:pStyle w:val="BodyText"/>
            </w:pPr>
            <w:r w:rsidRPr="00573B2E">
              <w:t>Climbing equipment inclu</w:t>
            </w:r>
            <w:r w:rsidRPr="00573B2E">
              <w:t>des personnel lifts, climb assist, elevators, ladders</w:t>
            </w:r>
          </w:p>
          <w:p w:rsidR="00000000" w:rsidRPr="00573B2E" w:rsidP="00573B2E">
            <w:pPr>
              <w:pStyle w:val="BodyText"/>
            </w:pPr>
            <w:r w:rsidRPr="00573B2E">
              <w:t>Lifting apparatus includes winches and cranes</w:t>
            </w:r>
          </w:p>
          <w:p w:rsidR="00000000" w:rsidRPr="00573B2E" w:rsidP="00573B2E">
            <w:pPr>
              <w:pStyle w:val="BodyText"/>
            </w:pPr>
            <w:r w:rsidRPr="00573B2E">
              <w:t>Equipment includes: pitch drives, yaw drive, gearbox, non-pitch turbine braking systems</w:t>
            </w:r>
          </w:p>
          <w:p w:rsidR="00000000" w:rsidRPr="00573B2E" w:rsidP="00573B2E">
            <w:pPr>
              <w:pStyle w:val="BodyText"/>
            </w:pPr>
            <w:r w:rsidRPr="00573B2E">
              <w:t>Repairs may include complete change out of gearbox, pitch drives, ya</w:t>
            </w:r>
            <w:r w:rsidRPr="00573B2E">
              <w:t>w drives</w:t>
            </w:r>
          </w:p>
          <w:p w:rsidR="00000000" w:rsidRPr="00573B2E" w:rsidP="00573B2E">
            <w:pPr>
              <w:pStyle w:val="BodyText"/>
            </w:pPr>
            <w:r w:rsidRPr="00573B2E">
              <w:t xml:space="preserve">Gearbox diagnosis and repair may include: micro-pitting, grinding temper, pressure marking, contaminated oil, rust, contamination by foreign bodies, oil leaks, choked breathers, loose mountings, excessive vibration, oil temperature out-of-limits, </w:t>
            </w:r>
            <w:r w:rsidRPr="00573B2E">
              <w:t>shaft replacement</w:t>
            </w:r>
          </w:p>
          <w:p w:rsidR="00000000" w:rsidRPr="00573B2E" w:rsidP="00573B2E">
            <w:pPr>
              <w:pStyle w:val="BodyText"/>
            </w:pPr>
            <w:r w:rsidRPr="00573B2E">
              <w:t>Tools may include spanners, screwdrivers, side cutters, pliers, high torque wrench, grease pump, endoscope, callipers, micrometers, wire gauges, feeler gauges</w:t>
            </w:r>
          </w:p>
          <w:p w:rsidR="00000000" w:rsidRPr="00573B2E" w:rsidP="00573B2E">
            <w:pPr>
              <w:pStyle w:val="BodyText"/>
            </w:pPr>
            <w:r w:rsidRPr="00573B2E">
              <w:t>Test equipment may include laser alignment tools, multimeters, laptop computers</w:t>
            </w:r>
            <w:r w:rsidRPr="00573B2E">
              <w:t>, PC tablet, smart phones and other data acquisition tools and equipment.</w:t>
            </w:r>
          </w:p>
          <w:p w:rsidR="00000000" w:rsidRPr="00573B2E" w:rsidP="00573B2E">
            <w:pPr>
              <w:pStyle w:val="BodyText"/>
            </w:pPr>
            <w:r w:rsidRPr="00573B2E">
              <w:t>Consumables may include gearbox oils, bearing grease, paint, detergents, ‘Loctite’</w:t>
            </w:r>
          </w:p>
          <w:p w:rsidR="00000000" w:rsidRPr="00573B2E" w:rsidP="00573B2E">
            <w:pPr>
              <w:pStyle w:val="BodyText"/>
            </w:pPr>
            <w:r w:rsidRPr="00573B2E">
              <w:t>Large Scale Wind Generators (WTGs) include systems having a rating of greater than 10 kW</w:t>
            </w:r>
          </w:p>
          <w:p w:rsidR="00000000" w:rsidRPr="00573B2E" w:rsidP="00573B2E">
            <w:pPr>
              <w:pStyle w:val="BodyText"/>
            </w:pPr>
            <w:r w:rsidRPr="00573B2E">
              <w:t>Work completion details may include plant and maintenance records, job cards, check sheets, on device labelling updates and reporting and/or documenting equipment defects.</w:t>
            </w:r>
          </w:p>
          <w:p w:rsidR="00000000" w:rsidRPr="00573B2E" w:rsidP="00573B2E">
            <w:pPr>
              <w:pStyle w:val="BodyText"/>
            </w:pPr>
            <w:r w:rsidRPr="00573B2E">
              <w:t>Work site environment may be affected by nearby plant or processes and climatic cond</w:t>
            </w:r>
            <w:r w:rsidRPr="00573B2E">
              <w:t>itions e.g. wind speed, chemical, heat, dust, noise, height and oil.</w:t>
            </w:r>
          </w:p>
          <w:p w:rsidR="00000000" w:rsidRPr="00573B2E" w:rsidP="00573B2E">
            <w:pPr>
              <w:pStyle w:val="BodyText"/>
            </w:pPr>
            <w:r w:rsidRPr="00573B2E">
              <w:t>Location of wind turbine generators may be in urban, suburban, regional or rural locales and environments.</w:t>
            </w:r>
          </w:p>
          <w:p w:rsidR="00000000" w:rsidRPr="00573B2E" w:rsidP="00573B2E">
            <w:pPr>
              <w:pStyle w:val="BodyText"/>
            </w:pPr>
            <w:r w:rsidRPr="00573B2E">
              <w:t>Documentation may be either paper-based or electronic format.</w:t>
            </w:r>
          </w:p>
          <w:p w:rsidR="00000000" w:rsidRPr="00573B2E" w:rsidP="00573B2E">
            <w:pPr>
              <w:pStyle w:val="BodyText"/>
            </w:pPr>
            <w:r w:rsidRPr="00573B2E">
              <w:t>Isolations can ref</w:t>
            </w:r>
            <w:r w:rsidRPr="00573B2E">
              <w:t>er to electrical/mechanical or other associated processes.</w:t>
            </w:r>
          </w:p>
          <w:p w:rsidR="00000000" w:rsidRPr="00573B2E" w:rsidP="00573B2E">
            <w:pPr>
              <w:pStyle w:val="BodyText"/>
            </w:pPr>
            <w:r w:rsidRPr="00573B2E">
              <w:t>Generic terms used throughout this Vocational Standard shall be regarded as part of the Range Statement in which competency is demonstrated. The definition of these and other terms that apply are g</w:t>
            </w:r>
            <w:r w:rsidRPr="00573B2E">
              <w:t>iven in the Glossaries, Section 2.1 of this Training Package.</w:t>
            </w:r>
          </w:p>
        </w:tc>
      </w:tr>
    </w:tbl>
    <w:p w:rsidR="00000000" w:rsidRPr="00573B2E" w:rsidP="00573B2E">
      <w:pPr>
        <w:pStyle w:val="BodyText"/>
      </w:pPr>
    </w:p>
    <w:p w:rsidR="00000000" w:rsidRPr="00573B2E" w:rsidP="00573B2E">
      <w:pPr>
        <w:pStyle w:val="AllowPageBreak"/>
      </w:pPr>
    </w:p>
    <w:p w:rsidR="00000000" w:rsidRPr="00573B2E" w:rsidP="00573B2E">
      <w:pPr>
        <w:pStyle w:val="Heading1"/>
      </w:pPr>
      <w:bookmarkStart w:id="12" w:name="O_505291"/>
      <w:bookmarkEnd w:id="12"/>
      <w:r w:rsidRPr="00573B2E">
        <w:t>Unit Sector(s)</w:t>
      </w:r>
    </w:p>
    <w:p w:rsidR="00000000" w:rsidRPr="00573B2E" w:rsidP="00573B2E">
      <w:pPr>
        <w:pStyle w:val="BodyText"/>
      </w:pPr>
      <w:r w:rsidRPr="00573B2E">
        <w:t>Not applicable.</w:t>
      </w:r>
    </w:p>
    <w:p w:rsidR="00000000" w:rsidRPr="00573B2E" w:rsidP="00573B2E">
      <w:pPr>
        <w:pStyle w:val="AllowPageBreak"/>
      </w:pPr>
    </w:p>
    <w:p w:rsidR="00000000" w:rsidRPr="00573B2E" w:rsidP="00573B2E">
      <w:pPr>
        <w:pStyle w:val="Heading1"/>
      </w:pPr>
      <w:bookmarkStart w:id="13" w:name="O_505280"/>
      <w:bookmarkEnd w:id="13"/>
      <w:r w:rsidRPr="00573B2E">
        <w:t>Competency Field</w:t>
      </w:r>
    </w:p>
    <w:tbl>
      <w:tblPr>
        <w:tblW w:w="0" w:type="auto"/>
        <w:tblLayout w:type="fixed"/>
        <w:tblCellMar>
          <w:left w:w="62" w:type="dxa"/>
          <w:right w:w="62" w:type="dxa"/>
        </w:tblCellMar>
        <w:tblLook w:val="0000"/>
      </w:tblPr>
      <w:tblGrid>
        <w:gridCol w:w="2700"/>
        <w:gridCol w:w="5760"/>
      </w:tblGrid>
      <w:tr w:rsidTr="00E82F5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73B2E">
            <w:pPr>
              <w:pStyle w:val="BodyText"/>
              <w:rPr>
                <w:lang w:val="en-NZ"/>
              </w:rPr>
            </w:pPr>
            <w:r w:rsidRPr="00573B2E">
              <w:rPr>
                <w:rStyle w:val="SpecialBold"/>
              </w:rPr>
              <w:t xml:space="preserve">11) </w:t>
            </w:r>
          </w:p>
        </w:tc>
      </w:tr>
      <w:tr w:rsidTr="00E82F5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73B2E" w:rsidP="00573B2E">
            <w:pPr>
              <w:pStyle w:val="BodyText"/>
            </w:pPr>
            <w:r w:rsidRPr="00573B2E">
              <w:t>Maintenance.</w:t>
            </w:r>
          </w:p>
        </w:tc>
      </w:tr>
    </w:tbl>
    <w:p w:rsidR="00000000" w:rsidRPr="00573B2E" w:rsidP="00573B2E">
      <w:pPr>
        <w:pStyle w:val="BodyText"/>
      </w:pPr>
    </w:p>
    <w:p w:rsidR="00000000" w:rsidRPr="00573B2E" w:rsidP="00573B2E"/>
    <w:sectPr w:rsidSect="00573B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2E" w:rsidRPr="00E82F55" w:rsidP="00E82F5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55" w:rsidP="00573B2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82F55" w:rsidP="00573B2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82F55" w:rsidP="00573B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2E" w:rsidRPr="00E82F55" w:rsidP="00E82F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B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F55" w:rsidRPr="002D2AF8" w:rsidP="00573B2E">
    <w:pPr>
      <w:pStyle w:val="Header"/>
      <w:framePr w:wrap="around"/>
    </w:pPr>
    <w:r>
      <w:fldChar w:fldCharType="begin"/>
    </w:r>
    <w:r>
      <w:instrText xml:space="preserve"> TITLE   \* MERGEFORMAT </w:instrText>
    </w:r>
    <w:r>
      <w:fldChar w:fldCharType="separate"/>
    </w:r>
    <w:r>
      <w:t>UEPMNT449A Diagnose and repair mechanical systems faults in wind turbine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March 2013</w:t>
    </w:r>
    <w:r>
      <w:fldChar w:fldCharType="end"/>
    </w:r>
  </w:p>
  <w:p w:rsidR="00E82F55" w:rsidP="00573B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5867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E24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EE9A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B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B2E"/>
    <w:pPr>
      <w:spacing w:before="360" w:after="60"/>
      <w:outlineLvl w:val="0"/>
    </w:pPr>
    <w:rPr>
      <w:sz w:val="32"/>
    </w:rPr>
  </w:style>
  <w:style w:type="paragraph" w:styleId="Heading2">
    <w:name w:val="heading 2"/>
    <w:basedOn w:val="HeadingBase"/>
    <w:next w:val="BodyText"/>
    <w:link w:val="Heading2Char"/>
    <w:qFormat/>
    <w:rsid w:val="00573B2E"/>
    <w:pPr>
      <w:keepLines/>
      <w:spacing w:before="240" w:after="120"/>
      <w:outlineLvl w:val="1"/>
    </w:pPr>
    <w:rPr>
      <w:sz w:val="28"/>
      <w:szCs w:val="40"/>
    </w:rPr>
  </w:style>
  <w:style w:type="paragraph" w:styleId="Heading3">
    <w:name w:val="heading 3"/>
    <w:basedOn w:val="HeadingBase"/>
    <w:next w:val="BodyText"/>
    <w:link w:val="Heading3Char"/>
    <w:qFormat/>
    <w:rsid w:val="00573B2E"/>
    <w:pPr>
      <w:spacing w:before="180" w:after="120"/>
      <w:outlineLvl w:val="2"/>
    </w:pPr>
    <w:rPr>
      <w:spacing w:val="-10"/>
      <w:kern w:val="32"/>
    </w:rPr>
  </w:style>
  <w:style w:type="paragraph" w:styleId="Heading4">
    <w:name w:val="heading 4"/>
    <w:basedOn w:val="HeadingBase"/>
    <w:next w:val="BodyText"/>
    <w:link w:val="Heading4Char"/>
    <w:qFormat/>
    <w:rsid w:val="00573B2E"/>
    <w:pPr>
      <w:spacing w:before="160" w:after="120"/>
      <w:outlineLvl w:val="3"/>
    </w:pPr>
    <w:rPr>
      <w:sz w:val="22"/>
    </w:rPr>
  </w:style>
  <w:style w:type="paragraph" w:styleId="Heading5">
    <w:name w:val="heading 5"/>
    <w:basedOn w:val="HeadingBase"/>
    <w:next w:val="Normal"/>
    <w:link w:val="Heading5Char"/>
    <w:qFormat/>
    <w:rsid w:val="00573B2E"/>
    <w:pPr>
      <w:spacing w:before="80"/>
      <w:outlineLvl w:val="4"/>
    </w:pPr>
    <w:rPr>
      <w:color w:val="918585"/>
      <w:sz w:val="20"/>
    </w:rPr>
  </w:style>
  <w:style w:type="paragraph" w:styleId="Heading6">
    <w:name w:val="heading 6"/>
    <w:basedOn w:val="HeadingBase"/>
    <w:next w:val="Normal"/>
    <w:link w:val="Heading6Char"/>
    <w:qFormat/>
    <w:rsid w:val="00573B2E"/>
    <w:pPr>
      <w:spacing w:before="60"/>
      <w:outlineLvl w:val="5"/>
    </w:pPr>
    <w:rPr>
      <w:color w:val="918585"/>
      <w:sz w:val="20"/>
    </w:rPr>
  </w:style>
  <w:style w:type="paragraph" w:styleId="Heading7">
    <w:name w:val="heading 7"/>
    <w:basedOn w:val="Normal"/>
    <w:next w:val="Normal"/>
    <w:link w:val="Heading7Char"/>
    <w:qFormat/>
    <w:rsid w:val="00573B2E"/>
    <w:pPr>
      <w:ind w:left="720"/>
      <w:outlineLvl w:val="6"/>
    </w:pPr>
    <w:rPr>
      <w:i/>
    </w:rPr>
  </w:style>
  <w:style w:type="paragraph" w:styleId="Heading8">
    <w:name w:val="heading 8"/>
    <w:basedOn w:val="Normal"/>
    <w:next w:val="Normal"/>
    <w:link w:val="Heading8Char"/>
    <w:qFormat/>
    <w:rsid w:val="00573B2E"/>
    <w:pPr>
      <w:ind w:left="720"/>
      <w:outlineLvl w:val="7"/>
    </w:pPr>
    <w:rPr>
      <w:i/>
    </w:rPr>
  </w:style>
  <w:style w:type="paragraph" w:styleId="Heading9">
    <w:name w:val="heading 9"/>
    <w:basedOn w:val="Normal"/>
    <w:next w:val="Normal"/>
    <w:link w:val="Heading9Char"/>
    <w:qFormat/>
    <w:rsid w:val="00573B2E"/>
    <w:pPr>
      <w:ind w:left="720"/>
      <w:outlineLvl w:val="8"/>
    </w:pPr>
    <w:rPr>
      <w:i/>
    </w:rPr>
  </w:style>
  <w:style w:type="character" w:default="1" w:styleId="DefaultParagraphFont">
    <w:name w:val="Default Paragraph Font"/>
    <w:uiPriority w:val="1"/>
    <w:unhideWhenUsed/>
    <w:rsid w:val="00573B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B2E"/>
  </w:style>
  <w:style w:type="character" w:customStyle="1" w:styleId="Heading1Char">
    <w:name w:val="Heading 1 Char"/>
    <w:basedOn w:val="DefaultParagraphFont"/>
    <w:link w:val="Heading1"/>
    <w:rsid w:val="00573B2E"/>
    <w:rPr>
      <w:rFonts w:ascii="Times New Roman" w:eastAsia="Times New Roman" w:hAnsi="Times New Roman" w:cs="Times New Roman"/>
      <w:b/>
      <w:sz w:val="32"/>
      <w:szCs w:val="20"/>
      <w:lang w:eastAsia="en-US"/>
    </w:rPr>
  </w:style>
  <w:style w:type="paragraph" w:styleId="BodyText">
    <w:name w:val="Body Text"/>
    <w:basedOn w:val="Normal"/>
    <w:link w:val="BodyTextChar"/>
    <w:rsid w:val="00573B2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B2E"/>
    <w:rPr>
      <w:rFonts w:ascii="Times New Roman" w:eastAsia="Times New Roman" w:hAnsi="Times New Roman" w:cs="Times New Roman"/>
      <w:sz w:val="24"/>
      <w:lang w:eastAsia="en-US"/>
    </w:rPr>
  </w:style>
  <w:style w:type="paragraph" w:styleId="ListBullet">
    <w:name w:val="List Bullet"/>
    <w:basedOn w:val="List"/>
    <w:rsid w:val="00573B2E"/>
    <w:pPr>
      <w:numPr>
        <w:numId w:val="13"/>
      </w:numPr>
      <w:tabs>
        <w:tab w:val="clear" w:pos="340"/>
      </w:tabs>
      <w:spacing w:before="40" w:after="40"/>
    </w:pPr>
  </w:style>
  <w:style w:type="character" w:customStyle="1" w:styleId="SpecialBold">
    <w:name w:val="Special Bold"/>
    <w:basedOn w:val="DefaultParagraphFont"/>
    <w:rsid w:val="00573B2E"/>
    <w:rPr>
      <w:b/>
      <w:spacing w:val="0"/>
    </w:rPr>
  </w:style>
  <w:style w:type="paragraph" w:styleId="ListBullet2">
    <w:name w:val="List Bullet 2"/>
    <w:basedOn w:val="List2"/>
    <w:rsid w:val="00573B2E"/>
    <w:pPr>
      <w:numPr>
        <w:numId w:val="14"/>
      </w:numPr>
      <w:tabs>
        <w:tab w:val="clear" w:pos="680"/>
      </w:tabs>
    </w:pPr>
  </w:style>
  <w:style w:type="paragraph" w:customStyle="1" w:styleId="SuperHeading">
    <w:name w:val="SuperHeading"/>
    <w:basedOn w:val="Normal"/>
    <w:rsid w:val="00573B2E"/>
    <w:pPr>
      <w:spacing w:before="240" w:after="120"/>
      <w:outlineLvl w:val="0"/>
    </w:pPr>
    <w:rPr>
      <w:rFonts w:ascii="Times New Roman" w:hAnsi="Times New Roman"/>
      <w:b/>
      <w:sz w:val="32"/>
    </w:rPr>
  </w:style>
  <w:style w:type="paragraph" w:customStyle="1" w:styleId="AllowPageBreak">
    <w:name w:val="AllowPageBreak"/>
    <w:rsid w:val="00573B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3B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B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B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B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B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B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B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B2E"/>
    <w:rPr>
      <w:rFonts w:ascii="Courier New" w:eastAsia="Times New Roman" w:hAnsi="Courier New" w:cs="Times New Roman"/>
      <w:i/>
      <w:szCs w:val="20"/>
      <w:lang w:eastAsia="en-US"/>
    </w:rPr>
  </w:style>
  <w:style w:type="paragraph" w:customStyle="1" w:styleId="HeadingBase">
    <w:name w:val="Heading Base"/>
    <w:rsid w:val="00573B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B2E"/>
    <w:pPr>
      <w:tabs>
        <w:tab w:val="right" w:leader="dot" w:pos="9072"/>
      </w:tabs>
      <w:ind w:left="567"/>
    </w:pPr>
    <w:rPr>
      <w:szCs w:val="22"/>
    </w:rPr>
  </w:style>
  <w:style w:type="paragraph" w:customStyle="1" w:styleId="TOCBase">
    <w:name w:val="TOC Base"/>
    <w:rsid w:val="00573B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B2E"/>
    <w:pPr>
      <w:tabs>
        <w:tab w:val="right" w:leader="dot" w:pos="9072"/>
      </w:tabs>
      <w:spacing w:before="40" w:after="40"/>
      <w:ind w:left="284"/>
    </w:pPr>
    <w:rPr>
      <w:rFonts w:ascii="Times New Roman" w:hAnsi="Times New Roman"/>
    </w:rPr>
  </w:style>
  <w:style w:type="paragraph" w:styleId="TOC1">
    <w:name w:val="toc 1"/>
    <w:basedOn w:val="TOCBase"/>
    <w:next w:val="Normal"/>
    <w:rsid w:val="00573B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B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B2E"/>
    <w:rPr>
      <w:rFonts w:ascii="Times New Roman" w:eastAsia="Times New Roman" w:hAnsi="Times New Roman" w:cs="Times New Roman"/>
      <w:sz w:val="16"/>
      <w:lang w:eastAsia="en-US"/>
    </w:rPr>
  </w:style>
  <w:style w:type="paragraph" w:styleId="Title">
    <w:name w:val="Title"/>
    <w:basedOn w:val="HeadingBase"/>
    <w:link w:val="TitleChar"/>
    <w:qFormat/>
    <w:rsid w:val="00573B2E"/>
    <w:pPr>
      <w:spacing w:before="5040"/>
      <w:jc w:val="center"/>
    </w:pPr>
    <w:rPr>
      <w:sz w:val="48"/>
      <w:szCs w:val="72"/>
      <w:lang w:val="en-US"/>
    </w:rPr>
  </w:style>
  <w:style w:type="character" w:customStyle="1" w:styleId="TitleChar">
    <w:name w:val="Title Char"/>
    <w:basedOn w:val="DefaultParagraphFont"/>
    <w:link w:val="Title"/>
    <w:rsid w:val="00573B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B2E"/>
    <w:pPr>
      <w:tabs>
        <w:tab w:val="left" w:pos="3600"/>
        <w:tab w:val="left" w:pos="3958"/>
      </w:tabs>
    </w:pPr>
  </w:style>
  <w:style w:type="paragraph" w:styleId="List">
    <w:name w:val="List"/>
    <w:basedOn w:val="BodyText"/>
    <w:next w:val="BodyText"/>
    <w:rsid w:val="00573B2E"/>
    <w:pPr>
      <w:tabs>
        <w:tab w:val="left" w:pos="340"/>
      </w:tabs>
      <w:spacing w:before="60" w:after="60"/>
      <w:ind w:left="340" w:hanging="340"/>
    </w:pPr>
  </w:style>
  <w:style w:type="paragraph" w:customStyle="1" w:styleId="Note">
    <w:name w:val="Note"/>
    <w:basedOn w:val="BodyText"/>
    <w:rsid w:val="00573B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B2E"/>
    <w:pPr>
      <w:framePr w:wrap="auto" w:hAnchor="text" w:y="6049"/>
    </w:pPr>
    <w:rPr>
      <w:color w:val="000000"/>
      <w:sz w:val="40"/>
    </w:rPr>
  </w:style>
  <w:style w:type="paragraph" w:customStyle="1" w:styleId="TOCTitle">
    <w:name w:val="TOCTitle"/>
    <w:basedOn w:val="Heading1"/>
    <w:rsid w:val="00573B2E"/>
    <w:pPr>
      <w:spacing w:after="240"/>
      <w:jc w:val="center"/>
      <w:outlineLvl w:val="9"/>
    </w:pPr>
    <w:rPr>
      <w:caps/>
    </w:rPr>
  </w:style>
  <w:style w:type="paragraph" w:customStyle="1" w:styleId="Version">
    <w:name w:val="Version"/>
    <w:rsid w:val="00573B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B2E"/>
    <w:pPr>
      <w:keepNext w:val="0"/>
      <w:tabs>
        <w:tab w:val="right" w:pos="4176"/>
      </w:tabs>
      <w:ind w:left="198" w:hanging="198"/>
    </w:pPr>
    <w:rPr>
      <w:rFonts w:ascii="Garamond" w:hAnsi="Garamond"/>
    </w:rPr>
  </w:style>
  <w:style w:type="paragraph" w:styleId="IndexHeading">
    <w:name w:val="index heading"/>
    <w:basedOn w:val="Normal"/>
    <w:next w:val="Index1"/>
    <w:semiHidden/>
    <w:rsid w:val="00573B2E"/>
    <w:pPr>
      <w:spacing w:before="120" w:after="120"/>
    </w:pPr>
    <w:rPr>
      <w:rFonts w:ascii="Arial" w:hAnsi="Arial"/>
      <w:b/>
      <w:color w:val="918585"/>
      <w:sz w:val="24"/>
    </w:rPr>
  </w:style>
  <w:style w:type="paragraph" w:styleId="Header">
    <w:name w:val="header"/>
    <w:basedOn w:val="Normal"/>
    <w:link w:val="HeaderChar"/>
    <w:rsid w:val="00573B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B2E"/>
    <w:rPr>
      <w:rFonts w:ascii="Times New Roman" w:eastAsia="Times New Roman" w:hAnsi="Times New Roman" w:cs="Times New Roman"/>
      <w:sz w:val="16"/>
      <w:szCs w:val="20"/>
      <w:lang w:val="en-GB" w:eastAsia="en-US"/>
    </w:rPr>
  </w:style>
  <w:style w:type="paragraph" w:customStyle="1" w:styleId="Chapter">
    <w:name w:val="Chapter"/>
    <w:basedOn w:val="Normal"/>
    <w:rsid w:val="00573B2E"/>
    <w:pPr>
      <w:spacing w:before="240"/>
    </w:pPr>
    <w:rPr>
      <w:rFonts w:ascii="Times New Roman" w:hAnsi="Times New Roman"/>
      <w:smallCaps/>
      <w:spacing w:val="80"/>
      <w:sz w:val="28"/>
    </w:rPr>
  </w:style>
  <w:style w:type="paragraph" w:customStyle="1" w:styleId="InChapter">
    <w:name w:val="InChapter"/>
    <w:basedOn w:val="Heading3"/>
    <w:rsid w:val="00573B2E"/>
    <w:pPr>
      <w:spacing w:after="240"/>
      <w:outlineLvl w:val="9"/>
    </w:pPr>
    <w:rPr>
      <w:noProof/>
    </w:rPr>
  </w:style>
  <w:style w:type="paragraph" w:styleId="Index2">
    <w:name w:val="index 2"/>
    <w:basedOn w:val="Normal"/>
    <w:next w:val="Normal"/>
    <w:semiHidden/>
    <w:rsid w:val="00573B2E"/>
    <w:pPr>
      <w:tabs>
        <w:tab w:val="right" w:pos="4176"/>
      </w:tabs>
      <w:ind w:left="568" w:hanging="284"/>
    </w:pPr>
    <w:rPr>
      <w:rFonts w:ascii="Garamond" w:hAnsi="Garamond"/>
    </w:rPr>
  </w:style>
  <w:style w:type="paragraph" w:customStyle="1" w:styleId="Byline">
    <w:name w:val="Byline"/>
    <w:rsid w:val="00573B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B2E"/>
    <w:pPr>
      <w:tabs>
        <w:tab w:val="clear" w:pos="3600"/>
        <w:tab w:val="clear" w:pos="3958"/>
      </w:tabs>
      <w:jc w:val="right"/>
    </w:pPr>
  </w:style>
  <w:style w:type="character" w:styleId="Emphasis">
    <w:name w:val="Emphasis"/>
    <w:basedOn w:val="DefaultParagraphFont"/>
    <w:qFormat/>
    <w:rsid w:val="00573B2E"/>
    <w:rPr>
      <w:i/>
    </w:rPr>
  </w:style>
  <w:style w:type="paragraph" w:styleId="Caption">
    <w:name w:val="caption"/>
    <w:basedOn w:val="BodyText"/>
    <w:next w:val="Normal"/>
    <w:qFormat/>
    <w:rsid w:val="00573B2E"/>
    <w:pPr>
      <w:framePr w:w="2268" w:hSpace="181" w:vSpace="181" w:wrap="around" w:vAnchor="text" w:hAnchor="page" w:x="1135" w:y="285" w:anchorLock="1"/>
    </w:pPr>
    <w:rPr>
      <w:i/>
    </w:rPr>
  </w:style>
  <w:style w:type="paragraph" w:customStyle="1" w:styleId="MiniTOCTitle">
    <w:name w:val="MiniTOCTitle"/>
    <w:basedOn w:val="Heading4"/>
    <w:rsid w:val="00573B2E"/>
    <w:pPr>
      <w:spacing w:before="240"/>
      <w:outlineLvl w:val="9"/>
    </w:pPr>
    <w:rPr>
      <w:noProof/>
      <w:sz w:val="24"/>
    </w:rPr>
  </w:style>
  <w:style w:type="paragraph" w:customStyle="1" w:styleId="MiniTOCItem">
    <w:name w:val="MiniTOCItem"/>
    <w:basedOn w:val="ListBullet"/>
    <w:rsid w:val="00573B2E"/>
    <w:pPr>
      <w:numPr>
        <w:numId w:val="0"/>
      </w:numPr>
      <w:tabs>
        <w:tab w:val="right" w:leader="dot" w:pos="6521"/>
      </w:tabs>
      <w:spacing w:before="0" w:after="0"/>
    </w:pPr>
  </w:style>
  <w:style w:type="paragraph" w:customStyle="1" w:styleId="TOFTitle">
    <w:name w:val="TOFTitle"/>
    <w:basedOn w:val="TOCTitle"/>
    <w:rsid w:val="00573B2E"/>
  </w:style>
  <w:style w:type="paragraph" w:styleId="TableofFigures">
    <w:name w:val="table of figures"/>
    <w:basedOn w:val="Normal"/>
    <w:next w:val="Normal"/>
    <w:semiHidden/>
    <w:rsid w:val="00573B2E"/>
    <w:pPr>
      <w:tabs>
        <w:tab w:val="right" w:leader="dot" w:pos="9072"/>
      </w:tabs>
      <w:ind w:left="970" w:hanging="403"/>
    </w:pPr>
    <w:rPr>
      <w:rFonts w:ascii="Times New Roman" w:hAnsi="Times New Roman"/>
      <w:b/>
    </w:rPr>
  </w:style>
  <w:style w:type="paragraph" w:styleId="ListNumber">
    <w:name w:val="List Number"/>
    <w:basedOn w:val="List"/>
    <w:rsid w:val="00573B2E"/>
    <w:pPr>
      <w:numPr>
        <w:numId w:val="11"/>
      </w:numPr>
    </w:pPr>
  </w:style>
  <w:style w:type="character" w:customStyle="1" w:styleId="WingdingSymbols">
    <w:name w:val="Wingding Symbols"/>
    <w:rsid w:val="00573B2E"/>
    <w:rPr>
      <w:rFonts w:ascii="Wingdings" w:hAnsi="Wingdings"/>
    </w:rPr>
  </w:style>
  <w:style w:type="paragraph" w:customStyle="1" w:styleId="TableHeading">
    <w:name w:val="Table Heading"/>
    <w:basedOn w:val="HeadingBase"/>
    <w:rsid w:val="00573B2E"/>
    <w:pPr>
      <w:keepLines/>
      <w:pBdr>
        <w:bottom w:val="single" w:sz="6" w:space="1" w:color="918585"/>
      </w:pBdr>
      <w:spacing w:before="240"/>
    </w:pPr>
  </w:style>
  <w:style w:type="character" w:customStyle="1" w:styleId="HotSpot">
    <w:name w:val="HotSpot"/>
    <w:rsid w:val="00573B2E"/>
    <w:rPr>
      <w:color w:val="0033CC"/>
      <w:u w:val="none"/>
    </w:rPr>
  </w:style>
  <w:style w:type="paragraph" w:customStyle="1" w:styleId="BodyTextRight">
    <w:name w:val="Body Text Right"/>
    <w:basedOn w:val="BodyText"/>
    <w:rsid w:val="00573B2E"/>
    <w:pPr>
      <w:spacing w:before="0" w:after="0"/>
      <w:jc w:val="right"/>
    </w:pPr>
  </w:style>
  <w:style w:type="paragraph" w:styleId="Index3">
    <w:name w:val="index 3"/>
    <w:basedOn w:val="ListNumber2"/>
    <w:next w:val="Normal"/>
    <w:semiHidden/>
    <w:rsid w:val="00573B2E"/>
    <w:pPr>
      <w:numPr>
        <w:numId w:val="0"/>
      </w:numPr>
      <w:tabs>
        <w:tab w:val="right" w:leader="dot" w:pos="4176"/>
      </w:tabs>
    </w:pPr>
  </w:style>
  <w:style w:type="paragraph" w:styleId="ListNumber2">
    <w:name w:val="List Number 2"/>
    <w:basedOn w:val="List2"/>
    <w:rsid w:val="00573B2E"/>
    <w:pPr>
      <w:numPr>
        <w:numId w:val="10"/>
      </w:numPr>
      <w:tabs>
        <w:tab w:val="clear" w:pos="1060"/>
      </w:tabs>
    </w:pPr>
  </w:style>
  <w:style w:type="paragraph" w:customStyle="1" w:styleId="MarginNote">
    <w:name w:val="Margin Note"/>
    <w:basedOn w:val="BodyText"/>
    <w:rsid w:val="00573B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B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B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B2E"/>
    <w:rPr>
      <w:sz w:val="32"/>
    </w:rPr>
  </w:style>
  <w:style w:type="paragraph" w:customStyle="1" w:styleId="HeadingProcedure">
    <w:name w:val="Heading Procedure"/>
    <w:basedOn w:val="HeadingBase"/>
    <w:next w:val="Normal"/>
    <w:rsid w:val="00573B2E"/>
    <w:pPr>
      <w:tabs>
        <w:tab w:val="left" w:pos="0"/>
      </w:tabs>
      <w:spacing w:before="120" w:after="60"/>
    </w:pPr>
    <w:rPr>
      <w:i/>
      <w:color w:val="918585"/>
      <w:sz w:val="22"/>
    </w:rPr>
  </w:style>
  <w:style w:type="paragraph" w:customStyle="1" w:styleId="TableBodyText">
    <w:name w:val="Table Body Text"/>
    <w:basedOn w:val="BodyText"/>
    <w:rsid w:val="00573B2E"/>
    <w:pPr>
      <w:spacing w:before="60" w:after="60"/>
    </w:pPr>
  </w:style>
  <w:style w:type="paragraph" w:styleId="ListContinue">
    <w:name w:val="List Continue"/>
    <w:basedOn w:val="List"/>
    <w:rsid w:val="00573B2E"/>
    <w:pPr>
      <w:ind w:firstLine="0"/>
    </w:pPr>
  </w:style>
  <w:style w:type="paragraph" w:customStyle="1" w:styleId="ListNote">
    <w:name w:val="List Note"/>
    <w:basedOn w:val="List"/>
    <w:rsid w:val="00573B2E"/>
    <w:pPr>
      <w:pBdr>
        <w:top w:val="single" w:sz="6" w:space="2" w:color="918585"/>
        <w:bottom w:val="single" w:sz="6" w:space="2" w:color="918585"/>
      </w:pBdr>
      <w:tabs>
        <w:tab w:val="left" w:pos="1021"/>
      </w:tabs>
      <w:ind w:firstLine="0"/>
    </w:pPr>
  </w:style>
  <w:style w:type="paragraph" w:customStyle="1" w:styleId="Warning">
    <w:name w:val="Warning"/>
    <w:basedOn w:val="BodyText"/>
    <w:rsid w:val="00573B2E"/>
    <w:pPr>
      <w:shd w:val="clear" w:color="auto" w:fill="D9D9D9"/>
      <w:tabs>
        <w:tab w:val="left" w:pos="992"/>
      </w:tabs>
      <w:ind w:left="119" w:right="119"/>
    </w:pPr>
    <w:rPr>
      <w:sz w:val="20"/>
    </w:rPr>
  </w:style>
  <w:style w:type="paragraph" w:customStyle="1" w:styleId="MarginIcons">
    <w:name w:val="Margin Icons"/>
    <w:basedOn w:val="BodyText"/>
    <w:rsid w:val="00573B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B2E"/>
    <w:rPr>
      <w:rFonts w:ascii="Courier New" w:hAnsi="Courier New"/>
    </w:rPr>
  </w:style>
  <w:style w:type="paragraph" w:customStyle="1" w:styleId="NoteBullet">
    <w:name w:val="Note Bullet"/>
    <w:basedOn w:val="Note"/>
    <w:rsid w:val="00573B2E"/>
    <w:pPr>
      <w:tabs>
        <w:tab w:val="clear" w:pos="680"/>
      </w:tabs>
      <w:spacing w:before="60" w:after="60"/>
    </w:pPr>
  </w:style>
  <w:style w:type="paragraph" w:customStyle="1" w:styleId="SubHeading2">
    <w:name w:val="SubHeading2"/>
    <w:basedOn w:val="HeadingBase"/>
    <w:rsid w:val="00573B2E"/>
    <w:pPr>
      <w:spacing w:before="240" w:after="60"/>
    </w:pPr>
    <w:rPr>
      <w:sz w:val="20"/>
    </w:rPr>
  </w:style>
  <w:style w:type="paragraph" w:customStyle="1" w:styleId="SubHeading1">
    <w:name w:val="SubHeading1"/>
    <w:basedOn w:val="HeadingBase"/>
    <w:rsid w:val="00573B2E"/>
    <w:pPr>
      <w:spacing w:before="240" w:after="60"/>
    </w:pPr>
    <w:rPr>
      <w:color w:val="918585"/>
      <w:sz w:val="22"/>
    </w:rPr>
  </w:style>
  <w:style w:type="paragraph" w:customStyle="1" w:styleId="SideHeading">
    <w:name w:val="Side Heading"/>
    <w:basedOn w:val="HeadingBase"/>
    <w:rsid w:val="00573B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B2E"/>
    <w:pPr>
      <w:numPr>
        <w:numId w:val="12"/>
      </w:numPr>
    </w:pPr>
  </w:style>
  <w:style w:type="paragraph" w:styleId="PlainText">
    <w:name w:val="Plain Text"/>
    <w:basedOn w:val="Normal"/>
    <w:link w:val="PlainTextChar"/>
    <w:rsid w:val="00573B2E"/>
    <w:rPr>
      <w:sz w:val="20"/>
    </w:rPr>
  </w:style>
  <w:style w:type="character" w:customStyle="1" w:styleId="PlainTextChar">
    <w:name w:val="Plain Text Char"/>
    <w:basedOn w:val="DefaultParagraphFont"/>
    <w:link w:val="PlainText"/>
    <w:rsid w:val="00573B2E"/>
    <w:rPr>
      <w:rFonts w:ascii="Courier New" w:eastAsia="Times New Roman" w:hAnsi="Courier New" w:cs="Times New Roman"/>
      <w:sz w:val="20"/>
      <w:szCs w:val="20"/>
      <w:lang w:eastAsia="en-US"/>
    </w:rPr>
  </w:style>
  <w:style w:type="character" w:customStyle="1" w:styleId="MenuOption">
    <w:name w:val="Menu Option"/>
    <w:basedOn w:val="DefaultParagraphFont"/>
    <w:rsid w:val="00573B2E"/>
    <w:rPr>
      <w:b/>
      <w:smallCaps/>
    </w:rPr>
  </w:style>
  <w:style w:type="paragraph" w:customStyle="1" w:styleId="TableListNumber">
    <w:name w:val="Table List Number"/>
    <w:basedOn w:val="ListNumber"/>
    <w:rsid w:val="00573B2E"/>
    <w:pPr>
      <w:numPr>
        <w:numId w:val="0"/>
      </w:numPr>
    </w:pPr>
  </w:style>
  <w:style w:type="paragraph" w:styleId="TOC4">
    <w:name w:val="toc 4"/>
    <w:basedOn w:val="TOCBase"/>
    <w:next w:val="Normal"/>
    <w:semiHidden/>
    <w:rsid w:val="00573B2E"/>
    <w:pPr>
      <w:tabs>
        <w:tab w:val="right" w:leader="dot" w:pos="9071"/>
      </w:tabs>
      <w:ind w:left="1701"/>
    </w:pPr>
  </w:style>
  <w:style w:type="paragraph" w:customStyle="1" w:styleId="ListAlpha">
    <w:name w:val="List Alpha"/>
    <w:basedOn w:val="List"/>
    <w:rsid w:val="00573B2E"/>
    <w:pPr>
      <w:numPr>
        <w:numId w:val="9"/>
      </w:numPr>
    </w:pPr>
  </w:style>
  <w:style w:type="paragraph" w:customStyle="1" w:styleId="ListAlpha2">
    <w:name w:val="List Alpha 2"/>
    <w:basedOn w:val="List2"/>
    <w:rsid w:val="00573B2E"/>
    <w:pPr>
      <w:numPr>
        <w:numId w:val="8"/>
      </w:numPr>
    </w:pPr>
  </w:style>
  <w:style w:type="paragraph" w:styleId="List2">
    <w:name w:val="List 2"/>
    <w:basedOn w:val="BodyText"/>
    <w:rsid w:val="00573B2E"/>
    <w:pPr>
      <w:tabs>
        <w:tab w:val="left" w:pos="680"/>
      </w:tabs>
      <w:spacing w:before="60" w:after="60"/>
      <w:ind w:left="680" w:hanging="340"/>
    </w:pPr>
  </w:style>
  <w:style w:type="paragraph" w:styleId="List3">
    <w:name w:val="List 3"/>
    <w:basedOn w:val="BodyText"/>
    <w:rsid w:val="00573B2E"/>
    <w:pPr>
      <w:tabs>
        <w:tab w:val="left" w:pos="1021"/>
      </w:tabs>
      <w:spacing w:before="60" w:after="60"/>
      <w:ind w:left="1020" w:hanging="340"/>
    </w:pPr>
  </w:style>
  <w:style w:type="paragraph" w:styleId="List4">
    <w:name w:val="List 4"/>
    <w:basedOn w:val="BodyText"/>
    <w:rsid w:val="00573B2E"/>
    <w:pPr>
      <w:tabs>
        <w:tab w:val="left" w:pos="1361"/>
      </w:tabs>
      <w:spacing w:before="60" w:after="60"/>
      <w:ind w:left="1361" w:hanging="340"/>
    </w:pPr>
  </w:style>
  <w:style w:type="paragraph" w:styleId="List5">
    <w:name w:val="List 5"/>
    <w:basedOn w:val="BodyText"/>
    <w:rsid w:val="00573B2E"/>
    <w:pPr>
      <w:tabs>
        <w:tab w:val="left" w:pos="1701"/>
      </w:tabs>
      <w:spacing w:before="60" w:after="60"/>
      <w:ind w:left="1701" w:hanging="340"/>
    </w:pPr>
  </w:style>
  <w:style w:type="paragraph" w:styleId="ListBullet3">
    <w:name w:val="List Bullet 3"/>
    <w:basedOn w:val="List3"/>
    <w:rsid w:val="00573B2E"/>
    <w:pPr>
      <w:numPr>
        <w:numId w:val="15"/>
      </w:numPr>
      <w:tabs>
        <w:tab w:val="clear" w:pos="1021"/>
      </w:tabs>
      <w:ind w:left="1037" w:hanging="357"/>
    </w:pPr>
  </w:style>
  <w:style w:type="paragraph" w:styleId="ListBullet4">
    <w:name w:val="List Bullet 4"/>
    <w:basedOn w:val="List4"/>
    <w:rsid w:val="00573B2E"/>
    <w:pPr>
      <w:numPr>
        <w:numId w:val="3"/>
      </w:numPr>
    </w:pPr>
  </w:style>
  <w:style w:type="paragraph" w:styleId="ListBullet5">
    <w:name w:val="List Bullet 5"/>
    <w:basedOn w:val="List5"/>
    <w:rsid w:val="00573B2E"/>
    <w:pPr>
      <w:numPr>
        <w:numId w:val="4"/>
      </w:numPr>
    </w:pPr>
  </w:style>
  <w:style w:type="paragraph" w:styleId="ListContinue2">
    <w:name w:val="List Continue 2"/>
    <w:basedOn w:val="List2"/>
    <w:rsid w:val="00573B2E"/>
    <w:pPr>
      <w:ind w:firstLine="0"/>
    </w:pPr>
  </w:style>
  <w:style w:type="paragraph" w:styleId="ListContinue3">
    <w:name w:val="List Continue 3"/>
    <w:basedOn w:val="List3"/>
    <w:rsid w:val="00573B2E"/>
    <w:pPr>
      <w:ind w:left="1021" w:firstLine="0"/>
    </w:pPr>
  </w:style>
  <w:style w:type="paragraph" w:styleId="ListContinue4">
    <w:name w:val="List Continue 4"/>
    <w:basedOn w:val="List4"/>
    <w:rsid w:val="00573B2E"/>
    <w:pPr>
      <w:ind w:firstLine="0"/>
    </w:pPr>
  </w:style>
  <w:style w:type="paragraph" w:styleId="ListContinue5">
    <w:name w:val="List Continue 5"/>
    <w:basedOn w:val="List5"/>
    <w:rsid w:val="00573B2E"/>
    <w:pPr>
      <w:ind w:firstLine="0"/>
    </w:pPr>
  </w:style>
  <w:style w:type="paragraph" w:styleId="ListNumber3">
    <w:name w:val="List Number 3"/>
    <w:basedOn w:val="List3"/>
    <w:rsid w:val="00573B2E"/>
    <w:pPr>
      <w:numPr>
        <w:numId w:val="5"/>
      </w:numPr>
    </w:pPr>
  </w:style>
  <w:style w:type="paragraph" w:styleId="ListNumber4">
    <w:name w:val="List Number 4"/>
    <w:basedOn w:val="List4"/>
    <w:rsid w:val="00573B2E"/>
    <w:pPr>
      <w:numPr>
        <w:numId w:val="6"/>
      </w:numPr>
    </w:pPr>
  </w:style>
  <w:style w:type="paragraph" w:styleId="ListNumber5">
    <w:name w:val="List Number 5"/>
    <w:basedOn w:val="List5"/>
    <w:rsid w:val="00573B2E"/>
    <w:pPr>
      <w:numPr>
        <w:numId w:val="7"/>
      </w:numPr>
    </w:pPr>
  </w:style>
  <w:style w:type="paragraph" w:styleId="BlockText">
    <w:name w:val="Block Text"/>
    <w:basedOn w:val="Normal"/>
    <w:rsid w:val="00573B2E"/>
    <w:pPr>
      <w:spacing w:after="120"/>
      <w:ind w:left="1440" w:right="1440"/>
    </w:pPr>
  </w:style>
  <w:style w:type="character" w:customStyle="1" w:styleId="Subscript">
    <w:name w:val="Subscript"/>
    <w:basedOn w:val="DefaultParagraphFont"/>
    <w:rsid w:val="00573B2E"/>
    <w:rPr>
      <w:sz w:val="16"/>
      <w:vertAlign w:val="subscript"/>
    </w:rPr>
  </w:style>
  <w:style w:type="character" w:customStyle="1" w:styleId="Superscript">
    <w:name w:val="Superscript"/>
    <w:basedOn w:val="DefaultParagraphFont"/>
    <w:rsid w:val="00573B2E"/>
    <w:rPr>
      <w:sz w:val="16"/>
      <w:vertAlign w:val="superscript"/>
    </w:rPr>
  </w:style>
  <w:style w:type="character" w:customStyle="1" w:styleId="Symbols">
    <w:name w:val="Symbols"/>
    <w:basedOn w:val="DefaultParagraphFont"/>
    <w:rsid w:val="00573B2E"/>
    <w:rPr>
      <w:rFonts w:ascii="Symbol" w:hAnsi="Symbol"/>
    </w:rPr>
  </w:style>
  <w:style w:type="character" w:customStyle="1" w:styleId="MenuOptions">
    <w:name w:val="Menu Options"/>
    <w:basedOn w:val="DefaultParagraphFont"/>
    <w:rsid w:val="00573B2E"/>
    <w:rPr>
      <w:rFonts w:ascii="Arial Narrow" w:hAnsi="Arial Narrow"/>
      <w:smallCaps/>
    </w:rPr>
  </w:style>
  <w:style w:type="character" w:customStyle="1" w:styleId="Buttons">
    <w:name w:val="Buttons"/>
    <w:basedOn w:val="DefaultParagraphFont"/>
    <w:rsid w:val="00573B2E"/>
    <w:rPr>
      <w:b/>
    </w:rPr>
  </w:style>
  <w:style w:type="character" w:customStyle="1" w:styleId="Underlined">
    <w:name w:val="Underlined"/>
    <w:basedOn w:val="DefaultParagraphFont"/>
    <w:rsid w:val="00573B2E"/>
    <w:rPr>
      <w:u w:val="single"/>
    </w:rPr>
  </w:style>
  <w:style w:type="paragraph" w:customStyle="1" w:styleId="TableBodyTextRight">
    <w:name w:val="Table Body Text Right"/>
    <w:basedOn w:val="TableBodyText"/>
    <w:rsid w:val="00573B2E"/>
    <w:pPr>
      <w:widowControl w:val="0"/>
      <w:autoSpaceDE w:val="0"/>
      <w:autoSpaceDN w:val="0"/>
      <w:adjustRightInd w:val="0"/>
      <w:jc w:val="right"/>
    </w:pPr>
    <w:rPr>
      <w:rFonts w:cs="Arial"/>
      <w:szCs w:val="18"/>
    </w:rPr>
  </w:style>
  <w:style w:type="paragraph" w:customStyle="1" w:styleId="CopyrightText">
    <w:name w:val="Copyright Text"/>
    <w:basedOn w:val="BodyText"/>
    <w:rsid w:val="00573B2E"/>
    <w:rPr>
      <w:sz w:val="18"/>
    </w:rPr>
  </w:style>
  <w:style w:type="paragraph" w:customStyle="1" w:styleId="BodySmallRight">
    <w:name w:val="Body Small Right"/>
    <w:basedOn w:val="BodyTextRight"/>
    <w:rsid w:val="00573B2E"/>
    <w:rPr>
      <w:sz w:val="18"/>
      <w:szCs w:val="18"/>
    </w:rPr>
  </w:style>
  <w:style w:type="paragraph" w:customStyle="1" w:styleId="MarginEdition">
    <w:name w:val="Margin Edition"/>
    <w:basedOn w:val="MarginNote"/>
    <w:rsid w:val="00573B2E"/>
    <w:pPr>
      <w:spacing w:before="0" w:after="0"/>
    </w:pPr>
    <w:rPr>
      <w:rFonts w:ascii="Times New Roman" w:hAnsi="Times New Roman"/>
      <w:color w:val="999999"/>
    </w:rPr>
  </w:style>
  <w:style w:type="paragraph" w:customStyle="1" w:styleId="Spacer">
    <w:name w:val="Spacer"/>
    <w:basedOn w:val="Normal"/>
    <w:rsid w:val="00573B2E"/>
    <w:rPr>
      <w:sz w:val="2"/>
      <w:szCs w:val="2"/>
    </w:rPr>
  </w:style>
  <w:style w:type="character" w:customStyle="1" w:styleId="Small">
    <w:name w:val="Small"/>
    <w:basedOn w:val="DefaultParagraphFont"/>
    <w:rsid w:val="00573B2E"/>
    <w:rPr>
      <w:sz w:val="16"/>
    </w:rPr>
  </w:style>
  <w:style w:type="paragraph" w:customStyle="1" w:styleId="WideTable">
    <w:name w:val="Wide Table"/>
    <w:basedOn w:val="Normal"/>
    <w:rsid w:val="00573B2E"/>
    <w:pPr>
      <w:ind w:left="-1418"/>
    </w:pPr>
    <w:rPr>
      <w:sz w:val="2"/>
      <w:szCs w:val="2"/>
    </w:rPr>
  </w:style>
  <w:style w:type="character" w:styleId="PageNumber">
    <w:name w:val="page number"/>
    <w:basedOn w:val="DefaultParagraphFont"/>
    <w:rsid w:val="00573B2E"/>
  </w:style>
  <w:style w:type="paragraph" w:styleId="Quote">
    <w:name w:val="Quote"/>
    <w:basedOn w:val="Heading1"/>
    <w:link w:val="QuoteChar"/>
    <w:qFormat/>
    <w:rsid w:val="00573B2E"/>
    <w:rPr>
      <w:b w:val="0"/>
      <w:sz w:val="72"/>
      <w:szCs w:val="72"/>
      <w:lang w:val="en-NZ"/>
    </w:rPr>
  </w:style>
  <w:style w:type="character" w:customStyle="1" w:styleId="QuoteChar">
    <w:name w:val="Quote Char"/>
    <w:basedOn w:val="DefaultParagraphFont"/>
    <w:link w:val="Quote"/>
    <w:rsid w:val="00573B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B2E"/>
    <w:pPr>
      <w:pageBreakBefore/>
    </w:pPr>
  </w:style>
  <w:style w:type="paragraph" w:customStyle="1" w:styleId="Border">
    <w:name w:val="Border"/>
    <w:basedOn w:val="Normal"/>
    <w:qFormat/>
    <w:rsid w:val="00573B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B2E"/>
    <w:rPr>
      <w:b/>
      <w:bCs/>
      <w:i/>
      <w:iCs/>
      <w:color w:val="auto"/>
    </w:rPr>
  </w:style>
  <w:style w:type="paragraph" w:styleId="IntenseQuote">
    <w:name w:val="Intense Quote"/>
    <w:basedOn w:val="Normal"/>
    <w:next w:val="Normal"/>
    <w:link w:val="IntenseQuoteChar"/>
    <w:uiPriority w:val="30"/>
    <w:qFormat/>
    <w:rsid w:val="00573B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B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B2E"/>
    <w:rPr>
      <w:smallCaps/>
      <w:color w:val="auto"/>
      <w:u w:val="single"/>
    </w:rPr>
  </w:style>
  <w:style w:type="character" w:styleId="IntenseReference">
    <w:name w:val="Intense Reference"/>
    <w:basedOn w:val="DefaultParagraphFont"/>
    <w:uiPriority w:val="32"/>
    <w:qFormat/>
    <w:rsid w:val="00573B2E"/>
    <w:rPr>
      <w:b/>
      <w:bCs/>
      <w:smallCaps/>
      <w:color w:val="auto"/>
      <w:spacing w:val="5"/>
      <w:u w:val="single"/>
    </w:rPr>
  </w:style>
  <w:style w:type="paragraph" w:customStyle="1" w:styleId="2ColumnHeading">
    <w:name w:val="2Column Heading"/>
    <w:basedOn w:val="BodyText"/>
    <w:qFormat/>
    <w:rsid w:val="00573B2E"/>
    <w:pPr>
      <w:spacing w:after="60"/>
      <w:ind w:left="-2268"/>
    </w:pPr>
    <w:rPr>
      <w:b/>
    </w:rPr>
  </w:style>
  <w:style w:type="paragraph" w:customStyle="1" w:styleId="Heading1TOC">
    <w:name w:val="Heading1 TOC"/>
    <w:basedOn w:val="Normal"/>
    <w:qFormat/>
    <w:rsid w:val="00573B2E"/>
    <w:pPr>
      <w:spacing w:before="240" w:after="120"/>
    </w:pPr>
    <w:rPr>
      <w:rFonts w:ascii="Times New Roman" w:hAnsi="Times New Roman"/>
      <w:b/>
      <w:sz w:val="32"/>
    </w:rPr>
  </w:style>
  <w:style w:type="paragraph" w:customStyle="1" w:styleId="Heading2TOC">
    <w:name w:val="Heading2 TOC"/>
    <w:basedOn w:val="Normal"/>
    <w:qFormat/>
    <w:rsid w:val="00573B2E"/>
    <w:pPr>
      <w:spacing w:before="240" w:after="60"/>
    </w:pPr>
    <w:rPr>
      <w:rFonts w:ascii="Times New Roman" w:hAnsi="Times New Roman"/>
      <w:b/>
      <w:sz w:val="28"/>
    </w:rPr>
  </w:style>
  <w:style w:type="character" w:customStyle="1" w:styleId="Underline">
    <w:name w:val="Underline"/>
    <w:basedOn w:val="DefaultParagraphFont"/>
    <w:qFormat/>
    <w:rsid w:val="00573B2E"/>
    <w:rPr>
      <w:u w:val="single"/>
    </w:rPr>
  </w:style>
  <w:style w:type="character" w:customStyle="1" w:styleId="BoldandItalics">
    <w:name w:val="Bold and Italics"/>
    <w:qFormat/>
    <w:rsid w:val="00573B2E"/>
    <w:rPr>
      <w:b/>
      <w:i/>
      <w:u w:val="none"/>
    </w:rPr>
  </w:style>
  <w:style w:type="paragraph" w:styleId="BalloonText">
    <w:name w:val="Balloon Text"/>
    <w:basedOn w:val="Normal"/>
    <w:link w:val="BalloonTextChar"/>
    <w:rsid w:val="00573B2E"/>
    <w:rPr>
      <w:rFonts w:ascii="Tahoma" w:hAnsi="Tahoma" w:cs="Tahoma"/>
      <w:sz w:val="16"/>
      <w:szCs w:val="16"/>
    </w:rPr>
  </w:style>
  <w:style w:type="character" w:customStyle="1" w:styleId="BalloonTextChar">
    <w:name w:val="Balloon Text Char"/>
    <w:basedOn w:val="DefaultParagraphFont"/>
    <w:link w:val="BalloonText"/>
    <w:rsid w:val="00573B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B2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B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B2E"/>
    <w:rPr>
      <w:b/>
      <w:color w:val="660033"/>
      <w:spacing w:val="0"/>
    </w:rPr>
  </w:style>
  <w:style w:type="paragraph" w:customStyle="1" w:styleId="Nameditemlist">
    <w:name w:val="Named item list"/>
    <w:basedOn w:val="BodyText"/>
    <w:qFormat/>
    <w:rsid w:val="00573B2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2076</Words>
  <Characters>12424</Characters>
  <Application>Microsoft Office Word</Application>
  <DocSecurity>0</DocSecurity>
  <Lines>530</Lines>
  <Paragraphs>224</Paragraphs>
  <ScaleCrop>false</ScaleCrop>
  <Company>Author-it Software Corporation Ltd.</Company>
  <LinksUpToDate>false</LinksUpToDate>
  <CharactersWithSpaces>14359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UEPMNT449A Diagnose and repair mechanical systems faults in wind turbine generators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2013-03-14T22:45:00Z</dcterms:created>
  <dcterms:modified xsi:type="dcterms:W3CDTF">2013-03-14T22:45:00Z</dcterms:modified>
</cp:coreProperties>
</file>