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E7F" w:rsidP="009B4E7F">
      <w:pPr>
        <w:pStyle w:val="Title"/>
      </w:pPr>
      <w:bookmarkStart w:id="0" w:name="_GoBack"/>
      <w:bookmarkEnd w:id="0"/>
      <w:r>
        <w:fldChar w:fldCharType="begin"/>
      </w:r>
      <w:r>
        <w:instrText xml:space="preserve"> TITLE   \* MERGEFORMAT </w:instrText>
      </w:r>
      <w:r>
        <w:fldChar w:fldCharType="separate"/>
      </w:r>
      <w:r>
        <w:t>UEPMNT448A Diagnose and repair faults in wind turbine generator control systems</w:t>
      </w:r>
      <w:r>
        <w:fldChar w:fldCharType="end"/>
      </w:r>
    </w:p>
    <w:p w:rsidR="009B4E7F" w:rsidP="009B4E7F">
      <w:pPr>
        <w:pStyle w:val="Version"/>
        <w:sectPr w:rsidSect="00B87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FCE" w:rsidP="00B87FCE">
      <w:pPr>
        <w:pStyle w:val="SuperHeading"/>
      </w:pPr>
      <w:r w:rsidRPr="00B87FCE">
        <w:t>UEPMNT448A Diagnose and repair faults in wind turbine generator control systems</w:t>
      </w:r>
    </w:p>
    <w:p w:rsidR="00000000" w:rsidRPr="00B87FCE" w:rsidP="00B87FCE">
      <w:pPr>
        <w:pStyle w:val="Heading1"/>
      </w:pPr>
      <w:bookmarkStart w:id="1" w:name="O_505277"/>
      <w:bookmarkEnd w:id="1"/>
      <w:r w:rsidRPr="00B87FCE">
        <w:t>Modification History</w:t>
      </w:r>
    </w:p>
    <w:p w:rsidR="00000000" w:rsidRPr="00B87FCE" w:rsidP="00B87FCE">
      <w:pPr>
        <w:pStyle w:val="BodyText"/>
      </w:pPr>
      <w:r w:rsidRPr="00B87FCE">
        <w:t>Not applicable.</w:t>
      </w:r>
    </w:p>
    <w:p w:rsidR="00000000" w:rsidRPr="00B87FCE" w:rsidP="00B87FCE">
      <w:pPr>
        <w:pStyle w:val="AllowPageBreak"/>
      </w:pPr>
    </w:p>
    <w:p w:rsidR="00000000" w:rsidRPr="00B87FCE" w:rsidP="00B87FCE">
      <w:pPr>
        <w:pStyle w:val="Heading1"/>
      </w:pPr>
      <w:bookmarkStart w:id="2" w:name="O_505275"/>
      <w:bookmarkEnd w:id="2"/>
      <w:r w:rsidRPr="00B87FCE">
        <w:t>Unit Descriptor</w:t>
      </w:r>
    </w:p>
    <w:tbl>
      <w:tblPr>
        <w:tblW w:w="0" w:type="auto"/>
        <w:tblLayout w:type="fixed"/>
        <w:tblCellMar>
          <w:left w:w="62" w:type="dxa"/>
          <w:right w:w="62" w:type="dxa"/>
        </w:tblCellMar>
        <w:tblLook w:val="0000"/>
      </w:tblPr>
      <w:tblGrid>
        <w:gridCol w:w="2700"/>
        <w:gridCol w:w="5760"/>
      </w:tblGrid>
      <w:tr w:rsidTr="009B4E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1)</w:t>
            </w:r>
            <w:r w:rsidRPr="00B87FCE">
              <w:t xml:space="preserve"> </w:t>
            </w:r>
            <w:r w:rsidRPr="00B87FCE">
              <w:rPr>
                <w:rStyle w:val="SpecialBold"/>
              </w:rPr>
              <w:t>Scope:</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FC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1.1) Descriptor</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This unit deals with the skills and knowledge required to diagnose and repair faults in large scale wind turbine generator (WTG) control systems.</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3" w:name="O_505264"/>
      <w:bookmarkEnd w:id="3"/>
      <w:r w:rsidRPr="00B87FCE">
        <w:t>Application of the Unit</w:t>
      </w:r>
    </w:p>
    <w:tbl>
      <w:tblPr>
        <w:tblW w:w="0" w:type="auto"/>
        <w:tblLayout w:type="fixed"/>
        <w:tblCellMar>
          <w:left w:w="62" w:type="dxa"/>
          <w:right w:w="62" w:type="dxa"/>
        </w:tblCellMar>
        <w:tblLook w:val="0000"/>
      </w:tblPr>
      <w:tblGrid>
        <w:gridCol w:w="2672"/>
        <w:gridCol w:w="5699"/>
      </w:tblGrid>
      <w:tr w:rsidTr="009B4E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2)</w:t>
            </w:r>
          </w:p>
        </w:tc>
      </w:tr>
      <w:tr w:rsidTr="009B4E7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This unit is intended to augment formally acquired competencies. It is suitable for employment-based programs under an approved contract of training.</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4" w:name="O_505271"/>
      <w:bookmarkEnd w:id="4"/>
      <w:r w:rsidRPr="00B87FCE">
        <w:t>Licensing/Regulatory Information</w:t>
      </w:r>
    </w:p>
    <w:tbl>
      <w:tblPr>
        <w:tblW w:w="0" w:type="auto"/>
        <w:tblLayout w:type="fixed"/>
        <w:tblCellMar>
          <w:left w:w="62" w:type="dxa"/>
          <w:right w:w="62" w:type="dxa"/>
        </w:tblCellMar>
        <w:tblLook w:val="0000"/>
      </w:tblPr>
      <w:tblGrid>
        <w:gridCol w:w="2700"/>
        <w:gridCol w:w="5760"/>
      </w:tblGrid>
      <w:tr w:rsidTr="009B4E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 xml:space="preserve">3)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The skills and knowledge des</w:t>
            </w:r>
            <w:r w:rsidRPr="00B87FCE">
              <w:t xml:space="preserve">cribed in this unit may require an electrical licence to practise in the workplace. </w:t>
            </w:r>
          </w:p>
          <w:p w:rsidR="00000000" w:rsidRPr="00B87FCE" w:rsidP="00B87FCE">
            <w:pPr>
              <w:pStyle w:val="BodyText"/>
            </w:pPr>
            <w:r w:rsidRPr="00B87FCE">
              <w:t>Practice in this unit is subject to regulations directly related to Occupational Health and Safety and where applicable contracts of training such as apprenticeships and the like.</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5" w:name="O_505272"/>
      <w:bookmarkEnd w:id="5"/>
      <w:r w:rsidRPr="00B87FCE">
        <w:t>Pre-Requisites</w:t>
      </w:r>
    </w:p>
    <w:tbl>
      <w:tblPr>
        <w:tblW w:w="0" w:type="auto"/>
        <w:tblLayout w:type="fixed"/>
        <w:tblCellMar>
          <w:left w:w="62" w:type="dxa"/>
          <w:right w:w="62" w:type="dxa"/>
        </w:tblCellMar>
        <w:tblLook w:val="0000"/>
      </w:tblPr>
      <w:tblGrid>
        <w:gridCol w:w="2700"/>
        <w:gridCol w:w="2074"/>
        <w:gridCol w:w="3690"/>
      </w:tblGrid>
      <w:tr w:rsidTr="009B4E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 xml:space="preserve">4)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4.</w:t>
            </w:r>
            <w:r w:rsidRPr="00B87FCE">
              <w:rPr>
                <w:rStyle w:val="SpecialBold"/>
              </w:rPr>
              <w:t>1)</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Granting of competency in this unit shall be made only after competency in the following unit(s) has/have been confirmed.</w:t>
            </w:r>
          </w:p>
          <w:p w:rsidR="00000000" w:rsidRPr="00B87FCE" w:rsidP="00B87FCE">
            <w:pPr>
              <w:pStyle w:val="BodyText"/>
            </w:pPr>
            <w:r w:rsidRPr="00B87FCE">
              <w:t>Where pre-requisite pathways have been identified. All competencies in the Common Unit Group must have been completed plus all the competencies in one (1) of the identified Pathway Unit Group(s):</w:t>
            </w:r>
          </w:p>
          <w:p w:rsidR="00000000" w:rsidP="00B87FCE">
            <w:pPr>
              <w:pStyle w:val="BodyText"/>
              <w:rPr>
                <w:lang w:val="en-NZ"/>
              </w:rPr>
            </w:pPr>
            <w:r w:rsidRPr="00B87FCE">
              <w:t>Common Unit Group</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Unit Code</w:t>
            </w:r>
            <w:r w:rsidRPr="00B87FCE">
              <w:tab/>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Unit Title</w:t>
            </w:r>
          </w:p>
        </w:tc>
      </w:tr>
      <w:tr w:rsidTr="009B4E7F">
        <w:tblPrEx>
          <w:tblW w:w="0" w:type="auto"/>
          <w:tblLayout w:type="fixed"/>
          <w:tblCellMar>
            <w:left w:w="62" w:type="dxa"/>
            <w:right w:w="62" w:type="dxa"/>
          </w:tblCellMar>
          <w:tblLook w:val="0000"/>
        </w:tblPrEx>
        <w:trPr>
          <w:trHeight w:val="635"/>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UEPMNT371A </w:t>
            </w:r>
            <w:r w:rsidRPr="00B87FCE">
              <w:tab/>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Maintain large scale wind turbine generators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UEPMNT443A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Maintain wind turbine generator control systems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UEPMNT445A </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Diagnose and repair faults in large scale wind turbine generators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UEENEEG108A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Trouble-shoot and repair faults in low voltage electrical apparatus and circuits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UEENEEE101A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Apply Occupational Health Safety regulations, codes and practices in the workplace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UEENEEE102A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Fabricate, dismantle, assemble of utilities industry components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UEENEEE104A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Solve problems in d.c. circuits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UEENEEE105A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Fix and secure electrotechnology equipment</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UEENEEE107A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Use drawings, diagrams, schedules, standards, codes and specifications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UEENEEG006A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Solve problems in single and three phase low voltage machines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UEENEEG033A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Solve problems in single and three </w:t>
            </w:r>
            <w:r w:rsidRPr="00B87FCE">
              <w:t>phase low voltage electrical apparatus and circuits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UEENEEG063A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Arrange circuits, control and protection for general electrical installations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UEENEEG101A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Solve problems in electromagnetic devices and related circuits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UEENEEG102A</w:t>
            </w:r>
          </w:p>
        </w:tc>
        <w:tc>
          <w:tcPr>
            <w:tcW w:w="36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Solve problems in low voltage a.c. circuits</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4"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UEENEEG106A</w:t>
            </w:r>
          </w:p>
        </w:tc>
        <w:tc>
          <w:tcPr>
            <w:tcW w:w="36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Terminate cables, cords and accessories for low voltage circuits</w:t>
            </w:r>
          </w:p>
        </w:tc>
      </w:tr>
    </w:tbl>
    <w:p w:rsidR="00000000" w:rsidRPr="00B87FCE" w:rsidP="00B87FC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B4E7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 xml:space="preserve">4.2)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Participants are best equipped to achieve this unit if they have reading, writing and numeracy skills indicated by the following levels. A description of what each level entails is provided in Section 2.3.1 Language, Literacy and Numeracy.</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Reading</w:t>
            </w:r>
          </w:p>
        </w:tc>
        <w:tc>
          <w:tcPr>
            <w:tcW w:w="81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w:t>
            </w:r>
          </w:p>
        </w:tc>
        <w:tc>
          <w:tcPr>
            <w:tcW w:w="99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Writing</w:t>
            </w:r>
          </w:p>
        </w:tc>
        <w:tc>
          <w:tcPr>
            <w:tcW w:w="90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w:t>
            </w:r>
          </w:p>
        </w:tc>
        <w:tc>
          <w:tcPr>
            <w:tcW w:w="12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Numeracy</w:t>
            </w:r>
          </w:p>
        </w:tc>
        <w:tc>
          <w:tcPr>
            <w:tcW w:w="72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4</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6" w:name="O_505268"/>
      <w:bookmarkEnd w:id="6"/>
      <w:r w:rsidRPr="00B87FCE">
        <w:t>Employability Skills Information</w:t>
      </w:r>
    </w:p>
    <w:tbl>
      <w:tblPr>
        <w:tblW w:w="0" w:type="auto"/>
        <w:tblLayout w:type="fixed"/>
        <w:tblCellMar>
          <w:left w:w="62" w:type="dxa"/>
          <w:right w:w="62" w:type="dxa"/>
        </w:tblCellMar>
        <w:tblLook w:val="0000"/>
      </w:tblPr>
      <w:tblGrid>
        <w:gridCol w:w="2700"/>
        <w:gridCol w:w="5760"/>
      </w:tblGrid>
      <w:tr w:rsidTr="009B4E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 xml:space="preserve">5)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 xml:space="preserve">The required outcomes described in this unit of competency contain applicable facets of Employability Skills. The Employability Skills Summary </w:t>
            </w:r>
            <w:r w:rsidRPr="00B87FCE">
              <w:t>of the qualification in which this unit of competency is packaged will assist in identifying Employability Skill requirements.</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7" w:name="O_505267"/>
      <w:bookmarkEnd w:id="7"/>
      <w:r w:rsidRPr="00B87FCE">
        <w:t>Elements and Performance Criteria Pre-Content</w:t>
      </w:r>
    </w:p>
    <w:tbl>
      <w:tblPr>
        <w:tblW w:w="0" w:type="auto"/>
        <w:tblLayout w:type="fixed"/>
        <w:tblCellMar>
          <w:left w:w="62" w:type="dxa"/>
          <w:right w:w="62" w:type="dxa"/>
        </w:tblCellMar>
        <w:tblLook w:val="0000"/>
      </w:tblPr>
      <w:tblGrid>
        <w:gridCol w:w="2700"/>
        <w:gridCol w:w="5760"/>
      </w:tblGrid>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6)</w:t>
            </w:r>
            <w:r w:rsidRPr="00B87FC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Performance Criteria describe the required performance needed to demonstrate achievement of the element. Assessment of performance is to be consistent with the Evidence Guide.</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8" w:name="O_505266"/>
      <w:bookmarkEnd w:id="8"/>
      <w:r w:rsidRPr="00B87FCE">
        <w:t>Elements and Performance Criteria</w:t>
      </w:r>
    </w:p>
    <w:tbl>
      <w:tblPr>
        <w:tblW w:w="0" w:type="auto"/>
        <w:tblLayout w:type="fixed"/>
        <w:tblCellMar>
          <w:left w:w="62" w:type="dxa"/>
          <w:right w:w="62" w:type="dxa"/>
        </w:tblCellMar>
        <w:tblLook w:val="0000"/>
      </w:tblPr>
      <w:tblGrid>
        <w:gridCol w:w="342"/>
        <w:gridCol w:w="2358"/>
        <w:gridCol w:w="838"/>
        <w:gridCol w:w="4922"/>
      </w:tblGrid>
      <w:tr w:rsidTr="009B4E7F">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PERFORMANCE CRITERIA</w:t>
            </w:r>
          </w:p>
        </w:tc>
      </w:tr>
      <w:tr w:rsidTr="009B4E7F">
        <w:tblPrEx>
          <w:tblW w:w="0" w:type="auto"/>
          <w:tblLayout w:type="fixed"/>
          <w:tblCellMar>
            <w:left w:w="62" w:type="dxa"/>
            <w:right w:w="62" w:type="dxa"/>
          </w:tblCellMar>
          <w:tblLook w:val="0000"/>
        </w:tblPrEx>
        <w:trPr>
          <w:trHeight w:val="329"/>
        </w:trPr>
        <w:tc>
          <w:tcPr>
            <w:tcW w:w="34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w:t>
            </w:r>
          </w:p>
        </w:tc>
        <w:tc>
          <w:tcPr>
            <w:tcW w:w="235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Gather data</w:t>
            </w: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1.1</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Data logging information and error codes are accessed</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1.2</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Sensory data on fault or problem (auditory, visual, smell, touch) is gathered</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1.3</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Relevant hard copy or online documentation is accessed to support fault finding process</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1.4</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Built-in fault indicators and error codes are, where appropriate, examined and correctly interpreted</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1.5</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Reference to circuit diagrams, specifications, schema</w:t>
            </w:r>
            <w:r w:rsidRPr="00B87FCE">
              <w:t>tics and/or consultation with technical adviser is used to determine circuit/system function and characteristics</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2</w:t>
            </w:r>
          </w:p>
        </w:tc>
        <w:tc>
          <w:tcPr>
            <w:tcW w:w="235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Interpret data to establish hypothesis in regards to WTG control system fault </w:t>
            </w: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2.1</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Knowledge of WTG control systems and performance paramete</w:t>
            </w:r>
            <w:r w:rsidRPr="00B87FCE">
              <w:t>rs is applied to interpretation of fault data</w:t>
            </w:r>
          </w:p>
        </w:tc>
      </w:tr>
      <w:tr w:rsidTr="009B4E7F">
        <w:tblPrEx>
          <w:tblW w:w="0" w:type="auto"/>
          <w:tblLayout w:type="fixed"/>
          <w:tblCellMar>
            <w:left w:w="62" w:type="dxa"/>
            <w:right w:w="62" w:type="dxa"/>
          </w:tblCellMar>
          <w:tblLook w:val="0000"/>
        </w:tblPrEx>
        <w:trPr>
          <w:trHeight w:val="91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2.2</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Faults are verified or localised using correct and appropriate techniques, procedures, tools and test equipment.</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2.3</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Priorities are set for testing / replacement of specific components, wiring, and connections in the WTG</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w:t>
            </w:r>
          </w:p>
        </w:tc>
        <w:tc>
          <w:tcPr>
            <w:tcW w:w="235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Repair WTG control system fault</w:t>
            </w: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3.1</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Risk analysis of the job is undertaken, and communicated among the work team.</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3.2</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Safety precautions such as circuit isolations, physical barriers, and other protective devices or </w:t>
            </w:r>
            <w:r w:rsidRPr="00B87FCE">
              <w:t>systems are used, where appropriate, to ensure safety</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3.3</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Tests are conducted to ensure fault has been correctly repaired or isolated</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3.4</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Faulty compone</w:t>
            </w:r>
            <w:r w:rsidRPr="00B87FCE">
              <w:t xml:space="preserve">nts that have been removed from service, where possible,  are examined and cause of problem is identified </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3.5</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Loose connections or wiring are repaired</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3.6</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Parts likely to be cause of fault are removed and replaced with tested and operational parts</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3.7</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Systems are tested to ensure correct operation</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3.8</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Fault finding processes are effectively escalated and, if required, work with technical adviser is undertaken to repair complex fault </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w:t>
            </w:r>
          </w:p>
        </w:tc>
        <w:tc>
          <w:tcPr>
            <w:tcW w:w="235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Record WTG control system fault</w:t>
            </w: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4.1</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Faulty components and </w:t>
            </w:r>
            <w:r w:rsidRPr="00B87FCE">
              <w:t>parts are correctly tagged, identified and stored or shipped as per enterprise requirements</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4.2</w:t>
            </w:r>
          </w:p>
        </w:tc>
        <w:tc>
          <w:tcPr>
            <w:tcW w:w="4922"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Faults are recorded to standard operating procedures.</w:t>
            </w:r>
          </w:p>
        </w:tc>
      </w:tr>
      <w:tr w:rsidTr="009B4E7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4.3</w:t>
            </w:r>
          </w:p>
        </w:tc>
        <w:tc>
          <w:tcPr>
            <w:tcW w:w="4922"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Cause of complex fault and process of repair is discussed with the team and other personnel using an appropriate forum.</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9" w:name="O_505274"/>
      <w:bookmarkEnd w:id="9"/>
      <w:r w:rsidRPr="00B87FCE">
        <w:t>Required Skills and Knowledge</w:t>
      </w:r>
    </w:p>
    <w:tbl>
      <w:tblPr>
        <w:tblW w:w="0" w:type="auto"/>
        <w:tblLayout w:type="fixed"/>
        <w:tblCellMar>
          <w:left w:w="62" w:type="dxa"/>
          <w:right w:w="62" w:type="dxa"/>
        </w:tblCellMar>
        <w:tblLook w:val="0000"/>
      </w:tblPr>
      <w:tblGrid>
        <w:gridCol w:w="8460"/>
      </w:tblGrid>
      <w:tr w:rsidTr="009B4E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REQUIRED SKILLS AND KNOWLEDGE</w:t>
            </w:r>
          </w:p>
        </w:tc>
      </w:tr>
      <w:tr w:rsidTr="009B4E7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8)</w:t>
            </w:r>
            <w:r w:rsidRPr="00B87FCE">
              <w:t xml:space="preserve"> This describes the Essential Skills and Knowledge and their level, required for this unit.</w:t>
            </w:r>
          </w:p>
          <w:p w:rsidR="00000000" w:rsidRPr="00B87FCE" w:rsidP="00B87FCE">
            <w:pPr>
              <w:pStyle w:val="BodyText"/>
            </w:pPr>
            <w:r w:rsidRPr="00B87FCE">
              <w:t>Evidence shall show that knowledge has been acquired diagnosing and repairing faults in wind turbine generator control systems.</w:t>
            </w:r>
          </w:p>
          <w:p w:rsidR="00000000" w:rsidRPr="00B87FCE" w:rsidP="00B87FCE">
            <w:pPr>
              <w:pStyle w:val="BodyText"/>
            </w:pPr>
            <w:r w:rsidRPr="00B87FCE">
              <w:t>The extent of the Essential Knowledg</w:t>
            </w:r>
            <w:r w:rsidRPr="00B87FCE">
              <w:t>e and Associated Skills required follows:</w:t>
            </w:r>
          </w:p>
          <w:p w:rsidR="00000000" w:rsidRPr="00B87FCE" w:rsidP="00B87FCE">
            <w:pPr>
              <w:pStyle w:val="BodyText"/>
            </w:pPr>
            <w:r w:rsidRPr="00B87FCE">
              <w:t>KS01-MNT448A Diagnose and repair faults in wind turbine generator control systems</w:t>
            </w:r>
          </w:p>
          <w:p w:rsidR="00000000" w:rsidRPr="00B87FCE" w:rsidP="00B87FCE">
            <w:pPr>
              <w:pStyle w:val="BodyText"/>
            </w:pPr>
            <w:r w:rsidRPr="00B87FCE">
              <w:t>Evidence shall show that knowledge has been acquired of diagnosing and repairing wind turbine generator control systems to the exten</w:t>
            </w:r>
            <w:r w:rsidRPr="00B87FCE">
              <w:t>t indicated by the following aspects:</w:t>
            </w:r>
          </w:p>
          <w:p w:rsidR="00000000" w:rsidRPr="00B87FCE" w:rsidP="00B87FCE">
            <w:pPr>
              <w:pStyle w:val="ListBullet"/>
            </w:pPr>
          </w:p>
          <w:p w:rsidR="00000000" w:rsidRPr="00B87FCE" w:rsidP="00B87FCE">
            <w:pPr>
              <w:pStyle w:val="ListBullet"/>
            </w:pPr>
            <w:r w:rsidRPr="00B87FCE">
              <w:t>T1.</w:t>
            </w:r>
            <w:r w:rsidRPr="00B87FCE">
              <w:tab/>
              <w:t>Programmable logic controllers (PLCs), digital control systems (DCS) and similar technology</w:t>
            </w:r>
          </w:p>
          <w:p w:rsidR="00000000" w:rsidRPr="00B87FCE" w:rsidP="00B87FCE">
            <w:pPr>
              <w:pStyle w:val="ListBullet2"/>
            </w:pPr>
            <w:r w:rsidRPr="00B87FCE">
              <w:t>Firmware and software upgrades</w:t>
            </w:r>
          </w:p>
          <w:p w:rsidR="00000000" w:rsidRPr="00B87FCE" w:rsidP="00B87FCE">
            <w:pPr>
              <w:pStyle w:val="ListBullet2"/>
            </w:pPr>
            <w:r w:rsidRPr="00B87FCE">
              <w:t>Reading data</w:t>
            </w:r>
          </w:p>
          <w:p w:rsidR="00000000" w:rsidRPr="00B87FCE" w:rsidP="00B87FCE">
            <w:pPr>
              <w:pStyle w:val="ListBullet2"/>
            </w:pPr>
            <w:r w:rsidRPr="00B87FCE">
              <w:t>Addressing controllers</w:t>
            </w:r>
          </w:p>
          <w:p w:rsidR="00000000" w:rsidRPr="00B87FCE" w:rsidP="00B87FCE">
            <w:pPr>
              <w:pStyle w:val="ListBullet2"/>
            </w:pPr>
            <w:r w:rsidRPr="00B87FCE">
              <w:t>Binary and hexadecimal numerical conversion</w:t>
            </w:r>
          </w:p>
          <w:p w:rsidR="00000000" w:rsidRPr="00B87FCE" w:rsidP="00B87FCE">
            <w:pPr>
              <w:pStyle w:val="ListBullet2"/>
            </w:pPr>
            <w:r w:rsidRPr="00B87FCE">
              <w:t>Parameter entry</w:t>
            </w:r>
          </w:p>
          <w:p w:rsidR="00000000" w:rsidRPr="00B87FCE" w:rsidP="00B87FCE">
            <w:pPr>
              <w:pStyle w:val="ListBullet2"/>
            </w:pPr>
            <w:r w:rsidRPr="00B87FCE">
              <w:t>Interfacing to other computers and peripheral devices</w:t>
            </w:r>
          </w:p>
          <w:p w:rsidR="00000000" w:rsidRPr="00B87FCE" w:rsidP="00B87FCE">
            <w:pPr>
              <w:pStyle w:val="ListBullet"/>
            </w:pPr>
            <w:r w:rsidRPr="00B87FCE">
              <w:t>T2.</w:t>
            </w:r>
            <w:r w:rsidRPr="00B87FCE">
              <w:tab/>
              <w:t>Reading fault codes and indicators directly from WTG control equipment</w:t>
            </w:r>
          </w:p>
          <w:p w:rsidR="00000000" w:rsidRPr="00B87FCE" w:rsidP="00B87FCE">
            <w:pPr>
              <w:pStyle w:val="ListBullet"/>
            </w:pPr>
            <w:r w:rsidRPr="00B87FCE">
              <w:t>T3.</w:t>
            </w:r>
            <w:r w:rsidRPr="00B87FCE">
              <w:tab/>
              <w:t>Software reloading techniques</w:t>
            </w:r>
          </w:p>
          <w:p w:rsidR="00000000" w:rsidRPr="00B87FCE" w:rsidP="00B87FCE">
            <w:pPr>
              <w:pStyle w:val="ListBullet"/>
            </w:pPr>
            <w:r w:rsidRPr="00B87FCE">
              <w:t>T4.</w:t>
            </w:r>
            <w:r w:rsidRPr="00B87FCE">
              <w:tab/>
              <w:t>Data communications analysis units</w:t>
            </w:r>
          </w:p>
          <w:p w:rsidR="00000000" w:rsidRPr="00B87FCE" w:rsidP="00B87FCE">
            <w:pPr>
              <w:pStyle w:val="ListBullet"/>
            </w:pPr>
            <w:r w:rsidRPr="00B87FCE">
              <w:t>T5.</w:t>
            </w:r>
            <w:r w:rsidRPr="00B87FCE">
              <w:tab/>
              <w:t>Sensor data analysis</w:t>
            </w:r>
          </w:p>
        </w:tc>
      </w:tr>
    </w:tbl>
    <w:p w:rsidR="009B4E7F" w:rsidP="00B87FCE">
      <w:pPr>
        <w:pStyle w:val="BodyText"/>
      </w:pPr>
    </w:p>
    <w:p w:rsidR="009B4E7F" w:rsidP="00B87FCE">
      <w:pPr>
        <w:pStyle w:val="BodyText"/>
      </w:pPr>
    </w:p>
    <w:p w:rsidR="00000000" w:rsidRPr="00B87FCE" w:rsidP="00B87FCE">
      <w:pPr>
        <w:pStyle w:val="Heading1"/>
      </w:pPr>
      <w:bookmarkStart w:id="10" w:name="O_505269"/>
      <w:bookmarkEnd w:id="10"/>
      <w:r w:rsidRPr="00B87FCE">
        <w:t>Evidence Guide</w:t>
      </w:r>
    </w:p>
    <w:tbl>
      <w:tblPr>
        <w:tblW w:w="0" w:type="auto"/>
        <w:tblLayout w:type="fixed"/>
        <w:tblCellMar>
          <w:left w:w="62" w:type="dxa"/>
          <w:right w:w="62" w:type="dxa"/>
        </w:tblCellMar>
        <w:tblLook w:val="0000"/>
      </w:tblPr>
      <w:tblGrid>
        <w:gridCol w:w="8460"/>
      </w:tblGrid>
      <w:tr w:rsidTr="009B4E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EVIDENCE GUIDE</w:t>
            </w:r>
          </w:p>
        </w:tc>
      </w:tr>
      <w:tr w:rsidTr="009B4E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p>
        </w:tc>
      </w:tr>
      <w:tr w:rsidTr="009B4E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9)</w:t>
            </w:r>
            <w:r w:rsidRPr="00B87FCE">
              <w:t xml:space="preserve"> This provides essential advice for assessment of the competency standard unit and must be read in conjunction with the Performance Criteria and the Range Statement of unit and the Training Package Assessment Guid</w:t>
            </w:r>
            <w:r w:rsidRPr="00B87FCE">
              <w:t>elines.</w:t>
            </w:r>
          </w:p>
          <w:p w:rsidR="00000000" w:rsidRPr="00B87FCE" w:rsidP="00B87FCE">
            <w:pPr>
              <w:pStyle w:val="BodyText"/>
            </w:pPr>
            <w:r w:rsidRPr="00B87FCE">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B87FCE" w:rsidP="00B87FCE">
      <w:pPr>
        <w:pStyle w:val="BodyText"/>
      </w:pPr>
    </w:p>
    <w:tbl>
      <w:tblPr>
        <w:tblW w:w="0" w:type="auto"/>
        <w:tblLayout w:type="fixed"/>
        <w:tblCellMar>
          <w:left w:w="62" w:type="dxa"/>
          <w:right w:w="62" w:type="dxa"/>
        </w:tblCellMar>
        <w:tblLook w:val="0000"/>
      </w:tblPr>
      <w:tblGrid>
        <w:gridCol w:w="1890"/>
        <w:gridCol w:w="6570"/>
      </w:tblGrid>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9.1)</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Longitudinal competency development approaches to assessment, such as Profiling, require data to be reliably gathered in a form that can be consistently interpreted over time. This approach is best utilised in Apprenticeship p</w:t>
            </w:r>
            <w:r w:rsidRPr="00B87FCE">
              <w:t>rograms and reduces assessment intervention. It is the Industry’s preferred model for apprenticeships. However, where summative (or final) assessment is used it is to include the application of the competency in the normal work environment or in a realisti</w:t>
            </w:r>
            <w:r w:rsidRPr="00B87FCE">
              <w:t>cally simulated work environment. It is recognised that, in some circumstances, assessment in part or full can occur outside the workplace. However, it must be in accord with Industry and regulatory policy.</w:t>
            </w:r>
          </w:p>
          <w:p w:rsidR="00000000" w:rsidRPr="00B87FCE" w:rsidP="00B87FCE">
            <w:pPr>
              <w:pStyle w:val="BodyText"/>
            </w:pPr>
            <w:r w:rsidRPr="00B87FCE">
              <w:t>Methods chosen for a particular assessment will b</w:t>
            </w:r>
            <w:r w:rsidRPr="00B87FCE">
              <w:t xml:space="preserve">e influenced by various factors. These include the extent of the assessment, the most effective locations for the assessment activities to take place, access to physical resources, additional safety measures that may be required and the critical nature of </w:t>
            </w:r>
            <w:r w:rsidRPr="00B87FCE">
              <w:t>the competencies being assessed.</w:t>
            </w:r>
          </w:p>
          <w:p w:rsidR="00000000" w:rsidRPr="00B87FCE" w:rsidP="00B87FCE">
            <w:pPr>
              <w:pStyle w:val="BodyText"/>
            </w:pPr>
            <w:r w:rsidRPr="00B87FCE">
              <w:t xml:space="preserve">The critical safety nature of working with electricity, electrical equipment, gas or any other hazardous substance/material carries risk in deeming a person competent. Hence, sources of evidence need to be ‘rich’ in nature </w:t>
            </w:r>
            <w:r w:rsidRPr="00B87FCE">
              <w:t>so as to minimise error in judgment.</w:t>
            </w:r>
          </w:p>
          <w:p w:rsidR="00000000" w:rsidRPr="00B87FCE" w:rsidP="00B87FCE">
            <w:pPr>
              <w:pStyle w:val="BodyText"/>
            </w:pPr>
            <w:r w:rsidRPr="00B87FCE">
              <w:t>Activities associated with normal every day work have a bearing on the decision as to how much and how detailed the data gathered will contribute to its ‘richness’. Some skills are more critical to safety and operationa</w:t>
            </w:r>
            <w:r w:rsidRPr="00B87FCE">
              <w:t>l requirements while the same skills may be more or less frequently practiced. These points are raised for the assessors to consider when choosing an assessment method and developing assessment instruments. Sample assessment instruments are included in the</w:t>
            </w:r>
            <w:r w:rsidRPr="00B87FCE">
              <w:t xml:space="preserve"> Assessment Guidelines of this Training Package.</w:t>
            </w:r>
          </w:p>
        </w:tc>
      </w:tr>
    </w:tbl>
    <w:p w:rsidR="00000000" w:rsidRPr="00B87FCE" w:rsidP="00B87FCE">
      <w:pPr>
        <w:pStyle w:val="BodyText"/>
      </w:pPr>
    </w:p>
    <w:tbl>
      <w:tblPr>
        <w:tblW w:w="0" w:type="auto"/>
        <w:tblLayout w:type="fixed"/>
        <w:tblCellMar>
          <w:left w:w="62" w:type="dxa"/>
          <w:right w:w="62" w:type="dxa"/>
        </w:tblCellMar>
        <w:tblLook w:val="0000"/>
      </w:tblPr>
      <w:tblGrid>
        <w:gridCol w:w="1890"/>
        <w:gridCol w:w="1620"/>
        <w:gridCol w:w="4950"/>
      </w:tblGrid>
      <w:tr w:rsidTr="009B4E7F">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9.2)</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Evidence for competence in this unit shall be considered holistically. Each element and associated Performance Criteria shall be demonstrated:</w:t>
            </w:r>
          </w:p>
          <w:p w:rsidR="00000000" w:rsidRPr="00B87FCE" w:rsidP="00B87FCE">
            <w:pPr>
              <w:pStyle w:val="ListBullet"/>
            </w:pPr>
            <w:r w:rsidRPr="00B87FCE">
              <w:t>On at least two (2) occasions, In accordance with the "Assessment Guidelines” for the UEP12 Training Package.</w:t>
            </w:r>
          </w:p>
          <w:p w:rsidR="00000000" w:rsidRPr="00B87FCE" w:rsidP="00B87FCE">
            <w:pPr>
              <w:pStyle w:val="BodyText"/>
            </w:pPr>
            <w:r w:rsidRPr="00B87FCE">
              <w:t>Ev</w:t>
            </w:r>
            <w:r w:rsidRPr="00B87FCE">
              <w:t>idence shall also comprise:</w:t>
            </w:r>
          </w:p>
          <w:p w:rsidR="00000000" w:rsidRPr="00B87FCE" w:rsidP="00B87FCE">
            <w:pPr>
              <w:pStyle w:val="ListBullet"/>
            </w:pPr>
            <w:r w:rsidRPr="00B87FCE">
              <w:t>A representative body of work performance demonstrated within the timeframe typically expected of the discipline, work function and industrial environment. In particular this shall incorporate evidence that shows a candidate is</w:t>
            </w:r>
            <w:r w:rsidRPr="00B87FCE">
              <w:t xml:space="preserve"> able to:</w:t>
            </w:r>
          </w:p>
          <w:p w:rsidR="00000000" w:rsidRPr="00B87FCE" w:rsidP="00B87FCE">
            <w:pPr>
              <w:pStyle w:val="ListBullet2"/>
            </w:pPr>
            <w:r w:rsidRPr="00B87FCE">
              <w:t>Implement Occupational Health and Safety workplace procedures and practices including the use of risk control measures as specified in the Performance Criteria and range; and</w:t>
            </w:r>
          </w:p>
          <w:p w:rsidR="00000000" w:rsidRPr="00B87FCE" w:rsidP="00B87FCE">
            <w:pPr>
              <w:pStyle w:val="ListBullet2"/>
            </w:pPr>
            <w:r w:rsidRPr="00B87FCE">
              <w:t>Apply sustainable energy principles and practices as specified in the Performance Criteria and range; and</w:t>
            </w:r>
          </w:p>
          <w:p w:rsidR="00000000" w:rsidRPr="00B87FCE" w:rsidP="00B87FCE">
            <w:pPr>
              <w:pStyle w:val="ListBullet2"/>
            </w:pPr>
            <w:r w:rsidRPr="00B87FCE">
              <w:t>Demonstrate an understanding of the required skills and knowledge as described in this unit to such an extent that the learner's performance outcome i</w:t>
            </w:r>
            <w:r w:rsidRPr="00B87FCE">
              <w:t>s reported in accordance with the preferred approach; namely a percentile graded result, where required by the regulated environment; and</w:t>
            </w:r>
          </w:p>
          <w:p w:rsidR="00000000" w:rsidRPr="00B87FCE" w:rsidP="00B87FCE">
            <w:pPr>
              <w:pStyle w:val="ListBullet2"/>
            </w:pPr>
            <w:r w:rsidRPr="00B87FCE">
              <w:t>Demonstrate an appropriate level of employability skills; and</w:t>
            </w:r>
          </w:p>
          <w:p w:rsidR="00000000" w:rsidRPr="00B87FCE" w:rsidP="00B87FCE">
            <w:pPr>
              <w:pStyle w:val="ListBullet2"/>
            </w:pPr>
            <w:r w:rsidRPr="00B87FCE">
              <w:t xml:space="preserve">Conduct work observing the relevant Anti Discrimination </w:t>
            </w:r>
            <w:r w:rsidRPr="00B87FCE">
              <w:t>legislation, regulations, policies and workplace procedures;  and</w:t>
            </w:r>
          </w:p>
          <w:p w:rsidR="00000000" w:rsidP="00B87FCE">
            <w:pPr>
              <w:pStyle w:val="BodyText"/>
              <w:rPr>
                <w:lang w:val="en-NZ"/>
              </w:rPr>
            </w:pPr>
            <w:r w:rsidRPr="00B87FCE">
              <w:t>Demonstrated performance across a representative range of contexts from the prescribed items below:</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A</w:t>
            </w:r>
          </w:p>
        </w:tc>
        <w:tc>
          <w:tcPr>
            <w:tcW w:w="495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Perform a firmware upgrade</w:t>
            </w:r>
          </w:p>
          <w:p w:rsidR="00000000" w:rsidP="00B87FCE">
            <w:pPr>
              <w:pStyle w:val="BodyText"/>
              <w:rPr>
                <w:lang w:val="en-NZ"/>
              </w:rPr>
            </w:pPr>
            <w:r w:rsidRPr="00B87FCE">
              <w:t>Perform a software re-load</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B</w:t>
            </w:r>
          </w:p>
        </w:tc>
        <w:tc>
          <w:tcPr>
            <w:tcW w:w="495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Interpret fault code (and similar) data produced by monitoring systems</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C</w:t>
            </w:r>
          </w:p>
        </w:tc>
        <w:tc>
          <w:tcPr>
            <w:tcW w:w="495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Connect data communications cables to control systems and equipment</w:t>
            </w:r>
          </w:p>
          <w:p w:rsidR="00000000" w:rsidP="00B87FCE">
            <w:pPr>
              <w:pStyle w:val="BodyText"/>
              <w:rPr>
                <w:lang w:val="en-NZ"/>
              </w:rPr>
            </w:pPr>
            <w:r w:rsidRPr="00B87FCE">
              <w:t>Interrogate control systems using 3rd party software systems</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D</w:t>
            </w:r>
          </w:p>
        </w:tc>
        <w:tc>
          <w:tcPr>
            <w:tcW w:w="495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Confirm correct output signals from sensors and </w:t>
            </w:r>
            <w:r w:rsidRPr="00B87FCE">
              <w:t>encoders</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E</w:t>
            </w:r>
          </w:p>
        </w:tc>
        <w:tc>
          <w:tcPr>
            <w:tcW w:w="495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Deal with an unplanned event by drawing on essential knowledge and skills to provide appropriate solutions.</w:t>
            </w:r>
          </w:p>
        </w:tc>
      </w:tr>
    </w:tbl>
    <w:p w:rsidR="00000000" w:rsidRPr="00B87FCE" w:rsidP="00B87FCE">
      <w:pPr>
        <w:pStyle w:val="BodyText"/>
      </w:pPr>
    </w:p>
    <w:tbl>
      <w:tblPr>
        <w:tblW w:w="0" w:type="auto"/>
        <w:tblLayout w:type="fixed"/>
        <w:tblCellMar>
          <w:left w:w="62" w:type="dxa"/>
          <w:right w:w="62" w:type="dxa"/>
        </w:tblCellMar>
        <w:tblLook w:val="0000"/>
      </w:tblPr>
      <w:tblGrid>
        <w:gridCol w:w="1890"/>
        <w:gridCol w:w="6570"/>
      </w:tblGrid>
      <w:tr w:rsidTr="009B4E7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9.3)</w:t>
            </w:r>
          </w:p>
        </w:tc>
      </w:tr>
      <w:tr w:rsidTr="009B4E7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This unit should be assessed as it relates to normal work practice using procedures, information and resources typical of a workplace. This should include:</w:t>
            </w:r>
          </w:p>
          <w:p w:rsidR="00000000" w:rsidRPr="00B87FCE" w:rsidP="00B87FCE">
            <w:pPr>
              <w:pStyle w:val="ListBullet2"/>
            </w:pPr>
            <w:r w:rsidRPr="00B87FCE">
              <w:t>OHS policy and work procedures and instructions.</w:t>
            </w:r>
          </w:p>
          <w:p w:rsidR="00000000" w:rsidRPr="00B87FCE" w:rsidP="00B87FCE">
            <w:pPr>
              <w:pStyle w:val="ListBullet2"/>
            </w:pPr>
            <w:r w:rsidRPr="00B87FCE">
              <w:t>Suitable work environment, facilities, equipment a</w:t>
            </w:r>
            <w:r w:rsidRPr="00B87FCE">
              <w:t>nd materials to undertake actual work as prescribed by this unit.</w:t>
            </w:r>
          </w:p>
          <w:p w:rsidR="00000000" w:rsidRPr="00B87FCE" w:rsidP="00B87FCE">
            <w:pPr>
              <w:pStyle w:val="BodyText"/>
            </w:pPr>
            <w:r w:rsidRPr="00B87FCE">
              <w:t>These should be used in the formal learning/assessment environment.</w:t>
            </w:r>
          </w:p>
          <w:p w:rsidR="00000000" w:rsidRPr="00B87FCE" w:rsidP="00B87FCE">
            <w:pPr>
              <w:pStyle w:val="BodyText"/>
            </w:pPr>
            <w:r w:rsidRPr="00B87FCE">
              <w:t>Note:</w:t>
            </w:r>
          </w:p>
          <w:p w:rsidR="00000000" w:rsidRPr="00B87FCE" w:rsidP="00B87FCE">
            <w:pPr>
              <w:pStyle w:val="BodyText"/>
            </w:pPr>
            <w:r w:rsidRPr="00B87FCE">
              <w:t>Where simulation is considered a suitable strategy for assessment, conditions must be authentic and as far as possib</w:t>
            </w:r>
            <w:r w:rsidRPr="00B87FCE">
              <w:t>le reproduce and replicate the workplace and be consistent with the approved industry simulation policy.</w:t>
            </w:r>
          </w:p>
          <w:p w:rsidR="00000000" w:rsidRPr="00B87FCE" w:rsidP="00B87FCE">
            <w:pPr>
              <w:pStyle w:val="BodyText"/>
            </w:pPr>
            <w:r w:rsidRPr="00B87FCE">
              <w:t xml:space="preserve">The resources used for assessment should reflect current industry practices in relation to: </w:t>
            </w:r>
          </w:p>
          <w:p w:rsidR="00000000" w:rsidRPr="00B87FCE" w:rsidP="00B87FCE">
            <w:pPr>
              <w:pStyle w:val="ListBullet2"/>
            </w:pPr>
            <w:r w:rsidRPr="00B87FCE">
              <w:t>Diagnose and repair faults in wind turbine generator cont</w:t>
            </w:r>
            <w:r w:rsidRPr="00B87FCE">
              <w:t>rol systems</w:t>
            </w:r>
          </w:p>
        </w:tc>
      </w:tr>
    </w:tbl>
    <w:p w:rsidR="00000000" w:rsidRPr="00B87FCE" w:rsidP="00B87FCE">
      <w:pPr>
        <w:pStyle w:val="BodyText"/>
      </w:pPr>
    </w:p>
    <w:tbl>
      <w:tblPr>
        <w:tblW w:w="0" w:type="auto"/>
        <w:tblLayout w:type="fixed"/>
        <w:tblCellMar>
          <w:left w:w="62" w:type="dxa"/>
          <w:right w:w="62" w:type="dxa"/>
        </w:tblCellMar>
        <w:tblLook w:val="0000"/>
      </w:tblPr>
      <w:tblGrid>
        <w:gridCol w:w="1890"/>
        <w:gridCol w:w="6570"/>
      </w:tblGrid>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9.4)</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This unit shall be assessed by methods given in  1.3.00 Assessment Guidelines.</w:t>
            </w:r>
          </w:p>
          <w:p w:rsidR="00000000" w:rsidRPr="00B87FCE" w:rsidP="00B87FCE">
            <w:pPr>
              <w:pStyle w:val="BodyText"/>
            </w:pPr>
            <w:r w:rsidRPr="00B87FCE">
              <w:t xml:space="preserve">Note: </w:t>
            </w:r>
          </w:p>
          <w:p w:rsidR="00000000" w:rsidRPr="00B87FCE" w:rsidP="00B87FCE">
            <w:pPr>
              <w:pStyle w:val="BodyText"/>
            </w:pPr>
            <w:r w:rsidRPr="00B87FCE">
              <w:t>Competent performance with inherent safe working practices is expected in the Industry to which this unit applies. This requires that the specified essential knowledge and associated skills are assessed in a structured environment which is primarily intend</w:t>
            </w:r>
            <w:r w:rsidRPr="00B87FCE">
              <w:t>ed for learning/assessment and incorporates all necessary equipment and facilities for learners to develop and demonstrate the essential knowledge and skills described in this unit.</w:t>
            </w:r>
          </w:p>
        </w:tc>
      </w:tr>
    </w:tbl>
    <w:p w:rsidR="00000000" w:rsidRPr="00B87FCE" w:rsidP="00B87FCE">
      <w:pPr>
        <w:pStyle w:val="BodyText"/>
      </w:pPr>
    </w:p>
    <w:tbl>
      <w:tblPr>
        <w:tblW w:w="0" w:type="auto"/>
        <w:tblLayout w:type="fixed"/>
        <w:tblCellMar>
          <w:left w:w="62" w:type="dxa"/>
          <w:right w:w="62" w:type="dxa"/>
        </w:tblCellMar>
        <w:tblLook w:val="0000"/>
      </w:tblPr>
      <w:tblGrid>
        <w:gridCol w:w="1890"/>
        <w:gridCol w:w="1350"/>
        <w:gridCol w:w="5220"/>
      </w:tblGrid>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9.5)</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There are no recommended concurrent assessments with this unit, however in some cases efficiencies may be gained in terms of learning and assessment effort being concurrently managed with allied competency standard units where listed.</w:t>
            </w:r>
          </w:p>
        </w:tc>
      </w:tr>
      <w:tr w:rsidTr="009B4E7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Unit Code</w:t>
            </w:r>
          </w:p>
        </w:tc>
        <w:tc>
          <w:tcPr>
            <w:tcW w:w="52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Unit Tit</w:t>
            </w:r>
            <w:r w:rsidRPr="00B87FCE">
              <w:t>le</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UEPMNT449A</w:t>
            </w:r>
          </w:p>
        </w:tc>
        <w:tc>
          <w:tcPr>
            <w:tcW w:w="522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 xml:space="preserve">Diagnose and repair mechanical systems faults in wind turbine generators </w:t>
            </w:r>
          </w:p>
        </w:tc>
      </w:tr>
      <w:tr w:rsidTr="009B4E7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t>UEPMNT447A</w:t>
            </w:r>
          </w:p>
        </w:tc>
        <w:tc>
          <w:tcPr>
            <w:tcW w:w="522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Diagnose and repair faults in wind turbine generator electrical systems</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11" w:name="O_505273"/>
      <w:bookmarkEnd w:id="11"/>
      <w:r w:rsidRPr="00B87FCE">
        <w:t>Range Statement</w:t>
      </w:r>
    </w:p>
    <w:tbl>
      <w:tblPr>
        <w:tblW w:w="0" w:type="auto"/>
        <w:tblLayout w:type="fixed"/>
        <w:tblCellMar>
          <w:left w:w="62" w:type="dxa"/>
          <w:right w:w="62" w:type="dxa"/>
        </w:tblCellMar>
        <w:tblLook w:val="0000"/>
      </w:tblPr>
      <w:tblGrid>
        <w:gridCol w:w="8460"/>
      </w:tblGrid>
      <w:tr w:rsidTr="009B4E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RANGE STATEMENT</w:t>
            </w:r>
          </w:p>
        </w:tc>
      </w:tr>
      <w:tr w:rsidTr="009B4E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10)</w:t>
            </w:r>
            <w:r w:rsidRPr="00B87FC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B87FCE" w:rsidP="00B87FCE">
            <w:pPr>
              <w:pStyle w:val="BodyText"/>
            </w:pPr>
            <w:r w:rsidRPr="00B87FCE">
              <w:t>Climbing equipment, incl</w:t>
            </w:r>
            <w:r w:rsidRPr="00B87FCE">
              <w:t>uding personnel lifts, climb assist, elevators, ladders</w:t>
            </w:r>
          </w:p>
          <w:p w:rsidR="00000000" w:rsidRPr="00B87FCE" w:rsidP="00B87FCE">
            <w:pPr>
              <w:pStyle w:val="BodyText"/>
            </w:pPr>
            <w:r w:rsidRPr="00B87FCE">
              <w:t>Lifting Apparatus includes winches and cranes</w:t>
            </w:r>
          </w:p>
          <w:p w:rsidR="00000000" w:rsidRPr="00B87FCE" w:rsidP="00B87FCE">
            <w:pPr>
              <w:pStyle w:val="BodyText"/>
            </w:pPr>
            <w:r w:rsidRPr="00B87FCE">
              <w:t>Hydraulic equipment  including turbine braking equipment.</w:t>
            </w:r>
          </w:p>
          <w:p w:rsidR="00000000" w:rsidRPr="00B87FCE" w:rsidP="00B87FCE">
            <w:pPr>
              <w:pStyle w:val="BodyText"/>
            </w:pPr>
            <w:r w:rsidRPr="00B87FCE">
              <w:t>Diagnosis and repair may include: visual inspections, replacement, lose wiring, checking the ten</w:t>
            </w:r>
            <w:r w:rsidRPr="00B87FCE">
              <w:t>sion of bolts, replacing sensors, testing of equipment for correct operation, software and firmware upgrades and reinstallation.</w:t>
            </w:r>
          </w:p>
          <w:p w:rsidR="00000000" w:rsidRPr="00B87FCE" w:rsidP="00B87FCE">
            <w:pPr>
              <w:pStyle w:val="BodyText"/>
            </w:pPr>
            <w:r w:rsidRPr="00B87FCE">
              <w:t>Tools may include spanners, screwdrivers, side cutters, pliers</w:t>
            </w:r>
          </w:p>
          <w:p w:rsidR="00000000" w:rsidRPr="00B87FCE" w:rsidP="00B87FCE">
            <w:pPr>
              <w:pStyle w:val="BodyText"/>
            </w:pPr>
            <w:r w:rsidRPr="00B87FCE">
              <w:t>Test equipment may include laser, multimeters, laptop computers, PC tablet, smart phones and other data acquisition tools and equipment.</w:t>
            </w:r>
          </w:p>
          <w:p w:rsidR="00000000" w:rsidRPr="00B87FCE" w:rsidP="00B87FCE">
            <w:pPr>
              <w:pStyle w:val="BodyText"/>
            </w:pPr>
            <w:r w:rsidRPr="00B87FCE">
              <w:t>Large Scale Wind Generators (WTGs) include systems having a rating of greater than 10 kW</w:t>
            </w:r>
          </w:p>
          <w:p w:rsidR="00000000" w:rsidRPr="00B87FCE" w:rsidP="00B87FCE">
            <w:pPr>
              <w:pStyle w:val="BodyText"/>
            </w:pPr>
            <w:r w:rsidRPr="00B87FCE">
              <w:t>Work completion details may in</w:t>
            </w:r>
            <w:r w:rsidRPr="00B87FCE">
              <w:t>clude plant and maintenance records, job cards, check sheets, on device labelling updates and reporting and/or documenting equipment defects.</w:t>
            </w:r>
          </w:p>
          <w:p w:rsidR="00000000" w:rsidRPr="00B87FCE" w:rsidP="00B87FCE">
            <w:pPr>
              <w:pStyle w:val="BodyText"/>
            </w:pPr>
            <w:r w:rsidRPr="00B87FCE">
              <w:t>Work site environment may be affected by nearby plant or processes and climatic conditions e.g. wind speed, chemic</w:t>
            </w:r>
            <w:r w:rsidRPr="00B87FCE">
              <w:t>al, heat, dust, noise, height and oil.</w:t>
            </w:r>
          </w:p>
          <w:p w:rsidR="00000000" w:rsidRPr="00B87FCE" w:rsidP="00B87FCE">
            <w:pPr>
              <w:pStyle w:val="BodyText"/>
            </w:pPr>
            <w:r w:rsidRPr="00B87FCE">
              <w:t>Location of wind turbine generators may be in urban, suburban, regional or rural locales and environments.</w:t>
            </w:r>
          </w:p>
          <w:p w:rsidR="00000000" w:rsidRPr="00B87FCE" w:rsidP="00B87FCE">
            <w:pPr>
              <w:pStyle w:val="BodyText"/>
            </w:pPr>
            <w:r w:rsidRPr="00B87FCE">
              <w:t>Documentation may be either paper-based or electronic format.</w:t>
            </w:r>
          </w:p>
          <w:p w:rsidR="00000000" w:rsidRPr="00B87FCE" w:rsidP="00B87FCE">
            <w:pPr>
              <w:pStyle w:val="BodyText"/>
            </w:pPr>
            <w:r w:rsidRPr="00B87FCE">
              <w:t>Isolations can refer to electrical/mechanical or</w:t>
            </w:r>
            <w:r w:rsidRPr="00B87FCE">
              <w:t xml:space="preserve"> other associated processes.</w:t>
            </w:r>
          </w:p>
          <w:p w:rsidR="00000000" w:rsidRPr="00B87FCE" w:rsidP="00B87FCE">
            <w:pPr>
              <w:pStyle w:val="BodyText"/>
            </w:pPr>
            <w:r w:rsidRPr="00B87FCE">
              <w:t>Generic terms used throughout this Vocational Standard shall be regarded as part of the Range Statement in which competency is demonstrated. The definition of these and other terms that apply are given in the Glossaries, Sectio</w:t>
            </w:r>
            <w:r w:rsidRPr="00B87FCE">
              <w:t>n 2.1 of this Training Package.</w:t>
            </w:r>
          </w:p>
        </w:tc>
      </w:tr>
    </w:tbl>
    <w:p w:rsidR="00000000" w:rsidRPr="00B87FCE" w:rsidP="00B87FCE">
      <w:pPr>
        <w:pStyle w:val="BodyText"/>
      </w:pPr>
    </w:p>
    <w:p w:rsidR="00000000" w:rsidRPr="00B87FCE" w:rsidP="00B87FCE">
      <w:pPr>
        <w:pStyle w:val="AllowPageBreak"/>
      </w:pPr>
    </w:p>
    <w:p w:rsidR="00000000" w:rsidRPr="00B87FCE" w:rsidP="00B87FCE">
      <w:pPr>
        <w:pStyle w:val="Heading1"/>
      </w:pPr>
      <w:bookmarkStart w:id="12" w:name="O_505276"/>
      <w:bookmarkEnd w:id="12"/>
      <w:r w:rsidRPr="00B87FCE">
        <w:t>Unit Sector(s)</w:t>
      </w:r>
    </w:p>
    <w:p w:rsidR="00000000" w:rsidRPr="00B87FCE" w:rsidP="00B87FCE">
      <w:pPr>
        <w:pStyle w:val="BodyText"/>
      </w:pPr>
      <w:r w:rsidRPr="00B87FCE">
        <w:t>Not applicable.</w:t>
      </w:r>
    </w:p>
    <w:p w:rsidR="00000000" w:rsidRPr="00B87FCE" w:rsidP="00B87FCE">
      <w:pPr>
        <w:pStyle w:val="AllowPageBreak"/>
      </w:pPr>
    </w:p>
    <w:p w:rsidR="00000000" w:rsidRPr="00B87FCE" w:rsidP="00B87FCE">
      <w:pPr>
        <w:pStyle w:val="Heading1"/>
      </w:pPr>
      <w:bookmarkStart w:id="13" w:name="O_505265"/>
      <w:bookmarkEnd w:id="13"/>
      <w:r w:rsidRPr="00B87FCE">
        <w:t>Competency Field</w:t>
      </w:r>
    </w:p>
    <w:tbl>
      <w:tblPr>
        <w:tblW w:w="0" w:type="auto"/>
        <w:tblLayout w:type="fixed"/>
        <w:tblCellMar>
          <w:left w:w="62" w:type="dxa"/>
          <w:right w:w="62" w:type="dxa"/>
        </w:tblCellMar>
        <w:tblLook w:val="0000"/>
      </w:tblPr>
      <w:tblGrid>
        <w:gridCol w:w="2700"/>
        <w:gridCol w:w="5760"/>
      </w:tblGrid>
      <w:tr w:rsidTr="009B4E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7FCE">
            <w:pPr>
              <w:pStyle w:val="BodyText"/>
              <w:rPr>
                <w:lang w:val="en-NZ"/>
              </w:rPr>
            </w:pPr>
            <w:r w:rsidRPr="00B87FCE">
              <w:rPr>
                <w:rStyle w:val="SpecialBold"/>
              </w:rPr>
              <w:t xml:space="preserve">11) </w:t>
            </w:r>
          </w:p>
        </w:tc>
      </w:tr>
      <w:tr w:rsidTr="009B4E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7FCE" w:rsidP="00B87FCE">
            <w:pPr>
              <w:pStyle w:val="BodyText"/>
            </w:pPr>
            <w:r w:rsidRPr="00B87FCE">
              <w:t>Maintenance.</w:t>
            </w:r>
          </w:p>
        </w:tc>
      </w:tr>
    </w:tbl>
    <w:p w:rsidR="00000000" w:rsidRPr="00B87FCE" w:rsidP="00B87FCE">
      <w:pPr>
        <w:pStyle w:val="BodyText"/>
      </w:pPr>
    </w:p>
    <w:p w:rsidR="00000000" w:rsidRPr="00B87FCE" w:rsidP="00B87FCE"/>
    <w:sectPr w:rsidSect="00B87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rsidRPr="009B4E7F" w:rsidP="009B4E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7F" w:rsidP="00B87F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B4E7F" w:rsidP="00B87F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9B4E7F" w:rsidP="00B87F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rsidRPr="009B4E7F" w:rsidP="009B4E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E7F" w:rsidRPr="002D2AF8" w:rsidP="00B87FCE">
    <w:pPr>
      <w:pStyle w:val="Header"/>
      <w:framePr w:wrap="around"/>
    </w:pPr>
    <w:r>
      <w:fldChar w:fldCharType="begin"/>
    </w:r>
    <w:r>
      <w:instrText xml:space="preserve"> TITLE   \* MERGEFORMAT </w:instrText>
    </w:r>
    <w:r>
      <w:fldChar w:fldCharType="separate"/>
    </w:r>
    <w:r>
      <w:t>UEPMNT448A Diagnose and repair faults 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9B4E7F" w:rsidP="00B87F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F29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146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8E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F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FCE"/>
    <w:pPr>
      <w:spacing w:before="360" w:after="60"/>
      <w:outlineLvl w:val="0"/>
    </w:pPr>
    <w:rPr>
      <w:sz w:val="32"/>
    </w:rPr>
  </w:style>
  <w:style w:type="paragraph" w:styleId="Heading2">
    <w:name w:val="heading 2"/>
    <w:basedOn w:val="HeadingBase"/>
    <w:next w:val="BodyText"/>
    <w:link w:val="Heading2Char"/>
    <w:qFormat/>
    <w:rsid w:val="00B87FCE"/>
    <w:pPr>
      <w:keepLines/>
      <w:spacing w:before="240" w:after="120"/>
      <w:outlineLvl w:val="1"/>
    </w:pPr>
    <w:rPr>
      <w:sz w:val="28"/>
      <w:szCs w:val="40"/>
    </w:rPr>
  </w:style>
  <w:style w:type="paragraph" w:styleId="Heading3">
    <w:name w:val="heading 3"/>
    <w:basedOn w:val="HeadingBase"/>
    <w:next w:val="BodyText"/>
    <w:link w:val="Heading3Char"/>
    <w:qFormat/>
    <w:rsid w:val="00B87FCE"/>
    <w:pPr>
      <w:spacing w:before="180" w:after="120"/>
      <w:outlineLvl w:val="2"/>
    </w:pPr>
    <w:rPr>
      <w:spacing w:val="-10"/>
      <w:kern w:val="32"/>
    </w:rPr>
  </w:style>
  <w:style w:type="paragraph" w:styleId="Heading4">
    <w:name w:val="heading 4"/>
    <w:basedOn w:val="HeadingBase"/>
    <w:next w:val="BodyText"/>
    <w:link w:val="Heading4Char"/>
    <w:qFormat/>
    <w:rsid w:val="00B87FCE"/>
    <w:pPr>
      <w:spacing w:before="160" w:after="120"/>
      <w:outlineLvl w:val="3"/>
    </w:pPr>
    <w:rPr>
      <w:sz w:val="22"/>
    </w:rPr>
  </w:style>
  <w:style w:type="paragraph" w:styleId="Heading5">
    <w:name w:val="heading 5"/>
    <w:basedOn w:val="HeadingBase"/>
    <w:next w:val="Normal"/>
    <w:link w:val="Heading5Char"/>
    <w:qFormat/>
    <w:rsid w:val="00B87FCE"/>
    <w:pPr>
      <w:spacing w:before="80"/>
      <w:outlineLvl w:val="4"/>
    </w:pPr>
    <w:rPr>
      <w:color w:val="918585"/>
      <w:sz w:val="20"/>
    </w:rPr>
  </w:style>
  <w:style w:type="paragraph" w:styleId="Heading6">
    <w:name w:val="heading 6"/>
    <w:basedOn w:val="HeadingBase"/>
    <w:next w:val="Normal"/>
    <w:link w:val="Heading6Char"/>
    <w:qFormat/>
    <w:rsid w:val="00B87FCE"/>
    <w:pPr>
      <w:spacing w:before="60"/>
      <w:outlineLvl w:val="5"/>
    </w:pPr>
    <w:rPr>
      <w:color w:val="918585"/>
      <w:sz w:val="20"/>
    </w:rPr>
  </w:style>
  <w:style w:type="paragraph" w:styleId="Heading7">
    <w:name w:val="heading 7"/>
    <w:basedOn w:val="Normal"/>
    <w:next w:val="Normal"/>
    <w:link w:val="Heading7Char"/>
    <w:qFormat/>
    <w:rsid w:val="00B87FCE"/>
    <w:pPr>
      <w:ind w:left="720"/>
      <w:outlineLvl w:val="6"/>
    </w:pPr>
    <w:rPr>
      <w:i/>
    </w:rPr>
  </w:style>
  <w:style w:type="paragraph" w:styleId="Heading8">
    <w:name w:val="heading 8"/>
    <w:basedOn w:val="Normal"/>
    <w:next w:val="Normal"/>
    <w:link w:val="Heading8Char"/>
    <w:qFormat/>
    <w:rsid w:val="00B87FCE"/>
    <w:pPr>
      <w:ind w:left="720"/>
      <w:outlineLvl w:val="7"/>
    </w:pPr>
    <w:rPr>
      <w:i/>
    </w:rPr>
  </w:style>
  <w:style w:type="paragraph" w:styleId="Heading9">
    <w:name w:val="heading 9"/>
    <w:basedOn w:val="Normal"/>
    <w:next w:val="Normal"/>
    <w:link w:val="Heading9Char"/>
    <w:qFormat/>
    <w:rsid w:val="00B87FCE"/>
    <w:pPr>
      <w:ind w:left="720"/>
      <w:outlineLvl w:val="8"/>
    </w:pPr>
    <w:rPr>
      <w:i/>
    </w:rPr>
  </w:style>
  <w:style w:type="character" w:default="1" w:styleId="DefaultParagraphFont">
    <w:name w:val="Default Paragraph Font"/>
    <w:uiPriority w:val="1"/>
    <w:unhideWhenUsed/>
    <w:rsid w:val="00B87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FCE"/>
  </w:style>
  <w:style w:type="character" w:customStyle="1" w:styleId="Heading1Char">
    <w:name w:val="Heading 1 Char"/>
    <w:basedOn w:val="DefaultParagraphFont"/>
    <w:link w:val="Heading1"/>
    <w:rsid w:val="00B87FCE"/>
    <w:rPr>
      <w:rFonts w:ascii="Times New Roman" w:eastAsia="Times New Roman" w:hAnsi="Times New Roman" w:cs="Times New Roman"/>
      <w:b/>
      <w:sz w:val="32"/>
      <w:szCs w:val="20"/>
      <w:lang w:eastAsia="en-US"/>
    </w:rPr>
  </w:style>
  <w:style w:type="paragraph" w:styleId="BodyText">
    <w:name w:val="Body Text"/>
    <w:basedOn w:val="Normal"/>
    <w:link w:val="BodyTextChar"/>
    <w:rsid w:val="00B87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FCE"/>
    <w:rPr>
      <w:rFonts w:ascii="Times New Roman" w:eastAsia="Times New Roman" w:hAnsi="Times New Roman" w:cs="Times New Roman"/>
      <w:sz w:val="24"/>
      <w:lang w:eastAsia="en-US"/>
    </w:rPr>
  </w:style>
  <w:style w:type="paragraph" w:styleId="ListBullet">
    <w:name w:val="List Bullet"/>
    <w:basedOn w:val="List"/>
    <w:rsid w:val="00B87FCE"/>
    <w:pPr>
      <w:numPr>
        <w:numId w:val="13"/>
      </w:numPr>
      <w:tabs>
        <w:tab w:val="clear" w:pos="340"/>
      </w:tabs>
      <w:spacing w:before="40" w:after="40"/>
    </w:pPr>
  </w:style>
  <w:style w:type="character" w:customStyle="1" w:styleId="SpecialBold">
    <w:name w:val="Special Bold"/>
    <w:basedOn w:val="DefaultParagraphFont"/>
    <w:rsid w:val="00B87FCE"/>
    <w:rPr>
      <w:b/>
      <w:spacing w:val="0"/>
    </w:rPr>
  </w:style>
  <w:style w:type="paragraph" w:styleId="ListBullet2">
    <w:name w:val="List Bullet 2"/>
    <w:basedOn w:val="List2"/>
    <w:rsid w:val="00B87FCE"/>
    <w:pPr>
      <w:numPr>
        <w:numId w:val="14"/>
      </w:numPr>
      <w:tabs>
        <w:tab w:val="clear" w:pos="680"/>
      </w:tabs>
    </w:pPr>
  </w:style>
  <w:style w:type="paragraph" w:customStyle="1" w:styleId="SuperHeading">
    <w:name w:val="SuperHeading"/>
    <w:basedOn w:val="Normal"/>
    <w:rsid w:val="00B87FCE"/>
    <w:pPr>
      <w:spacing w:before="240" w:after="120"/>
      <w:outlineLvl w:val="0"/>
    </w:pPr>
    <w:rPr>
      <w:rFonts w:ascii="Times New Roman" w:hAnsi="Times New Roman"/>
      <w:b/>
      <w:sz w:val="32"/>
    </w:rPr>
  </w:style>
  <w:style w:type="paragraph" w:customStyle="1" w:styleId="AllowPageBreak">
    <w:name w:val="AllowPageBreak"/>
    <w:rsid w:val="00B87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F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F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FCE"/>
    <w:rPr>
      <w:rFonts w:ascii="Courier New" w:eastAsia="Times New Roman" w:hAnsi="Courier New" w:cs="Times New Roman"/>
      <w:i/>
      <w:szCs w:val="20"/>
      <w:lang w:eastAsia="en-US"/>
    </w:rPr>
  </w:style>
  <w:style w:type="paragraph" w:customStyle="1" w:styleId="HeadingBase">
    <w:name w:val="Heading Base"/>
    <w:rsid w:val="00B87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FCE"/>
    <w:pPr>
      <w:tabs>
        <w:tab w:val="right" w:leader="dot" w:pos="9072"/>
      </w:tabs>
      <w:ind w:left="567"/>
    </w:pPr>
    <w:rPr>
      <w:szCs w:val="22"/>
    </w:rPr>
  </w:style>
  <w:style w:type="paragraph" w:customStyle="1" w:styleId="TOCBase">
    <w:name w:val="TOC Base"/>
    <w:rsid w:val="00B87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FCE"/>
    <w:pPr>
      <w:tabs>
        <w:tab w:val="right" w:leader="dot" w:pos="9072"/>
      </w:tabs>
      <w:spacing w:before="40" w:after="40"/>
      <w:ind w:left="284"/>
    </w:pPr>
    <w:rPr>
      <w:rFonts w:ascii="Times New Roman" w:hAnsi="Times New Roman"/>
    </w:rPr>
  </w:style>
  <w:style w:type="paragraph" w:styleId="TOC1">
    <w:name w:val="toc 1"/>
    <w:basedOn w:val="TOCBase"/>
    <w:next w:val="Normal"/>
    <w:rsid w:val="00B87F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FCE"/>
    <w:rPr>
      <w:rFonts w:ascii="Times New Roman" w:eastAsia="Times New Roman" w:hAnsi="Times New Roman" w:cs="Times New Roman"/>
      <w:sz w:val="16"/>
      <w:lang w:eastAsia="en-US"/>
    </w:rPr>
  </w:style>
  <w:style w:type="paragraph" w:styleId="Title">
    <w:name w:val="Title"/>
    <w:basedOn w:val="HeadingBase"/>
    <w:link w:val="TitleChar"/>
    <w:qFormat/>
    <w:rsid w:val="00B87FCE"/>
    <w:pPr>
      <w:spacing w:before="5040"/>
      <w:jc w:val="center"/>
    </w:pPr>
    <w:rPr>
      <w:sz w:val="48"/>
      <w:szCs w:val="72"/>
      <w:lang w:val="en-US"/>
    </w:rPr>
  </w:style>
  <w:style w:type="character" w:customStyle="1" w:styleId="TitleChar">
    <w:name w:val="Title Char"/>
    <w:basedOn w:val="DefaultParagraphFont"/>
    <w:link w:val="Title"/>
    <w:rsid w:val="00B87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FCE"/>
    <w:pPr>
      <w:tabs>
        <w:tab w:val="left" w:pos="3600"/>
        <w:tab w:val="left" w:pos="3958"/>
      </w:tabs>
    </w:pPr>
  </w:style>
  <w:style w:type="paragraph" w:styleId="List">
    <w:name w:val="List"/>
    <w:basedOn w:val="BodyText"/>
    <w:next w:val="BodyText"/>
    <w:rsid w:val="00B87FCE"/>
    <w:pPr>
      <w:tabs>
        <w:tab w:val="left" w:pos="340"/>
      </w:tabs>
      <w:spacing w:before="60" w:after="60"/>
      <w:ind w:left="340" w:hanging="340"/>
    </w:pPr>
  </w:style>
  <w:style w:type="paragraph" w:customStyle="1" w:styleId="Note">
    <w:name w:val="Note"/>
    <w:basedOn w:val="BodyText"/>
    <w:rsid w:val="00B87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FCE"/>
    <w:pPr>
      <w:framePr w:wrap="auto" w:hAnchor="text" w:y="6049"/>
    </w:pPr>
    <w:rPr>
      <w:color w:val="000000"/>
      <w:sz w:val="40"/>
    </w:rPr>
  </w:style>
  <w:style w:type="paragraph" w:customStyle="1" w:styleId="TOCTitle">
    <w:name w:val="TOCTitle"/>
    <w:basedOn w:val="Heading1"/>
    <w:rsid w:val="00B87FCE"/>
    <w:pPr>
      <w:spacing w:after="240"/>
      <w:jc w:val="center"/>
      <w:outlineLvl w:val="9"/>
    </w:pPr>
    <w:rPr>
      <w:caps/>
    </w:rPr>
  </w:style>
  <w:style w:type="paragraph" w:customStyle="1" w:styleId="Version">
    <w:name w:val="Version"/>
    <w:rsid w:val="00B87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FCE"/>
    <w:pPr>
      <w:keepNext w:val="0"/>
      <w:tabs>
        <w:tab w:val="right" w:pos="4176"/>
      </w:tabs>
      <w:ind w:left="198" w:hanging="198"/>
    </w:pPr>
    <w:rPr>
      <w:rFonts w:ascii="Garamond" w:hAnsi="Garamond"/>
    </w:rPr>
  </w:style>
  <w:style w:type="paragraph" w:styleId="IndexHeading">
    <w:name w:val="index heading"/>
    <w:basedOn w:val="Normal"/>
    <w:next w:val="Index1"/>
    <w:semiHidden/>
    <w:rsid w:val="00B87FCE"/>
    <w:pPr>
      <w:spacing w:before="120" w:after="120"/>
    </w:pPr>
    <w:rPr>
      <w:rFonts w:ascii="Arial" w:hAnsi="Arial"/>
      <w:b/>
      <w:color w:val="918585"/>
      <w:sz w:val="24"/>
    </w:rPr>
  </w:style>
  <w:style w:type="paragraph" w:styleId="Header">
    <w:name w:val="header"/>
    <w:basedOn w:val="Normal"/>
    <w:link w:val="HeaderChar"/>
    <w:rsid w:val="00B87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FCE"/>
    <w:rPr>
      <w:rFonts w:ascii="Times New Roman" w:eastAsia="Times New Roman" w:hAnsi="Times New Roman" w:cs="Times New Roman"/>
      <w:sz w:val="16"/>
      <w:szCs w:val="20"/>
      <w:lang w:val="en-GB" w:eastAsia="en-US"/>
    </w:rPr>
  </w:style>
  <w:style w:type="paragraph" w:customStyle="1" w:styleId="Chapter">
    <w:name w:val="Chapter"/>
    <w:basedOn w:val="Normal"/>
    <w:rsid w:val="00B87FCE"/>
    <w:pPr>
      <w:spacing w:before="240"/>
    </w:pPr>
    <w:rPr>
      <w:rFonts w:ascii="Times New Roman" w:hAnsi="Times New Roman"/>
      <w:smallCaps/>
      <w:spacing w:val="80"/>
      <w:sz w:val="28"/>
    </w:rPr>
  </w:style>
  <w:style w:type="paragraph" w:customStyle="1" w:styleId="InChapter">
    <w:name w:val="InChapter"/>
    <w:basedOn w:val="Heading3"/>
    <w:rsid w:val="00B87FCE"/>
    <w:pPr>
      <w:spacing w:after="240"/>
      <w:outlineLvl w:val="9"/>
    </w:pPr>
    <w:rPr>
      <w:noProof/>
    </w:rPr>
  </w:style>
  <w:style w:type="paragraph" w:styleId="Index2">
    <w:name w:val="index 2"/>
    <w:basedOn w:val="Normal"/>
    <w:next w:val="Normal"/>
    <w:semiHidden/>
    <w:rsid w:val="00B87FCE"/>
    <w:pPr>
      <w:tabs>
        <w:tab w:val="right" w:pos="4176"/>
      </w:tabs>
      <w:ind w:left="568" w:hanging="284"/>
    </w:pPr>
    <w:rPr>
      <w:rFonts w:ascii="Garamond" w:hAnsi="Garamond"/>
    </w:rPr>
  </w:style>
  <w:style w:type="paragraph" w:customStyle="1" w:styleId="Byline">
    <w:name w:val="Byline"/>
    <w:rsid w:val="00B87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FCE"/>
    <w:pPr>
      <w:tabs>
        <w:tab w:val="clear" w:pos="3600"/>
        <w:tab w:val="clear" w:pos="3958"/>
      </w:tabs>
      <w:jc w:val="right"/>
    </w:pPr>
  </w:style>
  <w:style w:type="character" w:styleId="Emphasis">
    <w:name w:val="Emphasis"/>
    <w:basedOn w:val="DefaultParagraphFont"/>
    <w:qFormat/>
    <w:rsid w:val="00B87FCE"/>
    <w:rPr>
      <w:i/>
    </w:rPr>
  </w:style>
  <w:style w:type="paragraph" w:styleId="Caption">
    <w:name w:val="caption"/>
    <w:basedOn w:val="BodyText"/>
    <w:next w:val="Normal"/>
    <w:qFormat/>
    <w:rsid w:val="00B87FCE"/>
    <w:pPr>
      <w:framePr w:w="2268" w:hSpace="181" w:vSpace="181" w:wrap="around" w:vAnchor="text" w:hAnchor="page" w:x="1135" w:y="285" w:anchorLock="1"/>
    </w:pPr>
    <w:rPr>
      <w:i/>
    </w:rPr>
  </w:style>
  <w:style w:type="paragraph" w:customStyle="1" w:styleId="MiniTOCTitle">
    <w:name w:val="MiniTOCTitle"/>
    <w:basedOn w:val="Heading4"/>
    <w:rsid w:val="00B87FCE"/>
    <w:pPr>
      <w:spacing w:before="240"/>
      <w:outlineLvl w:val="9"/>
    </w:pPr>
    <w:rPr>
      <w:noProof/>
      <w:sz w:val="24"/>
    </w:rPr>
  </w:style>
  <w:style w:type="paragraph" w:customStyle="1" w:styleId="MiniTOCItem">
    <w:name w:val="MiniTOCItem"/>
    <w:basedOn w:val="ListBullet"/>
    <w:rsid w:val="00B87FCE"/>
    <w:pPr>
      <w:numPr>
        <w:numId w:val="0"/>
      </w:numPr>
      <w:tabs>
        <w:tab w:val="right" w:leader="dot" w:pos="6521"/>
      </w:tabs>
      <w:spacing w:before="0" w:after="0"/>
    </w:pPr>
  </w:style>
  <w:style w:type="paragraph" w:customStyle="1" w:styleId="TOFTitle">
    <w:name w:val="TOFTitle"/>
    <w:basedOn w:val="TOCTitle"/>
    <w:rsid w:val="00B87FCE"/>
  </w:style>
  <w:style w:type="paragraph" w:styleId="TableofFigures">
    <w:name w:val="table of figures"/>
    <w:basedOn w:val="Normal"/>
    <w:next w:val="Normal"/>
    <w:semiHidden/>
    <w:rsid w:val="00B87FCE"/>
    <w:pPr>
      <w:tabs>
        <w:tab w:val="right" w:leader="dot" w:pos="9072"/>
      </w:tabs>
      <w:ind w:left="970" w:hanging="403"/>
    </w:pPr>
    <w:rPr>
      <w:rFonts w:ascii="Times New Roman" w:hAnsi="Times New Roman"/>
      <w:b/>
    </w:rPr>
  </w:style>
  <w:style w:type="paragraph" w:styleId="ListNumber">
    <w:name w:val="List Number"/>
    <w:basedOn w:val="List"/>
    <w:rsid w:val="00B87FCE"/>
    <w:pPr>
      <w:numPr>
        <w:numId w:val="11"/>
      </w:numPr>
    </w:pPr>
  </w:style>
  <w:style w:type="character" w:customStyle="1" w:styleId="WingdingSymbols">
    <w:name w:val="Wingding Symbols"/>
    <w:rsid w:val="00B87FCE"/>
    <w:rPr>
      <w:rFonts w:ascii="Wingdings" w:hAnsi="Wingdings"/>
    </w:rPr>
  </w:style>
  <w:style w:type="paragraph" w:customStyle="1" w:styleId="TableHeading">
    <w:name w:val="Table Heading"/>
    <w:basedOn w:val="HeadingBase"/>
    <w:rsid w:val="00B87FCE"/>
    <w:pPr>
      <w:keepLines/>
      <w:pBdr>
        <w:bottom w:val="single" w:sz="6" w:space="1" w:color="918585"/>
      </w:pBdr>
      <w:spacing w:before="240"/>
    </w:pPr>
  </w:style>
  <w:style w:type="character" w:customStyle="1" w:styleId="HotSpot">
    <w:name w:val="HotSpot"/>
    <w:rsid w:val="00B87FCE"/>
    <w:rPr>
      <w:color w:val="0033CC"/>
      <w:u w:val="none"/>
    </w:rPr>
  </w:style>
  <w:style w:type="paragraph" w:customStyle="1" w:styleId="BodyTextRight">
    <w:name w:val="Body Text Right"/>
    <w:basedOn w:val="BodyText"/>
    <w:rsid w:val="00B87FCE"/>
    <w:pPr>
      <w:spacing w:before="0" w:after="0"/>
      <w:jc w:val="right"/>
    </w:pPr>
  </w:style>
  <w:style w:type="paragraph" w:styleId="Index3">
    <w:name w:val="index 3"/>
    <w:basedOn w:val="ListNumber2"/>
    <w:next w:val="Normal"/>
    <w:semiHidden/>
    <w:rsid w:val="00B87FCE"/>
    <w:pPr>
      <w:numPr>
        <w:numId w:val="0"/>
      </w:numPr>
      <w:tabs>
        <w:tab w:val="right" w:leader="dot" w:pos="4176"/>
      </w:tabs>
    </w:pPr>
  </w:style>
  <w:style w:type="paragraph" w:styleId="ListNumber2">
    <w:name w:val="List Number 2"/>
    <w:basedOn w:val="List2"/>
    <w:rsid w:val="00B87FCE"/>
    <w:pPr>
      <w:numPr>
        <w:numId w:val="10"/>
      </w:numPr>
      <w:tabs>
        <w:tab w:val="clear" w:pos="1060"/>
      </w:tabs>
    </w:pPr>
  </w:style>
  <w:style w:type="paragraph" w:customStyle="1" w:styleId="MarginNote">
    <w:name w:val="Margin Note"/>
    <w:basedOn w:val="BodyText"/>
    <w:rsid w:val="00B87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F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FCE"/>
    <w:rPr>
      <w:sz w:val="32"/>
    </w:rPr>
  </w:style>
  <w:style w:type="paragraph" w:customStyle="1" w:styleId="HeadingProcedure">
    <w:name w:val="Heading Procedure"/>
    <w:basedOn w:val="HeadingBase"/>
    <w:next w:val="Normal"/>
    <w:rsid w:val="00B87FCE"/>
    <w:pPr>
      <w:tabs>
        <w:tab w:val="left" w:pos="0"/>
      </w:tabs>
      <w:spacing w:before="120" w:after="60"/>
    </w:pPr>
    <w:rPr>
      <w:i/>
      <w:color w:val="918585"/>
      <w:sz w:val="22"/>
    </w:rPr>
  </w:style>
  <w:style w:type="paragraph" w:customStyle="1" w:styleId="TableBodyText">
    <w:name w:val="Table Body Text"/>
    <w:basedOn w:val="BodyText"/>
    <w:rsid w:val="00B87FCE"/>
    <w:pPr>
      <w:spacing w:before="60" w:after="60"/>
    </w:pPr>
  </w:style>
  <w:style w:type="paragraph" w:styleId="ListContinue">
    <w:name w:val="List Continue"/>
    <w:basedOn w:val="List"/>
    <w:rsid w:val="00B87FCE"/>
    <w:pPr>
      <w:ind w:firstLine="0"/>
    </w:pPr>
  </w:style>
  <w:style w:type="paragraph" w:customStyle="1" w:styleId="ListNote">
    <w:name w:val="List Note"/>
    <w:basedOn w:val="List"/>
    <w:rsid w:val="00B87FCE"/>
    <w:pPr>
      <w:pBdr>
        <w:top w:val="single" w:sz="6" w:space="2" w:color="918585"/>
        <w:bottom w:val="single" w:sz="6" w:space="2" w:color="918585"/>
      </w:pBdr>
      <w:tabs>
        <w:tab w:val="left" w:pos="1021"/>
      </w:tabs>
      <w:ind w:firstLine="0"/>
    </w:pPr>
  </w:style>
  <w:style w:type="paragraph" w:customStyle="1" w:styleId="Warning">
    <w:name w:val="Warning"/>
    <w:basedOn w:val="BodyText"/>
    <w:rsid w:val="00B87FCE"/>
    <w:pPr>
      <w:shd w:val="clear" w:color="auto" w:fill="D9D9D9"/>
      <w:tabs>
        <w:tab w:val="left" w:pos="992"/>
      </w:tabs>
      <w:ind w:left="119" w:right="119"/>
    </w:pPr>
    <w:rPr>
      <w:sz w:val="20"/>
    </w:rPr>
  </w:style>
  <w:style w:type="paragraph" w:customStyle="1" w:styleId="MarginIcons">
    <w:name w:val="Margin Icons"/>
    <w:basedOn w:val="BodyText"/>
    <w:rsid w:val="00B87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FCE"/>
    <w:rPr>
      <w:rFonts w:ascii="Courier New" w:hAnsi="Courier New"/>
    </w:rPr>
  </w:style>
  <w:style w:type="paragraph" w:customStyle="1" w:styleId="NoteBullet">
    <w:name w:val="Note Bullet"/>
    <w:basedOn w:val="Note"/>
    <w:rsid w:val="00B87FCE"/>
    <w:pPr>
      <w:tabs>
        <w:tab w:val="clear" w:pos="680"/>
      </w:tabs>
      <w:spacing w:before="60" w:after="60"/>
    </w:pPr>
  </w:style>
  <w:style w:type="paragraph" w:customStyle="1" w:styleId="SubHeading2">
    <w:name w:val="SubHeading2"/>
    <w:basedOn w:val="HeadingBase"/>
    <w:rsid w:val="00B87FCE"/>
    <w:pPr>
      <w:spacing w:before="240" w:after="60"/>
    </w:pPr>
    <w:rPr>
      <w:sz w:val="20"/>
    </w:rPr>
  </w:style>
  <w:style w:type="paragraph" w:customStyle="1" w:styleId="SubHeading1">
    <w:name w:val="SubHeading1"/>
    <w:basedOn w:val="HeadingBase"/>
    <w:rsid w:val="00B87FCE"/>
    <w:pPr>
      <w:spacing w:before="240" w:after="60"/>
    </w:pPr>
    <w:rPr>
      <w:color w:val="918585"/>
      <w:sz w:val="22"/>
    </w:rPr>
  </w:style>
  <w:style w:type="paragraph" w:customStyle="1" w:styleId="SideHeading">
    <w:name w:val="Side Heading"/>
    <w:basedOn w:val="HeadingBase"/>
    <w:rsid w:val="00B87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FCE"/>
    <w:pPr>
      <w:numPr>
        <w:numId w:val="12"/>
      </w:numPr>
    </w:pPr>
  </w:style>
  <w:style w:type="paragraph" w:styleId="PlainText">
    <w:name w:val="Plain Text"/>
    <w:basedOn w:val="Normal"/>
    <w:link w:val="PlainTextChar"/>
    <w:rsid w:val="00B87FCE"/>
    <w:rPr>
      <w:sz w:val="20"/>
    </w:rPr>
  </w:style>
  <w:style w:type="character" w:customStyle="1" w:styleId="PlainTextChar">
    <w:name w:val="Plain Text Char"/>
    <w:basedOn w:val="DefaultParagraphFont"/>
    <w:link w:val="PlainText"/>
    <w:rsid w:val="00B87FCE"/>
    <w:rPr>
      <w:rFonts w:ascii="Courier New" w:eastAsia="Times New Roman" w:hAnsi="Courier New" w:cs="Times New Roman"/>
      <w:sz w:val="20"/>
      <w:szCs w:val="20"/>
      <w:lang w:eastAsia="en-US"/>
    </w:rPr>
  </w:style>
  <w:style w:type="character" w:customStyle="1" w:styleId="MenuOption">
    <w:name w:val="Menu Option"/>
    <w:basedOn w:val="DefaultParagraphFont"/>
    <w:rsid w:val="00B87FCE"/>
    <w:rPr>
      <w:b/>
      <w:smallCaps/>
    </w:rPr>
  </w:style>
  <w:style w:type="paragraph" w:customStyle="1" w:styleId="TableListNumber">
    <w:name w:val="Table List Number"/>
    <w:basedOn w:val="ListNumber"/>
    <w:rsid w:val="00B87FCE"/>
    <w:pPr>
      <w:numPr>
        <w:numId w:val="0"/>
      </w:numPr>
    </w:pPr>
  </w:style>
  <w:style w:type="paragraph" w:styleId="TOC4">
    <w:name w:val="toc 4"/>
    <w:basedOn w:val="TOCBase"/>
    <w:next w:val="Normal"/>
    <w:semiHidden/>
    <w:rsid w:val="00B87FCE"/>
    <w:pPr>
      <w:tabs>
        <w:tab w:val="right" w:leader="dot" w:pos="9071"/>
      </w:tabs>
      <w:ind w:left="1701"/>
    </w:pPr>
  </w:style>
  <w:style w:type="paragraph" w:customStyle="1" w:styleId="ListAlpha">
    <w:name w:val="List Alpha"/>
    <w:basedOn w:val="List"/>
    <w:rsid w:val="00B87FCE"/>
    <w:pPr>
      <w:numPr>
        <w:numId w:val="9"/>
      </w:numPr>
    </w:pPr>
  </w:style>
  <w:style w:type="paragraph" w:customStyle="1" w:styleId="ListAlpha2">
    <w:name w:val="List Alpha 2"/>
    <w:basedOn w:val="List2"/>
    <w:rsid w:val="00B87FCE"/>
    <w:pPr>
      <w:numPr>
        <w:numId w:val="8"/>
      </w:numPr>
    </w:pPr>
  </w:style>
  <w:style w:type="paragraph" w:styleId="List2">
    <w:name w:val="List 2"/>
    <w:basedOn w:val="BodyText"/>
    <w:rsid w:val="00B87FCE"/>
    <w:pPr>
      <w:tabs>
        <w:tab w:val="left" w:pos="680"/>
      </w:tabs>
      <w:spacing w:before="60" w:after="60"/>
      <w:ind w:left="680" w:hanging="340"/>
    </w:pPr>
  </w:style>
  <w:style w:type="paragraph" w:styleId="List3">
    <w:name w:val="List 3"/>
    <w:basedOn w:val="BodyText"/>
    <w:rsid w:val="00B87FCE"/>
    <w:pPr>
      <w:tabs>
        <w:tab w:val="left" w:pos="1021"/>
      </w:tabs>
      <w:spacing w:before="60" w:after="60"/>
      <w:ind w:left="1020" w:hanging="340"/>
    </w:pPr>
  </w:style>
  <w:style w:type="paragraph" w:styleId="List4">
    <w:name w:val="List 4"/>
    <w:basedOn w:val="BodyText"/>
    <w:rsid w:val="00B87FCE"/>
    <w:pPr>
      <w:tabs>
        <w:tab w:val="left" w:pos="1361"/>
      </w:tabs>
      <w:spacing w:before="60" w:after="60"/>
      <w:ind w:left="1361" w:hanging="340"/>
    </w:pPr>
  </w:style>
  <w:style w:type="paragraph" w:styleId="List5">
    <w:name w:val="List 5"/>
    <w:basedOn w:val="BodyText"/>
    <w:rsid w:val="00B87FCE"/>
    <w:pPr>
      <w:tabs>
        <w:tab w:val="left" w:pos="1701"/>
      </w:tabs>
      <w:spacing w:before="60" w:after="60"/>
      <w:ind w:left="1701" w:hanging="340"/>
    </w:pPr>
  </w:style>
  <w:style w:type="paragraph" w:styleId="ListBullet3">
    <w:name w:val="List Bullet 3"/>
    <w:basedOn w:val="List3"/>
    <w:rsid w:val="00B87FCE"/>
    <w:pPr>
      <w:numPr>
        <w:numId w:val="15"/>
      </w:numPr>
      <w:tabs>
        <w:tab w:val="clear" w:pos="1021"/>
      </w:tabs>
      <w:ind w:left="1037" w:hanging="357"/>
    </w:pPr>
  </w:style>
  <w:style w:type="paragraph" w:styleId="ListBullet4">
    <w:name w:val="List Bullet 4"/>
    <w:basedOn w:val="List4"/>
    <w:rsid w:val="00B87FCE"/>
    <w:pPr>
      <w:numPr>
        <w:numId w:val="3"/>
      </w:numPr>
    </w:pPr>
  </w:style>
  <w:style w:type="paragraph" w:styleId="ListBullet5">
    <w:name w:val="List Bullet 5"/>
    <w:basedOn w:val="List5"/>
    <w:rsid w:val="00B87FCE"/>
    <w:pPr>
      <w:numPr>
        <w:numId w:val="4"/>
      </w:numPr>
    </w:pPr>
  </w:style>
  <w:style w:type="paragraph" w:styleId="ListContinue2">
    <w:name w:val="List Continue 2"/>
    <w:basedOn w:val="List2"/>
    <w:rsid w:val="00B87FCE"/>
    <w:pPr>
      <w:ind w:firstLine="0"/>
    </w:pPr>
  </w:style>
  <w:style w:type="paragraph" w:styleId="ListContinue3">
    <w:name w:val="List Continue 3"/>
    <w:basedOn w:val="List3"/>
    <w:rsid w:val="00B87FCE"/>
    <w:pPr>
      <w:ind w:left="1021" w:firstLine="0"/>
    </w:pPr>
  </w:style>
  <w:style w:type="paragraph" w:styleId="ListContinue4">
    <w:name w:val="List Continue 4"/>
    <w:basedOn w:val="List4"/>
    <w:rsid w:val="00B87FCE"/>
    <w:pPr>
      <w:ind w:firstLine="0"/>
    </w:pPr>
  </w:style>
  <w:style w:type="paragraph" w:styleId="ListContinue5">
    <w:name w:val="List Continue 5"/>
    <w:basedOn w:val="List5"/>
    <w:rsid w:val="00B87FCE"/>
    <w:pPr>
      <w:ind w:firstLine="0"/>
    </w:pPr>
  </w:style>
  <w:style w:type="paragraph" w:styleId="ListNumber3">
    <w:name w:val="List Number 3"/>
    <w:basedOn w:val="List3"/>
    <w:rsid w:val="00B87FCE"/>
    <w:pPr>
      <w:numPr>
        <w:numId w:val="5"/>
      </w:numPr>
    </w:pPr>
  </w:style>
  <w:style w:type="paragraph" w:styleId="ListNumber4">
    <w:name w:val="List Number 4"/>
    <w:basedOn w:val="List4"/>
    <w:rsid w:val="00B87FCE"/>
    <w:pPr>
      <w:numPr>
        <w:numId w:val="6"/>
      </w:numPr>
    </w:pPr>
  </w:style>
  <w:style w:type="paragraph" w:styleId="ListNumber5">
    <w:name w:val="List Number 5"/>
    <w:basedOn w:val="List5"/>
    <w:rsid w:val="00B87FCE"/>
    <w:pPr>
      <w:numPr>
        <w:numId w:val="7"/>
      </w:numPr>
    </w:pPr>
  </w:style>
  <w:style w:type="paragraph" w:styleId="BlockText">
    <w:name w:val="Block Text"/>
    <w:basedOn w:val="Normal"/>
    <w:rsid w:val="00B87FCE"/>
    <w:pPr>
      <w:spacing w:after="120"/>
      <w:ind w:left="1440" w:right="1440"/>
    </w:pPr>
  </w:style>
  <w:style w:type="character" w:customStyle="1" w:styleId="Subscript">
    <w:name w:val="Subscript"/>
    <w:basedOn w:val="DefaultParagraphFont"/>
    <w:rsid w:val="00B87FCE"/>
    <w:rPr>
      <w:sz w:val="16"/>
      <w:vertAlign w:val="subscript"/>
    </w:rPr>
  </w:style>
  <w:style w:type="character" w:customStyle="1" w:styleId="Superscript">
    <w:name w:val="Superscript"/>
    <w:basedOn w:val="DefaultParagraphFont"/>
    <w:rsid w:val="00B87FCE"/>
    <w:rPr>
      <w:sz w:val="16"/>
      <w:vertAlign w:val="superscript"/>
    </w:rPr>
  </w:style>
  <w:style w:type="character" w:customStyle="1" w:styleId="Symbols">
    <w:name w:val="Symbols"/>
    <w:basedOn w:val="DefaultParagraphFont"/>
    <w:rsid w:val="00B87FCE"/>
    <w:rPr>
      <w:rFonts w:ascii="Symbol" w:hAnsi="Symbol"/>
    </w:rPr>
  </w:style>
  <w:style w:type="character" w:customStyle="1" w:styleId="MenuOptions">
    <w:name w:val="Menu Options"/>
    <w:basedOn w:val="DefaultParagraphFont"/>
    <w:rsid w:val="00B87FCE"/>
    <w:rPr>
      <w:rFonts w:ascii="Arial Narrow" w:hAnsi="Arial Narrow"/>
      <w:smallCaps/>
    </w:rPr>
  </w:style>
  <w:style w:type="character" w:customStyle="1" w:styleId="Buttons">
    <w:name w:val="Buttons"/>
    <w:basedOn w:val="DefaultParagraphFont"/>
    <w:rsid w:val="00B87FCE"/>
    <w:rPr>
      <w:b/>
    </w:rPr>
  </w:style>
  <w:style w:type="character" w:customStyle="1" w:styleId="Underlined">
    <w:name w:val="Underlined"/>
    <w:basedOn w:val="DefaultParagraphFont"/>
    <w:rsid w:val="00B87FCE"/>
    <w:rPr>
      <w:u w:val="single"/>
    </w:rPr>
  </w:style>
  <w:style w:type="paragraph" w:customStyle="1" w:styleId="TableBodyTextRight">
    <w:name w:val="Table Body Text Right"/>
    <w:basedOn w:val="TableBodyText"/>
    <w:rsid w:val="00B87FCE"/>
    <w:pPr>
      <w:widowControl w:val="0"/>
      <w:autoSpaceDE w:val="0"/>
      <w:autoSpaceDN w:val="0"/>
      <w:adjustRightInd w:val="0"/>
      <w:jc w:val="right"/>
    </w:pPr>
    <w:rPr>
      <w:rFonts w:cs="Arial"/>
      <w:szCs w:val="18"/>
    </w:rPr>
  </w:style>
  <w:style w:type="paragraph" w:customStyle="1" w:styleId="CopyrightText">
    <w:name w:val="Copyright Text"/>
    <w:basedOn w:val="BodyText"/>
    <w:rsid w:val="00B87FCE"/>
    <w:rPr>
      <w:sz w:val="18"/>
    </w:rPr>
  </w:style>
  <w:style w:type="paragraph" w:customStyle="1" w:styleId="BodySmallRight">
    <w:name w:val="Body Small Right"/>
    <w:basedOn w:val="BodyTextRight"/>
    <w:rsid w:val="00B87FCE"/>
    <w:rPr>
      <w:sz w:val="18"/>
      <w:szCs w:val="18"/>
    </w:rPr>
  </w:style>
  <w:style w:type="paragraph" w:customStyle="1" w:styleId="MarginEdition">
    <w:name w:val="Margin Edition"/>
    <w:basedOn w:val="MarginNote"/>
    <w:rsid w:val="00B87FCE"/>
    <w:pPr>
      <w:spacing w:before="0" w:after="0"/>
    </w:pPr>
    <w:rPr>
      <w:rFonts w:ascii="Times New Roman" w:hAnsi="Times New Roman"/>
      <w:color w:val="999999"/>
    </w:rPr>
  </w:style>
  <w:style w:type="paragraph" w:customStyle="1" w:styleId="Spacer">
    <w:name w:val="Spacer"/>
    <w:basedOn w:val="Normal"/>
    <w:rsid w:val="00B87FCE"/>
    <w:rPr>
      <w:sz w:val="2"/>
      <w:szCs w:val="2"/>
    </w:rPr>
  </w:style>
  <w:style w:type="character" w:customStyle="1" w:styleId="Small">
    <w:name w:val="Small"/>
    <w:basedOn w:val="DefaultParagraphFont"/>
    <w:rsid w:val="00B87FCE"/>
    <w:rPr>
      <w:sz w:val="16"/>
    </w:rPr>
  </w:style>
  <w:style w:type="paragraph" w:customStyle="1" w:styleId="WideTable">
    <w:name w:val="Wide Table"/>
    <w:basedOn w:val="Normal"/>
    <w:rsid w:val="00B87FCE"/>
    <w:pPr>
      <w:ind w:left="-1418"/>
    </w:pPr>
    <w:rPr>
      <w:sz w:val="2"/>
      <w:szCs w:val="2"/>
    </w:rPr>
  </w:style>
  <w:style w:type="character" w:styleId="PageNumber">
    <w:name w:val="page number"/>
    <w:basedOn w:val="DefaultParagraphFont"/>
    <w:rsid w:val="00B87FCE"/>
  </w:style>
  <w:style w:type="paragraph" w:styleId="Quote">
    <w:name w:val="Quote"/>
    <w:basedOn w:val="Heading1"/>
    <w:link w:val="QuoteChar"/>
    <w:qFormat/>
    <w:rsid w:val="00B87FCE"/>
    <w:rPr>
      <w:b w:val="0"/>
      <w:sz w:val="72"/>
      <w:szCs w:val="72"/>
      <w:lang w:val="en-NZ"/>
    </w:rPr>
  </w:style>
  <w:style w:type="character" w:customStyle="1" w:styleId="QuoteChar">
    <w:name w:val="Quote Char"/>
    <w:basedOn w:val="DefaultParagraphFont"/>
    <w:link w:val="Quote"/>
    <w:rsid w:val="00B87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FCE"/>
    <w:pPr>
      <w:pageBreakBefore/>
    </w:pPr>
  </w:style>
  <w:style w:type="paragraph" w:customStyle="1" w:styleId="Border">
    <w:name w:val="Border"/>
    <w:basedOn w:val="Normal"/>
    <w:qFormat/>
    <w:rsid w:val="00B87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FCE"/>
    <w:rPr>
      <w:b/>
      <w:bCs/>
      <w:i/>
      <w:iCs/>
      <w:color w:val="auto"/>
    </w:rPr>
  </w:style>
  <w:style w:type="paragraph" w:styleId="IntenseQuote">
    <w:name w:val="Intense Quote"/>
    <w:basedOn w:val="Normal"/>
    <w:next w:val="Normal"/>
    <w:link w:val="IntenseQuoteChar"/>
    <w:uiPriority w:val="30"/>
    <w:qFormat/>
    <w:rsid w:val="00B87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F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FCE"/>
    <w:rPr>
      <w:smallCaps/>
      <w:color w:val="auto"/>
      <w:u w:val="single"/>
    </w:rPr>
  </w:style>
  <w:style w:type="character" w:styleId="IntenseReference">
    <w:name w:val="Intense Reference"/>
    <w:basedOn w:val="DefaultParagraphFont"/>
    <w:uiPriority w:val="32"/>
    <w:qFormat/>
    <w:rsid w:val="00B87FCE"/>
    <w:rPr>
      <w:b/>
      <w:bCs/>
      <w:smallCaps/>
      <w:color w:val="auto"/>
      <w:spacing w:val="5"/>
      <w:u w:val="single"/>
    </w:rPr>
  </w:style>
  <w:style w:type="paragraph" w:customStyle="1" w:styleId="2ColumnHeading">
    <w:name w:val="2Column Heading"/>
    <w:basedOn w:val="BodyText"/>
    <w:qFormat/>
    <w:rsid w:val="00B87FCE"/>
    <w:pPr>
      <w:spacing w:after="60"/>
      <w:ind w:left="-2268"/>
    </w:pPr>
    <w:rPr>
      <w:b/>
    </w:rPr>
  </w:style>
  <w:style w:type="paragraph" w:customStyle="1" w:styleId="Heading1TOC">
    <w:name w:val="Heading1 TOC"/>
    <w:basedOn w:val="Normal"/>
    <w:qFormat/>
    <w:rsid w:val="00B87FCE"/>
    <w:pPr>
      <w:spacing w:before="240" w:after="120"/>
    </w:pPr>
    <w:rPr>
      <w:rFonts w:ascii="Times New Roman" w:hAnsi="Times New Roman"/>
      <w:b/>
      <w:sz w:val="32"/>
    </w:rPr>
  </w:style>
  <w:style w:type="paragraph" w:customStyle="1" w:styleId="Heading2TOC">
    <w:name w:val="Heading2 TOC"/>
    <w:basedOn w:val="Normal"/>
    <w:qFormat/>
    <w:rsid w:val="00B87FCE"/>
    <w:pPr>
      <w:spacing w:before="240" w:after="60"/>
    </w:pPr>
    <w:rPr>
      <w:rFonts w:ascii="Times New Roman" w:hAnsi="Times New Roman"/>
      <w:b/>
      <w:sz w:val="28"/>
    </w:rPr>
  </w:style>
  <w:style w:type="character" w:customStyle="1" w:styleId="Underline">
    <w:name w:val="Underline"/>
    <w:basedOn w:val="DefaultParagraphFont"/>
    <w:qFormat/>
    <w:rsid w:val="00B87FCE"/>
    <w:rPr>
      <w:u w:val="single"/>
    </w:rPr>
  </w:style>
  <w:style w:type="character" w:customStyle="1" w:styleId="BoldandItalics">
    <w:name w:val="Bold and Italics"/>
    <w:qFormat/>
    <w:rsid w:val="00B87FCE"/>
    <w:rPr>
      <w:b/>
      <w:i/>
      <w:u w:val="none"/>
    </w:rPr>
  </w:style>
  <w:style w:type="paragraph" w:styleId="BalloonText">
    <w:name w:val="Balloon Text"/>
    <w:basedOn w:val="Normal"/>
    <w:link w:val="BalloonTextChar"/>
    <w:rsid w:val="00B87FCE"/>
    <w:rPr>
      <w:rFonts w:ascii="Tahoma" w:hAnsi="Tahoma" w:cs="Tahoma"/>
      <w:sz w:val="16"/>
      <w:szCs w:val="16"/>
    </w:rPr>
  </w:style>
  <w:style w:type="character" w:customStyle="1" w:styleId="BalloonTextChar">
    <w:name w:val="Balloon Text Char"/>
    <w:basedOn w:val="DefaultParagraphFont"/>
    <w:link w:val="BalloonText"/>
    <w:rsid w:val="00B87F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F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FCE"/>
    <w:rPr>
      <w:b/>
      <w:color w:val="660033"/>
      <w:spacing w:val="0"/>
    </w:rPr>
  </w:style>
  <w:style w:type="paragraph" w:customStyle="1" w:styleId="Nameditemlist">
    <w:name w:val="Named item list"/>
    <w:basedOn w:val="BodyText"/>
    <w:qFormat/>
    <w:rsid w:val="00B87F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2086</Words>
  <Characters>12493</Characters>
  <Application>Microsoft Office Word</Application>
  <DocSecurity>0</DocSecurity>
  <Lines>514</Lines>
  <Paragraphs>222</Paragraphs>
  <ScaleCrop>false</ScaleCrop>
  <Company>Author-it Software Corporation Ltd.</Company>
  <LinksUpToDate>false</LinksUpToDate>
  <CharactersWithSpaces>14399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UEPMNT448A Diagnose and repair faults in wind turbine generator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2013-03-14T22:05:00Z</dcterms:created>
  <dcterms:modified xsi:type="dcterms:W3CDTF">2013-03-14T22:05:00Z</dcterms:modified>
</cp:coreProperties>
</file>