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A76" w:rsidP="00DB3A76">
      <w:pPr>
        <w:pStyle w:val="Title"/>
      </w:pPr>
      <w:bookmarkStart w:id="0" w:name="_GoBack"/>
      <w:bookmarkEnd w:id="0"/>
      <w:r>
        <w:fldChar w:fldCharType="begin"/>
      </w:r>
      <w:r>
        <w:instrText xml:space="preserve"> TITLE   \* MERGEFORMAT </w:instrText>
      </w:r>
      <w:r>
        <w:fldChar w:fldCharType="separate"/>
      </w:r>
      <w:r>
        <w:t>UEPMNT447A Diagnose and repair faults in wind turbine generator electrical systems</w:t>
      </w:r>
      <w:r>
        <w:fldChar w:fldCharType="end"/>
      </w:r>
    </w:p>
    <w:p w:rsidR="00DB3A76" w:rsidP="00DB3A76">
      <w:pPr>
        <w:pStyle w:val="Version"/>
        <w:sectPr w:rsidSect="00C06C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C69" w:rsidP="00C06C69">
      <w:pPr>
        <w:pStyle w:val="SuperHeading"/>
      </w:pPr>
      <w:r w:rsidRPr="00C06C69">
        <w:t>UEPMNT447A Diagnose and repair faults in wind turbine generator electrical systems</w:t>
      </w:r>
    </w:p>
    <w:p w:rsidR="00000000" w:rsidRPr="00C06C69" w:rsidP="00C06C69">
      <w:pPr>
        <w:pStyle w:val="Heading1"/>
      </w:pPr>
      <w:bookmarkStart w:id="1" w:name="O_491034"/>
      <w:bookmarkEnd w:id="1"/>
      <w:r w:rsidRPr="00C06C69">
        <w:t>Modification History</w:t>
      </w:r>
    </w:p>
    <w:p w:rsidR="00000000" w:rsidRPr="00C06C69" w:rsidP="00C06C69">
      <w:pPr>
        <w:pStyle w:val="BodyText"/>
      </w:pPr>
      <w:r w:rsidRPr="00C06C69">
        <w:t>Not applicable.</w:t>
      </w:r>
    </w:p>
    <w:p w:rsidR="00000000" w:rsidRPr="00C06C69" w:rsidP="00C06C69">
      <w:pPr>
        <w:pStyle w:val="AllowPageBreak"/>
      </w:pPr>
    </w:p>
    <w:p w:rsidR="00000000" w:rsidRPr="00C06C69" w:rsidP="00C06C69">
      <w:pPr>
        <w:pStyle w:val="Heading1"/>
      </w:pPr>
      <w:bookmarkStart w:id="2" w:name="O_491032"/>
      <w:bookmarkEnd w:id="2"/>
      <w:r w:rsidRPr="00C06C69">
        <w:t>Unit Descriptor</w:t>
      </w:r>
    </w:p>
    <w:tbl>
      <w:tblPr>
        <w:tblW w:w="0" w:type="auto"/>
        <w:tblLayout w:type="fixed"/>
        <w:tblCellMar>
          <w:left w:w="62" w:type="dxa"/>
          <w:right w:w="62" w:type="dxa"/>
        </w:tblCellMar>
        <w:tblLook w:val="0000"/>
      </w:tblPr>
      <w:tblGrid>
        <w:gridCol w:w="2700"/>
        <w:gridCol w:w="5760"/>
      </w:tblGrid>
      <w:tr w:rsidTr="00DB3A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1)</w:t>
            </w:r>
            <w:r w:rsidRPr="00C06C69">
              <w:t xml:space="preserve"> </w:t>
            </w:r>
            <w:r w:rsidRPr="00C06C69">
              <w:rPr>
                <w:rStyle w:val="SpecialBold"/>
              </w:rPr>
              <w:t>Scope:</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6C6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1.1) Descriptor</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This unit deals with the skills and knowledge required to diagnose and repair faults in large scale wind turbine generator (WTG) electrical systems.</w:t>
            </w:r>
          </w:p>
        </w:tc>
      </w:tr>
    </w:tbl>
    <w:p w:rsidR="00000000" w:rsidRPr="00C06C69" w:rsidP="00C06C69">
      <w:pPr>
        <w:pStyle w:val="BodyText"/>
      </w:pPr>
    </w:p>
    <w:p w:rsidR="00000000" w:rsidRPr="00C06C69" w:rsidP="00C06C69">
      <w:pPr>
        <w:pStyle w:val="AllowPageBreak"/>
      </w:pPr>
    </w:p>
    <w:p w:rsidR="00000000" w:rsidRPr="00C06C69" w:rsidP="00C06C69">
      <w:pPr>
        <w:pStyle w:val="Heading1"/>
      </w:pPr>
      <w:bookmarkStart w:id="3" w:name="O_491021"/>
      <w:bookmarkEnd w:id="3"/>
      <w:r w:rsidRPr="00C06C69">
        <w:t>Application of the Unit</w:t>
      </w:r>
    </w:p>
    <w:tbl>
      <w:tblPr>
        <w:tblW w:w="0" w:type="auto"/>
        <w:tblLayout w:type="fixed"/>
        <w:tblCellMar>
          <w:left w:w="62" w:type="dxa"/>
          <w:right w:w="62" w:type="dxa"/>
        </w:tblCellMar>
        <w:tblLook w:val="0000"/>
      </w:tblPr>
      <w:tblGrid>
        <w:gridCol w:w="2672"/>
        <w:gridCol w:w="5699"/>
      </w:tblGrid>
      <w:tr w:rsidTr="00DB3A7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2)</w:t>
            </w:r>
          </w:p>
        </w:tc>
      </w:tr>
      <w:tr w:rsidTr="00DB3A7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This unit is intended to augment formally acquired competencies. It is suitable for employment-based programs under an approved contract of training.</w:t>
            </w:r>
          </w:p>
        </w:tc>
      </w:tr>
    </w:tbl>
    <w:p w:rsidR="00000000" w:rsidRPr="00C06C69" w:rsidP="00C06C69">
      <w:pPr>
        <w:pStyle w:val="BodyText"/>
      </w:pPr>
    </w:p>
    <w:p w:rsidR="00000000" w:rsidRPr="00C06C69" w:rsidP="00C06C69">
      <w:pPr>
        <w:pStyle w:val="AllowPageBreak"/>
      </w:pPr>
    </w:p>
    <w:p w:rsidR="00000000" w:rsidRPr="00C06C69" w:rsidP="00C06C69">
      <w:pPr>
        <w:pStyle w:val="Heading1"/>
      </w:pPr>
      <w:bookmarkStart w:id="4" w:name="O_491028"/>
      <w:bookmarkEnd w:id="4"/>
      <w:r w:rsidRPr="00C06C69">
        <w:t>Licensing/Regulatory Information</w:t>
      </w:r>
    </w:p>
    <w:tbl>
      <w:tblPr>
        <w:tblW w:w="0" w:type="auto"/>
        <w:tblLayout w:type="fixed"/>
        <w:tblCellMar>
          <w:left w:w="62" w:type="dxa"/>
          <w:right w:w="62" w:type="dxa"/>
        </w:tblCellMar>
        <w:tblLook w:val="0000"/>
      </w:tblPr>
      <w:tblGrid>
        <w:gridCol w:w="2700"/>
        <w:gridCol w:w="5760"/>
      </w:tblGrid>
      <w:tr w:rsidTr="00DB3A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 xml:space="preserve">3) </w:t>
            </w:r>
          </w:p>
        </w:tc>
      </w:tr>
      <w:tr w:rsidTr="00DB3A76">
        <w:tblPrEx>
          <w:tblW w:w="0" w:type="auto"/>
          <w:tblLayout w:type="fixed"/>
          <w:tblCellMar>
            <w:left w:w="62" w:type="dxa"/>
            <w:right w:w="62" w:type="dxa"/>
          </w:tblCellMar>
          <w:tblLook w:val="0000"/>
        </w:tblPrEx>
        <w:trPr>
          <w:trHeight w:val="589"/>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 xml:space="preserve">During Training: Competency </w:t>
            </w:r>
            <w:r w:rsidRPr="00C06C69">
              <w:t>development activities are subject to regulations directly related to licencing, occupational health and safety and where applicable contracts of training such as apprenticeships.</w:t>
            </w:r>
          </w:p>
          <w:p w:rsidR="00000000" w:rsidRPr="00C06C69" w:rsidP="00C06C69">
            <w:pPr>
              <w:pStyle w:val="BodyText"/>
            </w:pPr>
            <w:r w:rsidRPr="00C06C69">
              <w:t>In the workplace: The application of the skills and knowledge described in this unit require a license to practice in the workplace where work is carried out on electrical equipment or installations which are designed to operate at voltages greater than 50</w:t>
            </w:r>
            <w:r w:rsidRPr="00C06C69">
              <w:t xml:space="preserve"> V a.c. or 120 V d.c. </w:t>
            </w:r>
          </w:p>
          <w:p w:rsidR="00000000" w:rsidRPr="00C06C69" w:rsidP="00C06C69">
            <w:pPr>
              <w:pStyle w:val="BodyText"/>
            </w:pPr>
            <w:r w:rsidRPr="00C06C69">
              <w:t>Other conditions may apply under State and Territory legislative and regulatory requirements.</w:t>
            </w:r>
          </w:p>
        </w:tc>
      </w:tr>
    </w:tbl>
    <w:p w:rsidR="00000000" w:rsidRPr="00C06C69" w:rsidP="00C06C69">
      <w:pPr>
        <w:pStyle w:val="BodyText"/>
      </w:pPr>
    </w:p>
    <w:p w:rsidR="00000000" w:rsidRPr="00C06C69" w:rsidP="00C06C69">
      <w:pPr>
        <w:pStyle w:val="AllowPageBreak"/>
      </w:pPr>
    </w:p>
    <w:p w:rsidR="00000000" w:rsidRPr="00C06C69" w:rsidP="00C06C69">
      <w:pPr>
        <w:pStyle w:val="Heading1"/>
      </w:pPr>
      <w:bookmarkStart w:id="5" w:name="O_491029"/>
      <w:bookmarkEnd w:id="5"/>
      <w:r w:rsidRPr="00C06C69">
        <w:t>Pre-Requisites</w:t>
      </w:r>
    </w:p>
    <w:tbl>
      <w:tblPr>
        <w:tblW w:w="0" w:type="auto"/>
        <w:tblLayout w:type="fixed"/>
        <w:tblCellMar>
          <w:left w:w="62" w:type="dxa"/>
          <w:right w:w="62" w:type="dxa"/>
        </w:tblCellMar>
        <w:tblLook w:val="0000"/>
      </w:tblPr>
      <w:tblGrid>
        <w:gridCol w:w="2700"/>
        <w:gridCol w:w="2068"/>
        <w:gridCol w:w="3696"/>
      </w:tblGrid>
      <w:tr w:rsidTr="00DB3A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 xml:space="preserve">4) </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4.1)</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Granting of competency in this unit shall be made only after competency in the following unit(s) has/have been confirmed.</w:t>
            </w:r>
          </w:p>
          <w:p w:rsidR="00000000" w:rsidRPr="00C06C69" w:rsidP="00C06C69">
            <w:pPr>
              <w:pStyle w:val="BodyText"/>
            </w:pPr>
            <w:r w:rsidRPr="00C06C69">
              <w:t>Where pre-requisite pathways have been identified. All competencies in the Common Unit Group must have been completed.</w:t>
            </w:r>
          </w:p>
          <w:p w:rsidR="00000000" w:rsidP="00C06C69">
            <w:pPr>
              <w:pStyle w:val="BodyText"/>
              <w:rPr>
                <w:lang w:val="en-NZ"/>
              </w:rPr>
            </w:pPr>
            <w:r w:rsidRPr="00C06C69">
              <w:t>Common Unit Gro</w:t>
            </w:r>
            <w:r w:rsidRPr="00C06C69">
              <w:t>up</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Unit Code</w:t>
            </w:r>
            <w:r w:rsidRPr="00C06C69">
              <w:tab/>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Unit Title</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 xml:space="preserve">UEPMNT371A </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Maintain large scale wind turbine generators</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 xml:space="preserve">UEPMNT442A </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Maintain wind turbine generator electrical systems</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UEPMNT445A</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Diagnose and repair faults in large scale wind turbine generators</w:t>
            </w:r>
          </w:p>
        </w:tc>
      </w:tr>
      <w:tr w:rsidTr="00DB3A76">
        <w:tblPrEx>
          <w:tblW w:w="0" w:type="auto"/>
          <w:tblLayout w:type="fixed"/>
          <w:tblCellMar>
            <w:left w:w="62" w:type="dxa"/>
            <w:right w:w="62" w:type="dxa"/>
          </w:tblCellMar>
          <w:tblLook w:val="0000"/>
        </w:tblPrEx>
        <w:trPr>
          <w:trHeight w:val="290"/>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UEENEEE101A</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Apply Occupational Health and Safety regulations, codes and practices in the workplace</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UEENEEE102A</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Fabricate, dismantle, assemble of electrotechnology components</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UEENEEE104A</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Solve problems in d.c circuits</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UEENEEE105A</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Fix and secure electrotechnology equipment</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UEENEEE107A</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 xml:space="preserve">Use drawings, diagrams, schedules, standards, codes and specifications </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UEENEEG006A</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Solve problems in single and three phase low voltage machines</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UEENEEG033A</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Solve problems in single and three ph</w:t>
            </w:r>
            <w:r w:rsidRPr="00C06C69">
              <w:t>ase low voltage electrical apparatus and circuits</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UEENEEG063A</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Arrange circuits, control and protection for general electrical installations</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UEENEEG101A</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Solve problems in electromagnetic devices and related circuits</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UEENEEG102A</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Solve problems in low</w:t>
            </w:r>
            <w:r w:rsidRPr="00C06C69">
              <w:t xml:space="preserve"> voltage a.c. circuits</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UEENEEG106A</w:t>
            </w:r>
          </w:p>
        </w:tc>
        <w:tc>
          <w:tcPr>
            <w:tcW w:w="3696"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Terminate cables, cords and accessories for low voltage circuits</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UEENEEG108A</w:t>
            </w:r>
          </w:p>
        </w:tc>
        <w:tc>
          <w:tcPr>
            <w:tcW w:w="3696"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Trouble-shoot and repair faults in low voltage electrical apparatus and circuits</w:t>
            </w:r>
          </w:p>
        </w:tc>
      </w:tr>
    </w:tbl>
    <w:p w:rsidR="00000000" w:rsidRPr="00C06C69" w:rsidP="00C06C69">
      <w:pPr>
        <w:pStyle w:val="BodyText"/>
      </w:pPr>
    </w:p>
    <w:p w:rsidR="00000000" w:rsidRPr="00C06C69" w:rsidP="00C06C6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B3A7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 xml:space="preserve">4.2) </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Participants are best equipped to achieve this unit if they have reading, writing and numeracy skills indicated by the following levels. A description of what each level entails is provided in Section 2.3.1 Language, Literacy and Numeracy.</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Reading</w:t>
            </w:r>
          </w:p>
        </w:tc>
        <w:tc>
          <w:tcPr>
            <w:tcW w:w="81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4</w:t>
            </w:r>
          </w:p>
        </w:tc>
        <w:tc>
          <w:tcPr>
            <w:tcW w:w="99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Writing</w:t>
            </w:r>
          </w:p>
        </w:tc>
        <w:tc>
          <w:tcPr>
            <w:tcW w:w="90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4</w:t>
            </w:r>
          </w:p>
        </w:tc>
        <w:tc>
          <w:tcPr>
            <w:tcW w:w="12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Numeracy</w:t>
            </w:r>
          </w:p>
        </w:tc>
        <w:tc>
          <w:tcPr>
            <w:tcW w:w="72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4</w:t>
            </w:r>
          </w:p>
        </w:tc>
      </w:tr>
    </w:tbl>
    <w:p w:rsidR="00000000" w:rsidRPr="00C06C69" w:rsidP="00C06C69">
      <w:pPr>
        <w:pStyle w:val="BodyText"/>
      </w:pPr>
    </w:p>
    <w:p w:rsidR="00000000" w:rsidRPr="00C06C69" w:rsidP="00C06C69">
      <w:pPr>
        <w:pStyle w:val="AllowPageBreak"/>
      </w:pPr>
    </w:p>
    <w:p w:rsidR="00000000" w:rsidRPr="00C06C69" w:rsidP="00C06C69">
      <w:pPr>
        <w:pStyle w:val="Heading1"/>
      </w:pPr>
      <w:bookmarkStart w:id="6" w:name="O_491025"/>
      <w:bookmarkEnd w:id="6"/>
      <w:r w:rsidRPr="00C06C69">
        <w:t>Employability Skills Information</w:t>
      </w:r>
    </w:p>
    <w:tbl>
      <w:tblPr>
        <w:tblW w:w="0" w:type="auto"/>
        <w:tblLayout w:type="fixed"/>
        <w:tblCellMar>
          <w:left w:w="62" w:type="dxa"/>
          <w:right w:w="62" w:type="dxa"/>
        </w:tblCellMar>
        <w:tblLook w:val="0000"/>
      </w:tblPr>
      <w:tblGrid>
        <w:gridCol w:w="2700"/>
        <w:gridCol w:w="5760"/>
      </w:tblGrid>
      <w:tr w:rsidTr="00DB3A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 xml:space="preserve">5) </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This unit contains Employability Skills.</w:t>
            </w:r>
          </w:p>
          <w:p w:rsidR="00000000" w:rsidRPr="00C06C69" w:rsidP="00C06C69">
            <w:pPr>
              <w:pStyle w:val="BodyText"/>
            </w:pPr>
            <w:r w:rsidRPr="00C06C6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06C69">
              <w:t>requirements.</w:t>
            </w:r>
          </w:p>
        </w:tc>
      </w:tr>
    </w:tbl>
    <w:p w:rsidR="00000000" w:rsidRPr="00C06C69" w:rsidP="00C06C69">
      <w:pPr>
        <w:pStyle w:val="BodyText"/>
      </w:pPr>
    </w:p>
    <w:p w:rsidR="00000000" w:rsidRPr="00C06C69" w:rsidP="00C06C69">
      <w:pPr>
        <w:pStyle w:val="AllowPageBreak"/>
      </w:pPr>
    </w:p>
    <w:p w:rsidR="00000000" w:rsidRPr="00C06C69" w:rsidP="00C06C69">
      <w:pPr>
        <w:pStyle w:val="Heading1"/>
      </w:pPr>
      <w:bookmarkStart w:id="7" w:name="O_491024"/>
      <w:bookmarkEnd w:id="7"/>
      <w:r w:rsidRPr="00C06C69">
        <w:t>Elements and Performance Criteria Pre-Content</w:t>
      </w:r>
    </w:p>
    <w:tbl>
      <w:tblPr>
        <w:tblW w:w="0" w:type="auto"/>
        <w:tblLayout w:type="fixed"/>
        <w:tblCellMar>
          <w:left w:w="62" w:type="dxa"/>
          <w:right w:w="62" w:type="dxa"/>
        </w:tblCellMar>
        <w:tblLook w:val="0000"/>
      </w:tblPr>
      <w:tblGrid>
        <w:gridCol w:w="2700"/>
        <w:gridCol w:w="5760"/>
      </w:tblGrid>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6)</w:t>
            </w:r>
            <w:r w:rsidRPr="00C06C6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Performance Criteria describe the required performance needed to demonstrate achievement of the element</w:t>
            </w:r>
            <w:r w:rsidRPr="00C06C69">
              <w:t>. Assessment of performance is to be consistent with the Evidence Guide.</w:t>
            </w:r>
          </w:p>
        </w:tc>
      </w:tr>
    </w:tbl>
    <w:p w:rsidR="00000000" w:rsidRPr="00C06C69" w:rsidP="00C06C69">
      <w:pPr>
        <w:pStyle w:val="BodyText"/>
      </w:pPr>
    </w:p>
    <w:p w:rsidR="00000000" w:rsidRPr="00C06C69" w:rsidP="00C06C69">
      <w:pPr>
        <w:pStyle w:val="AllowPageBreak"/>
      </w:pPr>
    </w:p>
    <w:p w:rsidR="00000000" w:rsidRPr="00C06C69" w:rsidP="00C06C69">
      <w:pPr>
        <w:pStyle w:val="Heading1"/>
      </w:pPr>
      <w:bookmarkStart w:id="8" w:name="O_491023"/>
      <w:bookmarkEnd w:id="8"/>
      <w:r w:rsidRPr="00C06C69">
        <w:t>Elements and Performance Criteria</w:t>
      </w:r>
    </w:p>
    <w:tbl>
      <w:tblPr>
        <w:tblW w:w="0" w:type="auto"/>
        <w:tblLayout w:type="fixed"/>
        <w:tblCellMar>
          <w:left w:w="62" w:type="dxa"/>
          <w:right w:w="62" w:type="dxa"/>
        </w:tblCellMar>
        <w:tblLook w:val="0000"/>
      </w:tblPr>
      <w:tblGrid>
        <w:gridCol w:w="342"/>
        <w:gridCol w:w="2358"/>
        <w:gridCol w:w="838"/>
        <w:gridCol w:w="4922"/>
      </w:tblGrid>
      <w:tr w:rsidTr="00DB3A7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PERFORMANCE CRITERIA</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1</w:t>
            </w:r>
          </w:p>
        </w:tc>
        <w:tc>
          <w:tcPr>
            <w:tcW w:w="235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Gather data</w:t>
            </w: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1.1</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Data logging information and error codes are accessed</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1.2</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Sensory data on fault or problem (auditory, visual, smell, touch), is gathered</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1.3</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Relevant hard copy or online documentation is accessed to support fault finding process</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1.4</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Built-in fault indicators and error codes are, where appropriate, examined and correctly interpreted</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1.5</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Reference to circuit diagrams, specifications, schematics and/or consultation with technical adviser is used are used to determine circuit/system fu</w:t>
            </w:r>
            <w:r w:rsidRPr="00C06C69">
              <w:t>nction and characteristics</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2</w:t>
            </w:r>
          </w:p>
        </w:tc>
        <w:tc>
          <w:tcPr>
            <w:tcW w:w="235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 xml:space="preserve">Interpret data to establish hypothesis in regards to WTG electrical system fault </w:t>
            </w: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2.1</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Knowledge of WTG electrical systems and performance parameters is applied to interpretation of fault data</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2.2</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Faults are verified or localised using correct and appropriate techniques, procedures, tools and test equipment.</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2.3</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Priorities are set for testing / replacement of specific components, wiring, and connections in the WTG</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3</w:t>
            </w:r>
          </w:p>
        </w:tc>
        <w:tc>
          <w:tcPr>
            <w:tcW w:w="235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 xml:space="preserve">Repair WTG electrical system </w:t>
            </w:r>
            <w:r w:rsidRPr="00C06C69">
              <w:t>fault</w:t>
            </w: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3.1</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Risk analysis of the job is undertaken and communicated among the work team.</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3.2</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Safety precautions such as circuit isolations, physical barriers, and other protective devices or systems are, where appropriate, used to ensure safety</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3.3</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Tes</w:t>
            </w:r>
            <w:r w:rsidRPr="00C06C69">
              <w:t>ts are conducted to ensure fault has been correctly repaired or isolated</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3.4</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 xml:space="preserve">Faulty components that have been removed from service are examined and where possible the cause of problem is identified </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3.5</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Loose connections or wiring are repaired</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3.6</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Parts likely to be cause of fault are removed and replaced with tested and operational parts</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3.7</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System is tested to ensure correct operation</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3.8</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Fault finding processes and work to repair complex fault(s) are, if required, effectively escalated with technical adviser.</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4</w:t>
            </w:r>
          </w:p>
        </w:tc>
        <w:tc>
          <w:tcPr>
            <w:tcW w:w="235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Record WTG electrical system fault</w:t>
            </w: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4.1</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 xml:space="preserve">Faulty components and parts are correctly tagged, identified and stored or shipped as per </w:t>
            </w:r>
            <w:r w:rsidRPr="00C06C69">
              <w:t>enterprise requirements</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4.2</w:t>
            </w:r>
          </w:p>
        </w:tc>
        <w:tc>
          <w:tcPr>
            <w:tcW w:w="4922"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Faults are recorded to standard operating procedures.</w:t>
            </w:r>
          </w:p>
        </w:tc>
      </w:tr>
      <w:tr w:rsidTr="00DB3A7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4.3</w:t>
            </w:r>
          </w:p>
        </w:tc>
        <w:tc>
          <w:tcPr>
            <w:tcW w:w="4922"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Cause of complex fault and process of repair is discussed with the team and other personnel using an appropriate forum.</w:t>
            </w:r>
          </w:p>
        </w:tc>
      </w:tr>
    </w:tbl>
    <w:p w:rsidR="00000000" w:rsidRPr="00C06C69" w:rsidP="00C06C69">
      <w:pPr>
        <w:pStyle w:val="BodyText"/>
      </w:pPr>
    </w:p>
    <w:p w:rsidR="00000000" w:rsidRPr="00C06C69" w:rsidP="00C06C69">
      <w:pPr>
        <w:pStyle w:val="AllowPageBreak"/>
      </w:pPr>
    </w:p>
    <w:p w:rsidR="00000000" w:rsidRPr="00C06C69" w:rsidP="00C06C69">
      <w:pPr>
        <w:pStyle w:val="Heading1"/>
      </w:pPr>
      <w:bookmarkStart w:id="9" w:name="O_491031"/>
      <w:bookmarkEnd w:id="9"/>
      <w:r w:rsidRPr="00C06C69">
        <w:t>Required Skills and Knowledge</w:t>
      </w:r>
    </w:p>
    <w:tbl>
      <w:tblPr>
        <w:tblW w:w="0" w:type="auto"/>
        <w:tblLayout w:type="fixed"/>
        <w:tblCellMar>
          <w:left w:w="62" w:type="dxa"/>
          <w:right w:w="62" w:type="dxa"/>
        </w:tblCellMar>
        <w:tblLook w:val="0000"/>
      </w:tblPr>
      <w:tblGrid>
        <w:gridCol w:w="1440"/>
        <w:gridCol w:w="7020"/>
      </w:tblGrid>
      <w:tr w:rsidTr="00DB3A7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REQUIRED SKILLS AND KNOWLEDGE</w:t>
            </w:r>
          </w:p>
        </w:tc>
      </w:tr>
      <w:tr w:rsidTr="00DB3A76">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8)</w:t>
            </w:r>
            <w:r w:rsidRPr="00C06C69">
              <w:t xml:space="preserve"> This describes the essential skills and knowledge and their level, required for this unit.</w:t>
            </w:r>
          </w:p>
          <w:p w:rsidR="00000000" w:rsidP="00C06C69">
            <w:pPr>
              <w:pStyle w:val="BodyText"/>
              <w:rPr>
                <w:lang w:val="en-NZ"/>
              </w:rPr>
            </w:pPr>
            <w:r w:rsidRPr="00C06C69">
              <w:t>All knowledge and skills detailed in this unit should be contextualised to current industry practices and technologies.</w:t>
            </w:r>
          </w:p>
        </w:tc>
      </w:tr>
      <w:tr w:rsidTr="00DB3A76">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KS01-PM447A</w:t>
            </w:r>
          </w:p>
        </w:tc>
        <w:tc>
          <w:tcPr>
            <w:tcW w:w="702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Diagnose and repair faults in wind turbine generator electrical systems</w:t>
            </w:r>
          </w:p>
        </w:tc>
      </w:tr>
      <w:tr w:rsidTr="00DB3A76">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Evid</w:t>
            </w:r>
            <w:r w:rsidRPr="00C06C69">
              <w:t>ence shall show that knowledge has been acquired of diagnosing and repairing wind turbine generator electrical systems to the extent indicated by the following aspects:</w:t>
            </w:r>
          </w:p>
        </w:tc>
      </w:tr>
      <w:tr w:rsidTr="00DB3A7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T1.</w:t>
            </w:r>
            <w:r w:rsidRPr="00C06C69">
              <w:tab/>
              <w:t>Slip ring</w:t>
            </w:r>
          </w:p>
          <w:p w:rsidR="00000000" w:rsidRPr="00C06C69" w:rsidP="00C06C69">
            <w:pPr>
              <w:pStyle w:val="ListBullet2"/>
            </w:pPr>
            <w:r w:rsidRPr="00C06C69">
              <w:t>installation/replacement</w:t>
            </w:r>
          </w:p>
          <w:p w:rsidR="00000000" w:rsidRPr="00C06C69" w:rsidP="00C06C69">
            <w:pPr>
              <w:pStyle w:val="ListBullet2"/>
            </w:pPr>
            <w:r w:rsidRPr="00C06C69">
              <w:t>repair</w:t>
            </w:r>
          </w:p>
          <w:p w:rsidR="00000000" w:rsidRPr="00C06C69" w:rsidP="00C06C69">
            <w:pPr>
              <w:pStyle w:val="BodyText"/>
            </w:pPr>
            <w:r w:rsidRPr="00C06C69">
              <w:t>T2.</w:t>
            </w:r>
            <w:r w:rsidRPr="00C06C69">
              <w:tab/>
              <w:t xml:space="preserve">Isolation diode </w:t>
            </w:r>
          </w:p>
          <w:p w:rsidR="00000000" w:rsidRPr="00C06C69" w:rsidP="00C06C69">
            <w:pPr>
              <w:pStyle w:val="ListBullet2"/>
            </w:pPr>
            <w:r w:rsidRPr="00C06C69">
              <w:t xml:space="preserve">fault diagnosis </w:t>
            </w:r>
          </w:p>
          <w:p w:rsidR="00000000" w:rsidRPr="00C06C69" w:rsidP="00C06C69">
            <w:pPr>
              <w:pStyle w:val="ListBullet2"/>
            </w:pPr>
            <w:r w:rsidRPr="00C06C69">
              <w:t>replacement</w:t>
            </w:r>
          </w:p>
          <w:p w:rsidR="00000000" w:rsidRPr="00C06C69" w:rsidP="00C06C69">
            <w:pPr>
              <w:pStyle w:val="BodyText"/>
            </w:pPr>
            <w:r w:rsidRPr="00C06C69">
              <w:t>T3.</w:t>
            </w:r>
            <w:r w:rsidRPr="00C06C69">
              <w:tab/>
              <w:t>Diagnose and repair uninterruptible power supply (UPS) systems</w:t>
            </w:r>
          </w:p>
          <w:p w:rsidR="00000000" w:rsidRPr="00C06C69" w:rsidP="00C06C69">
            <w:pPr>
              <w:pStyle w:val="BodyText"/>
            </w:pPr>
            <w:r w:rsidRPr="00C06C69">
              <w:t>T4.</w:t>
            </w:r>
            <w:r w:rsidRPr="00C06C69">
              <w:tab/>
              <w:t>Diagnose and repair DC back-up supply systems</w:t>
            </w:r>
          </w:p>
          <w:p w:rsidR="00000000" w:rsidRPr="00C06C69" w:rsidP="00C06C69">
            <w:pPr>
              <w:pStyle w:val="ListBullet2"/>
            </w:pPr>
            <w:r w:rsidRPr="00C06C69">
              <w:t>Battery banks</w:t>
            </w:r>
          </w:p>
          <w:p w:rsidR="00000000" w:rsidRPr="00C06C69" w:rsidP="00C06C69">
            <w:pPr>
              <w:pStyle w:val="BodyText"/>
            </w:pPr>
            <w:r w:rsidRPr="00C06C69">
              <w:t>T5.</w:t>
            </w:r>
            <w:r w:rsidRPr="00C06C69">
              <w:tab/>
              <w:t>Techniques for replacing damaged wiring (where permitted)</w:t>
            </w:r>
          </w:p>
          <w:p w:rsidR="00000000" w:rsidRPr="00C06C69" w:rsidP="00C06C69">
            <w:pPr>
              <w:pStyle w:val="BodyText"/>
            </w:pPr>
            <w:r w:rsidRPr="00C06C69">
              <w:t>T6.</w:t>
            </w:r>
            <w:r w:rsidRPr="00C06C69">
              <w:tab/>
              <w:t>Reset principles for protection devices</w:t>
            </w:r>
          </w:p>
          <w:p w:rsidR="00000000" w:rsidRPr="00C06C69" w:rsidP="00C06C69">
            <w:pPr>
              <w:pStyle w:val="BodyText"/>
            </w:pPr>
            <w:r w:rsidRPr="00C06C69">
              <w:t>T7.</w:t>
            </w:r>
            <w:r w:rsidRPr="00C06C69">
              <w:tab/>
            </w:r>
            <w:r w:rsidRPr="00C06C69">
              <w:t>Live trouble-shooting</w:t>
            </w:r>
          </w:p>
          <w:p w:rsidR="00000000" w:rsidRPr="00C06C69" w:rsidP="00C06C69">
            <w:pPr>
              <w:pStyle w:val="BodyText"/>
            </w:pPr>
            <w:r w:rsidRPr="00C06C69">
              <w:t>T8.</w:t>
            </w:r>
            <w:r w:rsidRPr="00C06C69">
              <w:tab/>
              <w:t>Diagnose and repair power factor correction equipment</w:t>
            </w:r>
          </w:p>
          <w:p w:rsidR="00000000" w:rsidRPr="00C06C69" w:rsidP="00C06C69">
            <w:pPr>
              <w:pStyle w:val="ListBullet2"/>
            </w:pPr>
            <w:r w:rsidRPr="00C06C69">
              <w:t>Capacitors</w:t>
            </w:r>
          </w:p>
          <w:p w:rsidR="00000000" w:rsidRPr="00C06C69" w:rsidP="00C06C69">
            <w:pPr>
              <w:pStyle w:val="ListBullet2"/>
            </w:pPr>
            <w:r w:rsidRPr="00C06C69">
              <w:t>‘Flexi-slip’ system</w:t>
            </w:r>
          </w:p>
          <w:p w:rsidR="00000000" w:rsidRPr="00C06C69" w:rsidP="00C06C69">
            <w:pPr>
              <w:pStyle w:val="ListBullet2"/>
            </w:pPr>
            <w:r w:rsidRPr="00C06C69">
              <w:t>Solid-state phase feedback conversion systems</w:t>
            </w:r>
          </w:p>
          <w:p w:rsidR="00000000" w:rsidRPr="00C06C69" w:rsidP="00C06C69">
            <w:pPr>
              <w:pStyle w:val="ListBullet2"/>
            </w:pPr>
            <w:r w:rsidRPr="00C06C69">
              <w:t>Resistors</w:t>
            </w:r>
          </w:p>
          <w:p w:rsidR="00000000" w:rsidRPr="00C06C69" w:rsidP="00C06C69">
            <w:pPr>
              <w:pStyle w:val="BodyText"/>
            </w:pPr>
            <w:r w:rsidRPr="00C06C69">
              <w:t>T9.</w:t>
            </w:r>
            <w:r w:rsidRPr="00C06C69">
              <w:tab/>
              <w:t>Wave pattern analysis</w:t>
            </w:r>
          </w:p>
          <w:p w:rsidR="00000000" w:rsidRPr="00C06C69" w:rsidP="00C06C69">
            <w:pPr>
              <w:pStyle w:val="BodyText"/>
            </w:pPr>
            <w:r w:rsidRPr="00C06C69">
              <w:t>T10.</w:t>
            </w:r>
            <w:r w:rsidRPr="00C06C69">
              <w:tab/>
              <w:t>Current measurements</w:t>
            </w:r>
          </w:p>
          <w:p w:rsidR="00000000" w:rsidRPr="00C06C69" w:rsidP="00C06C69">
            <w:pPr>
              <w:pStyle w:val="BodyText"/>
            </w:pPr>
            <w:r w:rsidRPr="00C06C69">
              <w:t>T11.</w:t>
            </w:r>
            <w:r w:rsidRPr="00C06C69">
              <w:tab/>
              <w:t>Interfacing to the power grid</w:t>
            </w:r>
          </w:p>
          <w:p w:rsidR="00000000" w:rsidRPr="00C06C69" w:rsidP="00C06C69">
            <w:pPr>
              <w:pStyle w:val="ListBullet2"/>
            </w:pPr>
            <w:r w:rsidRPr="00C06C69">
              <w:t>Grid failure response</w:t>
            </w:r>
          </w:p>
          <w:p w:rsidR="00000000" w:rsidRPr="00C06C69" w:rsidP="00C06C69">
            <w:pPr>
              <w:pStyle w:val="ListBullet2"/>
            </w:pPr>
            <w:r w:rsidRPr="00C06C69">
              <w:t>Principles of grid synchronisation</w:t>
            </w:r>
          </w:p>
          <w:p w:rsidR="00000000" w:rsidRPr="00C06C69" w:rsidP="00C06C69">
            <w:pPr>
              <w:pStyle w:val="BodyText"/>
            </w:pPr>
            <w:r w:rsidRPr="00C06C69">
              <w:t>T12.</w:t>
            </w:r>
            <w:r w:rsidRPr="00C06C69">
              <w:tab/>
              <w:t>Safety chain</w:t>
            </w:r>
          </w:p>
          <w:p w:rsidR="00000000" w:rsidRPr="00C06C69" w:rsidP="00C06C69">
            <w:pPr>
              <w:pStyle w:val="ListBullet2"/>
            </w:pPr>
            <w:r w:rsidRPr="00C06C69">
              <w:t>Troubleshooting</w:t>
            </w:r>
          </w:p>
          <w:p w:rsidR="00000000" w:rsidRPr="00C06C69" w:rsidP="00C06C69">
            <w:pPr>
              <w:pStyle w:val="ListBullet2"/>
            </w:pPr>
            <w:r w:rsidRPr="00C06C69">
              <w:t>Isolating issues</w:t>
            </w:r>
          </w:p>
          <w:p w:rsidR="00000000" w:rsidRPr="00C06C69" w:rsidP="00C06C69">
            <w:pPr>
              <w:pStyle w:val="BodyText"/>
            </w:pPr>
            <w:r w:rsidRPr="00C06C69">
              <w:t>T13.</w:t>
            </w:r>
            <w:r w:rsidRPr="00C06C69">
              <w:tab/>
              <w:t>Terminating lugs and connectors specific to the industry</w:t>
            </w:r>
          </w:p>
          <w:p w:rsidR="00000000" w:rsidRPr="00C06C69" w:rsidP="00C06C69">
            <w:pPr>
              <w:pStyle w:val="BodyText"/>
            </w:pPr>
            <w:r w:rsidRPr="00C06C69">
              <w:t>T14.</w:t>
            </w:r>
            <w:r w:rsidRPr="00C06C69">
              <w:tab/>
              <w:t>In-rush protection circuitry, function and repair</w:t>
            </w:r>
          </w:p>
          <w:p w:rsidR="00000000" w:rsidRPr="00C06C69" w:rsidP="00C06C69">
            <w:pPr>
              <w:pStyle w:val="ListBullet2"/>
            </w:pPr>
            <w:r w:rsidRPr="00C06C69">
              <w:t>Crowbar protection circuitry</w:t>
            </w:r>
          </w:p>
        </w:tc>
      </w:tr>
    </w:tbl>
    <w:p w:rsidR="00000000" w:rsidRPr="00C06C69" w:rsidP="00C06C69">
      <w:pPr>
        <w:pStyle w:val="BodyText"/>
      </w:pPr>
    </w:p>
    <w:p w:rsidR="00000000" w:rsidRPr="00C06C69" w:rsidP="00C06C69">
      <w:pPr>
        <w:pStyle w:val="AllowPageBreak"/>
      </w:pPr>
    </w:p>
    <w:p w:rsidR="00000000" w:rsidRPr="00C06C69" w:rsidP="00C06C69">
      <w:pPr>
        <w:pStyle w:val="Heading1"/>
      </w:pPr>
      <w:bookmarkStart w:id="10" w:name="O_491026"/>
      <w:bookmarkEnd w:id="10"/>
      <w:r w:rsidRPr="00C06C69">
        <w:t>Evidence Guide</w:t>
      </w:r>
    </w:p>
    <w:tbl>
      <w:tblPr>
        <w:tblW w:w="0" w:type="auto"/>
        <w:tblLayout w:type="fixed"/>
        <w:tblCellMar>
          <w:left w:w="62" w:type="dxa"/>
          <w:right w:w="62" w:type="dxa"/>
        </w:tblCellMar>
        <w:tblLook w:val="0000"/>
      </w:tblPr>
      <w:tblGrid>
        <w:gridCol w:w="8460"/>
      </w:tblGrid>
      <w:tr w:rsidTr="00DB3A7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EVIDENCE GUIDE</w:t>
            </w:r>
          </w:p>
        </w:tc>
      </w:tr>
      <w:tr w:rsidTr="00DB3A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9)</w:t>
            </w:r>
            <w:r w:rsidRPr="00C06C69">
              <w:t xml:space="preserve"> The Evidence Guide forms an integral part of this Unit and shall be used in conjunction with all </w:t>
            </w:r>
            <w:r w:rsidRPr="00C06C69">
              <w:t>components parts of this unit and performed in accordance with the Assessment Guidelines of this Training Package.</w:t>
            </w:r>
          </w:p>
        </w:tc>
      </w:tr>
    </w:tbl>
    <w:p w:rsidR="00000000" w:rsidRPr="00C06C69" w:rsidP="00C06C69">
      <w:pPr>
        <w:pStyle w:val="BodyText"/>
      </w:pPr>
    </w:p>
    <w:tbl>
      <w:tblPr>
        <w:tblW w:w="0" w:type="auto"/>
        <w:tblLayout w:type="fixed"/>
        <w:tblCellMar>
          <w:left w:w="62" w:type="dxa"/>
          <w:right w:w="62" w:type="dxa"/>
        </w:tblCellMar>
        <w:tblLook w:val="0000"/>
      </w:tblPr>
      <w:tblGrid>
        <w:gridCol w:w="1890"/>
        <w:gridCol w:w="6570"/>
      </w:tblGrid>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9.1)</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 xml:space="preserve">Longitudinal competency development approaches to assessment, such as Profiling, require data to be reliably </w:t>
            </w:r>
            <w:r w:rsidRPr="00C06C69">
              <w:t>gathered in a form that can be consistently interpreted over time. This approach is best utilised in Apprenticeship programs and reduces assessment intervention. It is the industry-preferred model for apprenticeships. However, where summative (or final) as</w:t>
            </w:r>
            <w:r w:rsidRPr="00C06C69">
              <w:t>sessment is used it is to include the application of the competency in the normal work environment or, at a minimum, the application of the competency in a realistically simulated work environment. It is recognised that, in some circumstances, assessment i</w:t>
            </w:r>
            <w:r w:rsidRPr="00C06C69">
              <w:t>n part or full can occur outside the workplace. However, it must be in accordance with industry and regulatory policy.</w:t>
            </w:r>
          </w:p>
          <w:p w:rsidR="00000000" w:rsidRPr="00C06C69" w:rsidP="00C06C69">
            <w:pPr>
              <w:pStyle w:val="BodyText"/>
            </w:pPr>
            <w:r w:rsidRPr="00C06C69">
              <w:t>Methods chosen for a particular assessment will be influenced by various factors. These include the extent of the assessment, the most ef</w:t>
            </w:r>
            <w:r w:rsidRPr="00C06C69">
              <w:t>fective locations for the assessment activities to take place, access to physical resources, additional safety measures that may be required and the critical nature of the competencies being assessed.</w:t>
            </w:r>
          </w:p>
          <w:p w:rsidR="00000000" w:rsidRPr="00C06C69" w:rsidP="00C06C69">
            <w:pPr>
              <w:pStyle w:val="BodyText"/>
            </w:pPr>
            <w:r w:rsidRPr="00C06C69">
              <w:t>The critical safety nature of working with electricity,</w:t>
            </w:r>
            <w:r w:rsidRPr="00C06C69">
              <w:t xml:space="preserve"> electrical equipment, gas or any other hazardous substance/material carries risk in deeming a person competent. Sources of evidence need to be ‘rich’ in nature to minimise error in judgment.</w:t>
            </w:r>
          </w:p>
          <w:p w:rsidR="00000000" w:rsidRPr="00C06C69" w:rsidP="00C06C69">
            <w:pPr>
              <w:pStyle w:val="BodyText"/>
            </w:pPr>
            <w:r w:rsidRPr="00C06C69">
              <w:t>Activities associated with normal everyday work have a bearing o</w:t>
            </w:r>
            <w:r w:rsidRPr="00C06C69">
              <w:t>n the decision as to how much and how detailed the data gathered will contribute to its ‘richness’. Some skills are more critical to safety and operational requirements while the same skills may be more or less frequently practised. These points are raised</w:t>
            </w:r>
            <w:r w:rsidRPr="00C06C69">
              <w:t xml:space="preserve"> for the assessors to consider when choosing an assessment method and developing assessment instruments. Sample assessment instruments are included for Assessors in the Assessment Guidelines, Section 3.1 of this Training Package.</w:t>
            </w:r>
          </w:p>
        </w:tc>
      </w:tr>
    </w:tbl>
    <w:p w:rsidR="00000000" w:rsidRPr="00C06C69" w:rsidP="00C06C69">
      <w:pPr>
        <w:pStyle w:val="BodyText"/>
      </w:pPr>
    </w:p>
    <w:tbl>
      <w:tblPr>
        <w:tblW w:w="0" w:type="auto"/>
        <w:tblLayout w:type="fixed"/>
        <w:tblCellMar>
          <w:left w:w="62" w:type="dxa"/>
          <w:right w:w="62" w:type="dxa"/>
        </w:tblCellMar>
        <w:tblLook w:val="0000"/>
      </w:tblPr>
      <w:tblGrid>
        <w:gridCol w:w="1890"/>
        <w:gridCol w:w="360"/>
        <w:gridCol w:w="1710"/>
        <w:gridCol w:w="4500"/>
      </w:tblGrid>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9.2)</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Evidence for competence in this unit shall be considered holistically. Each element and associated Performance Criteria shall be demonstrated:</w:t>
            </w:r>
          </w:p>
          <w:p w:rsidR="00000000" w:rsidRPr="00C06C69" w:rsidP="00C06C69">
            <w:pPr>
              <w:pStyle w:val="ListBullet2"/>
            </w:pPr>
            <w:r w:rsidRPr="00C06C69">
              <w:t>On at least two (2) occasi</w:t>
            </w:r>
            <w:r w:rsidRPr="00C06C69">
              <w:t>ons, In accordance with the "Assessment Guidelines” for the UEP12 Training Package.</w:t>
            </w:r>
          </w:p>
          <w:p w:rsidR="00000000" w:rsidRPr="00C06C69" w:rsidP="00C06C69">
            <w:pPr>
              <w:pStyle w:val="BodyText"/>
            </w:pPr>
            <w:r w:rsidRPr="00C06C69">
              <w:t>Evidence shall also comprise:</w:t>
            </w:r>
          </w:p>
          <w:p w:rsidR="00000000" w:rsidRPr="00C06C69" w:rsidP="00C06C69">
            <w:pPr>
              <w:pStyle w:val="ListBullet"/>
            </w:pPr>
            <w:r w:rsidRPr="00C06C69">
              <w:t>A representative body of work performance demonstrated within the timeframe typically expected of</w:t>
            </w:r>
            <w:r w:rsidRPr="00C06C69">
              <w:t xml:space="preserve"> the discipline, work function and industrial environment. In particular this shall incorporate evidence that shows a candidate is able to:</w:t>
            </w:r>
          </w:p>
          <w:p w:rsidR="00000000" w:rsidRPr="00C06C69" w:rsidP="00C06C69">
            <w:pPr>
              <w:pStyle w:val="ListBullet2"/>
            </w:pPr>
            <w:r w:rsidRPr="00C06C69">
              <w:t>Implement Occupational Health and Safety workplace procedures and practices including the use of risk control measu</w:t>
            </w:r>
            <w:r w:rsidRPr="00C06C69">
              <w:t>res as specified in the Performance Criteria and range; and</w:t>
            </w:r>
          </w:p>
          <w:p w:rsidR="00000000" w:rsidRPr="00C06C69" w:rsidP="00C06C69">
            <w:pPr>
              <w:pStyle w:val="ListBullet2"/>
            </w:pPr>
            <w:r w:rsidRPr="00C06C69">
              <w:t>Apply sustainable energy principles and practices as specified in the Performance Criteria and range; and</w:t>
            </w:r>
          </w:p>
          <w:p w:rsidR="00000000" w:rsidRPr="00C06C69" w:rsidP="00C06C69">
            <w:pPr>
              <w:pStyle w:val="ListBullet2"/>
            </w:pPr>
            <w:r w:rsidRPr="00C06C69">
              <w:t>Demonstrate an understanding of the required skills and knowledge as described in this uni</w:t>
            </w:r>
            <w:r w:rsidRPr="00C06C69">
              <w:t>t to such an extent that the learner's performance outcome is reported in accordance with the preferred approach; namely a percentile graded result, where required by the regulated environment; and</w:t>
            </w:r>
          </w:p>
          <w:p w:rsidR="00000000" w:rsidRPr="00C06C69" w:rsidP="00C06C69">
            <w:pPr>
              <w:pStyle w:val="ListBullet2"/>
            </w:pPr>
            <w:r w:rsidRPr="00C06C69">
              <w:t xml:space="preserve">Demonstrate an appropriate level of employability skills; </w:t>
            </w:r>
            <w:r w:rsidRPr="00C06C69">
              <w:t>and</w:t>
            </w:r>
          </w:p>
          <w:p w:rsidR="00000000" w:rsidRPr="00C06C69" w:rsidP="00C06C69">
            <w:pPr>
              <w:pStyle w:val="ListBullet2"/>
            </w:pPr>
            <w:r w:rsidRPr="00C06C69">
              <w:t>Conduct work observing the relevant Anti Discrimination legislation, regulations, policies and workplace procedures;  and</w:t>
            </w:r>
          </w:p>
          <w:p w:rsidR="00000000" w:rsidP="00C06C69">
            <w:pPr>
              <w:pStyle w:val="BodyText"/>
              <w:rPr>
                <w:lang w:val="en-NZ"/>
              </w:rPr>
            </w:pPr>
            <w:r w:rsidRPr="00C06C69">
              <w:t>Demonstrated performance across a representative range of contexts from the prescribed items below:</w:t>
            </w:r>
          </w:p>
        </w:tc>
      </w:tr>
      <w:tr w:rsidTr="00DB3A76">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A</w:t>
            </w:r>
          </w:p>
        </w:tc>
        <w:tc>
          <w:tcPr>
            <w:tcW w:w="171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All of the following</w:t>
            </w:r>
          </w:p>
        </w:tc>
        <w:tc>
          <w:tcPr>
            <w:tcW w:w="4500" w:type="dxa"/>
            <w:tcBorders>
              <w:top w:val="nil"/>
              <w:left w:val="nil"/>
              <w:bottom w:val="nil"/>
              <w:right w:val="nil"/>
            </w:tcBorders>
            <w:tcMar>
              <w:top w:w="0" w:type="dxa"/>
              <w:left w:w="62" w:type="dxa"/>
              <w:bottom w:w="0" w:type="dxa"/>
              <w:right w:w="62" w:type="dxa"/>
            </w:tcMar>
          </w:tcPr>
          <w:p w:rsidR="00000000" w:rsidRPr="00C06C69" w:rsidP="00C06C69">
            <w:pPr>
              <w:pStyle w:val="ListBullet"/>
            </w:pPr>
            <w:r w:rsidRPr="00C06C69">
              <w:t>Replace a battery cell in a DC battery bank</w:t>
            </w:r>
          </w:p>
          <w:p w:rsidR="00000000" w:rsidP="00C06C69">
            <w:pPr>
              <w:pStyle w:val="ListBullet"/>
              <w:rPr>
                <w:lang w:val="en-NZ"/>
              </w:rPr>
            </w:pPr>
            <w:r w:rsidRPr="00C06C69">
              <w:t>Repair an uninterruptible power supply (UPS) by replacing user-serviceable component/s</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B</w:t>
            </w:r>
          </w:p>
        </w:tc>
        <w:tc>
          <w:tcPr>
            <w:tcW w:w="171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All of the following</w:t>
            </w:r>
          </w:p>
        </w:tc>
        <w:tc>
          <w:tcPr>
            <w:tcW w:w="4500" w:type="dxa"/>
            <w:tcBorders>
              <w:top w:val="nil"/>
              <w:left w:val="nil"/>
              <w:bottom w:val="nil"/>
              <w:right w:val="nil"/>
            </w:tcBorders>
            <w:tcMar>
              <w:top w:w="0" w:type="dxa"/>
              <w:left w:w="62" w:type="dxa"/>
              <w:bottom w:w="0" w:type="dxa"/>
              <w:right w:w="62" w:type="dxa"/>
            </w:tcMar>
          </w:tcPr>
          <w:p w:rsidR="00000000" w:rsidRPr="00C06C69" w:rsidP="00C06C69">
            <w:pPr>
              <w:pStyle w:val="ListBullet"/>
            </w:pPr>
            <w:r w:rsidRPr="00C06C69">
              <w:t>Diagnose and replace an isolation diode</w:t>
            </w:r>
          </w:p>
          <w:p w:rsidR="00000000" w:rsidRPr="00C06C69" w:rsidP="00C06C69">
            <w:pPr>
              <w:pStyle w:val="ListBullet"/>
            </w:pPr>
            <w:r w:rsidRPr="00C06C69">
              <w:t>Repair a faulty ‘crowbar’ protection circuit</w:t>
            </w:r>
          </w:p>
          <w:p w:rsidR="00000000" w:rsidP="00C06C69">
            <w:pPr>
              <w:pStyle w:val="ListBullet"/>
              <w:rPr>
                <w:lang w:val="en-NZ"/>
              </w:rPr>
            </w:pPr>
            <w:r w:rsidRPr="00C06C69">
              <w:t>Replace a defective power factor correction capacitor</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C</w:t>
            </w:r>
          </w:p>
        </w:tc>
        <w:tc>
          <w:tcPr>
            <w:tcW w:w="171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All of the following</w:t>
            </w:r>
          </w:p>
        </w:tc>
        <w:tc>
          <w:tcPr>
            <w:tcW w:w="4500" w:type="dxa"/>
            <w:tcBorders>
              <w:top w:val="nil"/>
              <w:left w:val="nil"/>
              <w:bottom w:val="nil"/>
              <w:right w:val="nil"/>
            </w:tcBorders>
            <w:tcMar>
              <w:top w:w="0" w:type="dxa"/>
              <w:left w:w="62" w:type="dxa"/>
              <w:bottom w:w="0" w:type="dxa"/>
              <w:right w:w="62" w:type="dxa"/>
            </w:tcMar>
          </w:tcPr>
          <w:p w:rsidR="00000000" w:rsidRPr="00C06C69" w:rsidP="00C06C69">
            <w:pPr>
              <w:pStyle w:val="ListBullet"/>
            </w:pPr>
            <w:r w:rsidRPr="00C06C69">
              <w:t>Replace a defective LV circuit breaker</w:t>
            </w:r>
          </w:p>
          <w:p w:rsidR="00000000" w:rsidP="00C06C69">
            <w:pPr>
              <w:pStyle w:val="ListBullet"/>
              <w:rPr>
                <w:lang w:val="en-NZ"/>
              </w:rPr>
            </w:pPr>
            <w:r w:rsidRPr="00C06C69">
              <w:t>Perform a ‘cold’ start up sequence on the WTG</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D</w:t>
            </w:r>
          </w:p>
        </w:tc>
        <w:tc>
          <w:tcPr>
            <w:tcW w:w="171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All of the following</w:t>
            </w:r>
          </w:p>
        </w:tc>
        <w:tc>
          <w:tcPr>
            <w:tcW w:w="4500" w:type="dxa"/>
            <w:tcBorders>
              <w:top w:val="nil"/>
              <w:left w:val="nil"/>
              <w:bottom w:val="nil"/>
              <w:right w:val="nil"/>
            </w:tcBorders>
            <w:tcMar>
              <w:top w:w="0" w:type="dxa"/>
              <w:left w:w="62" w:type="dxa"/>
              <w:bottom w:w="0" w:type="dxa"/>
              <w:right w:w="62" w:type="dxa"/>
            </w:tcMar>
          </w:tcPr>
          <w:p w:rsidR="00000000" w:rsidRPr="00C06C69" w:rsidP="00C06C69">
            <w:pPr>
              <w:pStyle w:val="ListBullet"/>
            </w:pPr>
            <w:r w:rsidRPr="00C06C69">
              <w:t>Measure output current using current tongs</w:t>
            </w:r>
          </w:p>
          <w:p w:rsidR="00000000" w:rsidRPr="00C06C69" w:rsidP="00C06C69">
            <w:pPr>
              <w:pStyle w:val="ListBullet"/>
            </w:pPr>
            <w:r w:rsidRPr="00C06C69">
              <w:t>Measure HV, LV and ELV voltages through use of the appropriate test measurement tool</w:t>
            </w:r>
          </w:p>
          <w:p w:rsidR="00000000" w:rsidP="00C06C69">
            <w:pPr>
              <w:pStyle w:val="ListBullet"/>
              <w:rPr>
                <w:lang w:val="en-NZ"/>
              </w:rPr>
            </w:pPr>
            <w:r w:rsidRPr="00C06C69">
              <w:t>Perform wave analysis using an appropriate text measurement tool</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E</w:t>
            </w:r>
          </w:p>
        </w:tc>
        <w:tc>
          <w:tcPr>
            <w:tcW w:w="171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All of the following</w:t>
            </w:r>
          </w:p>
        </w:tc>
        <w:tc>
          <w:tcPr>
            <w:tcW w:w="4500" w:type="dxa"/>
            <w:tcBorders>
              <w:top w:val="nil"/>
              <w:left w:val="nil"/>
              <w:bottom w:val="nil"/>
              <w:right w:val="nil"/>
            </w:tcBorders>
            <w:tcMar>
              <w:top w:w="0" w:type="dxa"/>
              <w:left w:w="62" w:type="dxa"/>
              <w:bottom w:w="0" w:type="dxa"/>
              <w:right w:w="62" w:type="dxa"/>
            </w:tcMar>
          </w:tcPr>
          <w:p w:rsidR="00000000" w:rsidP="00C06C69">
            <w:pPr>
              <w:pStyle w:val="ListBullet"/>
              <w:rPr>
                <w:lang w:val="en-NZ"/>
              </w:rPr>
            </w:pPr>
            <w:r w:rsidRPr="00C06C69">
              <w:t>Confirm correct operation of grid isolation circuitry</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F</w:t>
            </w:r>
          </w:p>
        </w:tc>
        <w:tc>
          <w:tcPr>
            <w:tcW w:w="171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All of the following</w:t>
            </w:r>
          </w:p>
        </w:tc>
        <w:tc>
          <w:tcPr>
            <w:tcW w:w="4500" w:type="dxa"/>
            <w:tcBorders>
              <w:top w:val="nil"/>
              <w:left w:val="nil"/>
              <w:bottom w:val="nil"/>
              <w:right w:val="nil"/>
            </w:tcBorders>
            <w:tcMar>
              <w:top w:w="0" w:type="dxa"/>
              <w:left w:w="62" w:type="dxa"/>
              <w:bottom w:w="0" w:type="dxa"/>
              <w:right w:w="62" w:type="dxa"/>
            </w:tcMar>
          </w:tcPr>
          <w:p w:rsidR="00000000" w:rsidRPr="00C06C69" w:rsidP="00C06C69">
            <w:pPr>
              <w:pStyle w:val="ListBullet"/>
            </w:pPr>
            <w:r w:rsidRPr="00C06C69">
              <w:t>Repair damaged or faulty slip rings</w:t>
            </w:r>
          </w:p>
          <w:p w:rsidR="00000000" w:rsidP="00C06C69">
            <w:pPr>
              <w:pStyle w:val="ListBullet"/>
              <w:rPr>
                <w:lang w:val="en-NZ"/>
              </w:rPr>
            </w:pPr>
            <w:r w:rsidRPr="00C06C69">
              <w:t>Replace slip rings</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G</w:t>
            </w:r>
          </w:p>
        </w:tc>
        <w:tc>
          <w:tcPr>
            <w:tcW w:w="171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All of the following</w:t>
            </w:r>
          </w:p>
        </w:tc>
        <w:tc>
          <w:tcPr>
            <w:tcW w:w="4500" w:type="dxa"/>
            <w:tcBorders>
              <w:top w:val="nil"/>
              <w:left w:val="nil"/>
              <w:bottom w:val="nil"/>
              <w:right w:val="nil"/>
            </w:tcBorders>
            <w:tcMar>
              <w:top w:w="0" w:type="dxa"/>
              <w:left w:w="62" w:type="dxa"/>
              <w:bottom w:w="0" w:type="dxa"/>
              <w:right w:w="62" w:type="dxa"/>
            </w:tcMar>
          </w:tcPr>
          <w:p w:rsidR="00000000" w:rsidP="00C06C69">
            <w:pPr>
              <w:pStyle w:val="ListBullet"/>
              <w:rPr>
                <w:lang w:val="en-NZ"/>
              </w:rPr>
            </w:pPr>
            <w:r w:rsidRPr="00C06C69">
              <w:t>Replace a power transformer desiccant breather</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H</w:t>
            </w:r>
          </w:p>
        </w:tc>
        <w:tc>
          <w:tcPr>
            <w:tcW w:w="171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All of the following</w:t>
            </w:r>
          </w:p>
        </w:tc>
        <w:tc>
          <w:tcPr>
            <w:tcW w:w="4500" w:type="dxa"/>
            <w:tcBorders>
              <w:top w:val="nil"/>
              <w:left w:val="nil"/>
              <w:bottom w:val="nil"/>
              <w:right w:val="nil"/>
            </w:tcBorders>
            <w:tcMar>
              <w:top w:w="0" w:type="dxa"/>
              <w:left w:w="62" w:type="dxa"/>
              <w:bottom w:w="0" w:type="dxa"/>
              <w:right w:w="62" w:type="dxa"/>
            </w:tcMar>
          </w:tcPr>
          <w:p w:rsidR="00000000" w:rsidRPr="00C06C69" w:rsidP="00C06C69">
            <w:pPr>
              <w:pStyle w:val="ListBullet"/>
            </w:pPr>
            <w:r w:rsidRPr="00C06C69">
              <w:t xml:space="preserve">Deal with an unplanned event by drawing on essential knowledge and skills to provide </w:t>
            </w:r>
            <w:r w:rsidRPr="00C06C69">
              <w:t>appropriate solutions.</w:t>
            </w:r>
          </w:p>
        </w:tc>
      </w:tr>
    </w:tbl>
    <w:p w:rsidR="00000000" w:rsidRPr="00C06C69" w:rsidP="00C06C69">
      <w:pPr>
        <w:pStyle w:val="BodyText"/>
      </w:pPr>
    </w:p>
    <w:tbl>
      <w:tblPr>
        <w:tblW w:w="0" w:type="auto"/>
        <w:tblLayout w:type="fixed"/>
        <w:tblCellMar>
          <w:left w:w="62" w:type="dxa"/>
          <w:right w:w="62" w:type="dxa"/>
        </w:tblCellMar>
        <w:tblLook w:val="0000"/>
      </w:tblPr>
      <w:tblGrid>
        <w:gridCol w:w="1890"/>
        <w:gridCol w:w="6570"/>
      </w:tblGrid>
      <w:tr w:rsidTr="00DB3A7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9.3)</w:t>
            </w:r>
          </w:p>
        </w:tc>
      </w:tr>
      <w:tr w:rsidTr="00DB3A7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This unit should be assessed as it relates to normal work practice using procedures, information and resources typical of a workplace. This should include:</w:t>
            </w:r>
          </w:p>
          <w:p w:rsidR="00000000" w:rsidRPr="00C06C69" w:rsidP="00C06C69">
            <w:pPr>
              <w:pStyle w:val="ListBullet2"/>
            </w:pPr>
            <w:r w:rsidRPr="00C06C69">
              <w:t>OHS policy and work procedures and instructions.</w:t>
            </w:r>
          </w:p>
          <w:p w:rsidR="00000000" w:rsidRPr="00C06C69" w:rsidP="00C06C69">
            <w:pPr>
              <w:pStyle w:val="ListBullet2"/>
            </w:pPr>
            <w:r w:rsidRPr="00C06C69">
              <w:t>Suitable work environment, facilities, equipment and materials to undertake actual work as prescribed by this unit.</w:t>
            </w:r>
          </w:p>
          <w:p w:rsidR="00000000" w:rsidRPr="00C06C69" w:rsidP="00C06C69">
            <w:pPr>
              <w:pStyle w:val="BodyText"/>
            </w:pPr>
            <w:r w:rsidRPr="00C06C69">
              <w:t>These should be used in the formal learning/assessment environment.</w:t>
            </w:r>
          </w:p>
          <w:p w:rsidR="00000000" w:rsidRPr="00C06C69" w:rsidP="00C06C69">
            <w:pPr>
              <w:pStyle w:val="BodyText"/>
            </w:pPr>
            <w:r w:rsidRPr="00C06C69">
              <w:t>Note:</w:t>
            </w:r>
          </w:p>
          <w:p w:rsidR="00000000" w:rsidRPr="00C06C69" w:rsidP="00C06C69">
            <w:pPr>
              <w:pStyle w:val="BodyText"/>
            </w:pPr>
            <w:r w:rsidRPr="00C06C69">
              <w:t xml:space="preserve">Where simulation </w:t>
            </w:r>
            <w:r w:rsidRPr="00C06C69">
              <w:t>is considered a suitable strategy for assessment, conditions must be authentic and as far as possible reproduce and replicate the workplace and be consistent with the approved industry simulation policy.</w:t>
            </w:r>
          </w:p>
          <w:p w:rsidR="00000000" w:rsidRPr="00C06C69" w:rsidP="00C06C69">
            <w:pPr>
              <w:pStyle w:val="BodyText"/>
            </w:pPr>
            <w:r w:rsidRPr="00C06C69">
              <w:t>The resources used for assessment should reflect cur</w:t>
            </w:r>
            <w:r w:rsidRPr="00C06C69">
              <w:t xml:space="preserve">rent industry practices in relation to: </w:t>
            </w:r>
          </w:p>
          <w:p w:rsidR="00000000" w:rsidRPr="00C06C69" w:rsidP="00C06C69">
            <w:pPr>
              <w:pStyle w:val="BodyText"/>
            </w:pPr>
            <w:r w:rsidRPr="00C06C69">
              <w:t>Diagnose and repair faults in wind turbine generator electrical systems</w:t>
            </w:r>
          </w:p>
        </w:tc>
      </w:tr>
    </w:tbl>
    <w:p w:rsidR="00000000" w:rsidRPr="00C06C69" w:rsidP="00C06C69">
      <w:pPr>
        <w:pStyle w:val="BodyText"/>
      </w:pPr>
    </w:p>
    <w:tbl>
      <w:tblPr>
        <w:tblW w:w="0" w:type="auto"/>
        <w:tblLayout w:type="fixed"/>
        <w:tblCellMar>
          <w:left w:w="62" w:type="dxa"/>
          <w:right w:w="62" w:type="dxa"/>
        </w:tblCellMar>
        <w:tblLook w:val="0000"/>
      </w:tblPr>
      <w:tblGrid>
        <w:gridCol w:w="1890"/>
        <w:gridCol w:w="6570"/>
      </w:tblGrid>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9.4)</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This unit shall be assessed by methods given in the Assessment Guidelines, Section 1.3 of this Training Package.</w:t>
            </w:r>
          </w:p>
          <w:p w:rsidR="00000000" w:rsidRPr="00C06C69" w:rsidP="00C06C69">
            <w:pPr>
              <w:pStyle w:val="BodyText"/>
            </w:pPr>
            <w:r w:rsidRPr="00C06C69">
              <w:t xml:space="preserve">Note: </w:t>
            </w:r>
          </w:p>
          <w:p w:rsidR="00000000" w:rsidRPr="00C06C69" w:rsidP="00C06C69">
            <w:pPr>
              <w:pStyle w:val="BodyText"/>
            </w:pPr>
            <w:r w:rsidRPr="00C06C69">
              <w:t>Competent performance with inherent safe working practices is expected in the Industry to which this competency standard unit applies. This requires assessment in a structured environment which is primarily intended for learning/assessment and incor</w:t>
            </w:r>
            <w:r w:rsidRPr="00C06C69">
              <w:t>porates all necessary equipment and facilities for learners to develop and demonstrate the essential knowledge and skills described in this unit.</w:t>
            </w:r>
          </w:p>
        </w:tc>
      </w:tr>
    </w:tbl>
    <w:p w:rsidR="00000000" w:rsidRPr="00C06C69" w:rsidP="00C06C69">
      <w:pPr>
        <w:pStyle w:val="BodyText"/>
      </w:pPr>
    </w:p>
    <w:tbl>
      <w:tblPr>
        <w:tblW w:w="0" w:type="auto"/>
        <w:tblLayout w:type="fixed"/>
        <w:tblCellMar>
          <w:left w:w="62" w:type="dxa"/>
          <w:right w:w="62" w:type="dxa"/>
        </w:tblCellMar>
        <w:tblLook w:val="0000"/>
      </w:tblPr>
      <w:tblGrid>
        <w:gridCol w:w="1890"/>
        <w:gridCol w:w="1530"/>
        <w:gridCol w:w="5040"/>
      </w:tblGrid>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9.5)</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For optimisation of training and assessment effort, competency development in this unit may be arranged concurrently with units:</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UEPMNT448A</w:t>
            </w:r>
          </w:p>
        </w:tc>
        <w:tc>
          <w:tcPr>
            <w:tcW w:w="504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Diagnose and repair faults in wind turbine generator control systems</w:t>
            </w:r>
          </w:p>
        </w:tc>
      </w:tr>
      <w:tr w:rsidTr="00DB3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t>UEPMNT449A</w:t>
            </w:r>
          </w:p>
        </w:tc>
        <w:tc>
          <w:tcPr>
            <w:tcW w:w="504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 xml:space="preserve">Diagnose and repair mechanical </w:t>
            </w:r>
            <w:r w:rsidRPr="00C06C69">
              <w:t>systems faults in wind turbine generators</w:t>
            </w:r>
          </w:p>
        </w:tc>
      </w:tr>
    </w:tbl>
    <w:p w:rsidR="00000000" w:rsidRPr="00C06C69" w:rsidP="00C06C69">
      <w:pPr>
        <w:pStyle w:val="BodyText"/>
      </w:pPr>
    </w:p>
    <w:p w:rsidR="00000000" w:rsidRPr="00C06C69" w:rsidP="00C06C69">
      <w:pPr>
        <w:pStyle w:val="AllowPageBreak"/>
      </w:pPr>
    </w:p>
    <w:p w:rsidR="00000000" w:rsidRPr="00C06C69" w:rsidP="00C06C69">
      <w:pPr>
        <w:pStyle w:val="Heading1"/>
      </w:pPr>
      <w:bookmarkStart w:id="11" w:name="O_491030"/>
      <w:bookmarkEnd w:id="11"/>
      <w:r w:rsidRPr="00C06C69">
        <w:t>Range Statement</w:t>
      </w:r>
    </w:p>
    <w:tbl>
      <w:tblPr>
        <w:tblW w:w="0" w:type="auto"/>
        <w:tblLayout w:type="fixed"/>
        <w:tblCellMar>
          <w:left w:w="62" w:type="dxa"/>
          <w:right w:w="62" w:type="dxa"/>
        </w:tblCellMar>
        <w:tblLook w:val="0000"/>
      </w:tblPr>
      <w:tblGrid>
        <w:gridCol w:w="8460"/>
      </w:tblGrid>
      <w:tr w:rsidTr="00DB3A7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RANGE STATEMENT</w:t>
            </w:r>
          </w:p>
        </w:tc>
      </w:tr>
      <w:tr w:rsidTr="00DB3A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10)</w:t>
            </w:r>
            <w:r w:rsidRPr="00C06C69">
              <w:t xml:space="preserve"> This relates to the competency standard unit as a whole providing the range of contexts and conditions </w:t>
            </w:r>
            <w:r w:rsidRPr="00C06C69">
              <w:t>to which the Performance Criteria apply. It allows for different work environments and situations that will affect performance.</w:t>
            </w:r>
          </w:p>
          <w:p w:rsidR="00000000" w:rsidRPr="00C06C69" w:rsidP="00C06C69">
            <w:pPr>
              <w:pStyle w:val="BodyText"/>
            </w:pPr>
            <w:r w:rsidRPr="00C06C69">
              <w:t>Climbing equipment, including personnel lifts, climb assist, elevators, kadders</w:t>
            </w:r>
          </w:p>
          <w:p w:rsidR="00000000" w:rsidRPr="00C06C69" w:rsidP="00C06C69">
            <w:pPr>
              <w:pStyle w:val="BodyText"/>
            </w:pPr>
            <w:r w:rsidRPr="00C06C69">
              <w:t>Lifting apparatus includes winches and cranes</w:t>
            </w:r>
          </w:p>
          <w:p w:rsidR="00000000" w:rsidRPr="00C06C69" w:rsidP="00C06C69">
            <w:pPr>
              <w:pStyle w:val="BodyText"/>
            </w:pPr>
            <w:r w:rsidRPr="00C06C69">
              <w:t>Di</w:t>
            </w:r>
            <w:r w:rsidRPr="00C06C69">
              <w:t>agnose and rectification of faults in wind turbine generator electrical systems may include:</w:t>
            </w:r>
          </w:p>
          <w:p w:rsidR="00000000" w:rsidRPr="00C06C69" w:rsidP="00C06C69">
            <w:pPr>
              <w:pStyle w:val="BodyText"/>
            </w:pPr>
            <w:r w:rsidRPr="00C06C69">
              <w:t>Power transformers and ring mains units (RMU)s as used for WTGs</w:t>
            </w:r>
          </w:p>
          <w:p w:rsidR="00000000" w:rsidRPr="00C06C69" w:rsidP="00C06C69">
            <w:pPr>
              <w:pStyle w:val="BodyText"/>
            </w:pPr>
            <w:r w:rsidRPr="00C06C69">
              <w:t>Hydraulic equipment, including turbine braking equipment.</w:t>
            </w:r>
          </w:p>
          <w:p w:rsidR="00000000" w:rsidRPr="00C06C69" w:rsidP="00C06C69">
            <w:pPr>
              <w:pStyle w:val="BodyText"/>
            </w:pPr>
            <w:r w:rsidRPr="00C06C69">
              <w:t xml:space="preserve">Diagnosis and repair may include: visual </w:t>
            </w:r>
            <w:r w:rsidRPr="00C06C69">
              <w:t>inspections, replacement of electrical components, replacement of electrical protection equipment, isolation diodes, uninterruptible power supplies (UPS, safety chain, DC systems, power factor correction equipment, lose wiring, checking the tension of bolt</w:t>
            </w:r>
            <w:r w:rsidRPr="00C06C69">
              <w:t>s, replacing sensors, replacing slip rings, testing of equipment for correct operation</w:t>
            </w:r>
          </w:p>
          <w:p w:rsidR="00000000" w:rsidRPr="00C06C69" w:rsidP="00C06C69">
            <w:pPr>
              <w:pStyle w:val="BodyText"/>
            </w:pPr>
            <w:r w:rsidRPr="00C06C69">
              <w:t>Tools may include spanners, screwdrivers, side cutters, pliers, wire strippers, RCD protection devices</w:t>
            </w:r>
          </w:p>
          <w:p w:rsidR="00000000" w:rsidRPr="00C06C69" w:rsidP="00C06C69">
            <w:pPr>
              <w:pStyle w:val="BodyText"/>
            </w:pPr>
            <w:r w:rsidRPr="00C06C69">
              <w:t>Consumables include electrical tape, lugs and connectors</w:t>
            </w:r>
          </w:p>
          <w:p w:rsidR="00000000" w:rsidRPr="00C06C69" w:rsidP="00C06C69">
            <w:pPr>
              <w:pStyle w:val="BodyText"/>
            </w:pPr>
            <w:r w:rsidRPr="00C06C69">
              <w:t>Test equi</w:t>
            </w:r>
            <w:r w:rsidRPr="00C06C69">
              <w:t>pment may include multimeters, current tongs, micro-ohm meters, laptop computers, PC tablet, smart phones and other data acquisition tools and equipment.</w:t>
            </w:r>
          </w:p>
          <w:p w:rsidR="00000000" w:rsidRPr="00C06C69" w:rsidP="00C06C69">
            <w:pPr>
              <w:pStyle w:val="BodyText"/>
            </w:pPr>
            <w:r w:rsidRPr="00C06C69">
              <w:t>Large Scale Wind Generators (WTGs) include systems having a rating of greater than 10 kW</w:t>
            </w:r>
          </w:p>
          <w:p w:rsidR="00000000" w:rsidRPr="00C06C69" w:rsidP="00C06C69">
            <w:pPr>
              <w:pStyle w:val="BodyText"/>
            </w:pPr>
            <w:r w:rsidRPr="00C06C69">
              <w:t>Work completi</w:t>
            </w:r>
            <w:r w:rsidRPr="00C06C69">
              <w:t>on details may include plant and maintenance records, job cards, check sheets, on device labelling updates and reporting and/or documenting equipment defects.</w:t>
            </w:r>
          </w:p>
          <w:p w:rsidR="00000000" w:rsidRPr="00C06C69" w:rsidP="00C06C69">
            <w:pPr>
              <w:pStyle w:val="BodyText"/>
            </w:pPr>
            <w:r w:rsidRPr="00C06C69">
              <w:t>Work site environment may be affected by nearby plant or processes and climatic conditions e.g. w</w:t>
            </w:r>
            <w:r w:rsidRPr="00C06C69">
              <w:t>ind speed, chemical, heat, dust, noise, height and oil.</w:t>
            </w:r>
          </w:p>
          <w:p w:rsidR="00000000" w:rsidRPr="00C06C69" w:rsidP="00C06C69">
            <w:pPr>
              <w:pStyle w:val="BodyText"/>
            </w:pPr>
            <w:r w:rsidRPr="00C06C69">
              <w:t>Location of wind turbine generators may be in urban, suburban, regional or rural locales and environments.</w:t>
            </w:r>
          </w:p>
          <w:p w:rsidR="00000000" w:rsidRPr="00C06C69" w:rsidP="00C06C69">
            <w:pPr>
              <w:pStyle w:val="BodyText"/>
            </w:pPr>
            <w:r w:rsidRPr="00C06C69">
              <w:t>Documentation may be either paper-based or electronic format.</w:t>
            </w:r>
          </w:p>
          <w:p w:rsidR="00000000" w:rsidRPr="00C06C69" w:rsidP="00C06C69">
            <w:pPr>
              <w:pStyle w:val="BodyText"/>
            </w:pPr>
            <w:r w:rsidRPr="00C06C69">
              <w:t>Isolations can refer to electri</w:t>
            </w:r>
            <w:r w:rsidRPr="00C06C69">
              <w:t>cal/mechanical or other associated processes.</w:t>
            </w:r>
          </w:p>
          <w:p w:rsidR="00000000" w:rsidRPr="00C06C69" w:rsidP="00C06C69">
            <w:pPr>
              <w:pStyle w:val="BodyText"/>
            </w:pPr>
            <w:r w:rsidRPr="00C06C69">
              <w:t>Generic terms used throughout this Vocational Standard shall be regarded as part of the Range Statement in which competency is demonstrated. The definition of these and other terms that apply are given in the G</w:t>
            </w:r>
            <w:r w:rsidRPr="00C06C69">
              <w:t>lossaries, Section 2.1 of this Training Package.</w:t>
            </w:r>
          </w:p>
        </w:tc>
      </w:tr>
    </w:tbl>
    <w:p w:rsidR="00000000" w:rsidRPr="00C06C69" w:rsidP="00C06C69">
      <w:pPr>
        <w:pStyle w:val="BodyText"/>
      </w:pPr>
    </w:p>
    <w:p w:rsidR="00000000" w:rsidRPr="00C06C69" w:rsidP="00C06C69">
      <w:pPr>
        <w:pStyle w:val="AllowPageBreak"/>
      </w:pPr>
    </w:p>
    <w:p w:rsidR="00000000" w:rsidRPr="00C06C69" w:rsidP="00C06C69">
      <w:pPr>
        <w:pStyle w:val="Heading1"/>
      </w:pPr>
      <w:bookmarkStart w:id="12" w:name="O_491033"/>
      <w:bookmarkEnd w:id="12"/>
      <w:r w:rsidRPr="00C06C69">
        <w:t>Unit Sector(s)</w:t>
      </w:r>
    </w:p>
    <w:p w:rsidR="00000000" w:rsidRPr="00C06C69" w:rsidP="00C06C69">
      <w:pPr>
        <w:pStyle w:val="BodyText"/>
      </w:pPr>
      <w:r w:rsidRPr="00C06C69">
        <w:t>Not applicable.</w:t>
      </w:r>
    </w:p>
    <w:p w:rsidR="00000000" w:rsidRPr="00C06C69" w:rsidP="00C06C69">
      <w:pPr>
        <w:pStyle w:val="AllowPageBreak"/>
      </w:pPr>
    </w:p>
    <w:p w:rsidR="00000000" w:rsidRPr="00C06C69" w:rsidP="00C06C69">
      <w:pPr>
        <w:pStyle w:val="Heading1"/>
      </w:pPr>
      <w:bookmarkStart w:id="13" w:name="O_491022"/>
      <w:bookmarkEnd w:id="13"/>
      <w:r w:rsidRPr="00C06C69">
        <w:t>Competency Field</w:t>
      </w:r>
    </w:p>
    <w:tbl>
      <w:tblPr>
        <w:tblW w:w="0" w:type="auto"/>
        <w:tblLayout w:type="fixed"/>
        <w:tblCellMar>
          <w:left w:w="62" w:type="dxa"/>
          <w:right w:w="62" w:type="dxa"/>
        </w:tblCellMar>
        <w:tblLook w:val="0000"/>
      </w:tblPr>
      <w:tblGrid>
        <w:gridCol w:w="2700"/>
        <w:gridCol w:w="5760"/>
      </w:tblGrid>
      <w:tr w:rsidTr="00DB3A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06C69">
            <w:pPr>
              <w:pStyle w:val="BodyText"/>
              <w:rPr>
                <w:lang w:val="en-NZ"/>
              </w:rPr>
            </w:pPr>
            <w:r w:rsidRPr="00C06C69">
              <w:rPr>
                <w:rStyle w:val="SpecialBold"/>
              </w:rPr>
              <w:t xml:space="preserve">11) </w:t>
            </w:r>
          </w:p>
        </w:tc>
      </w:tr>
      <w:tr w:rsidTr="00DB3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6C69" w:rsidP="00C06C69">
            <w:pPr>
              <w:pStyle w:val="BodyText"/>
            </w:pPr>
            <w:r w:rsidRPr="00C06C69">
              <w:t>Maintenance</w:t>
            </w:r>
          </w:p>
        </w:tc>
      </w:tr>
    </w:tbl>
    <w:p w:rsidR="00000000" w:rsidRPr="00C06C69" w:rsidP="00C06C69">
      <w:pPr>
        <w:pStyle w:val="BodyText"/>
      </w:pPr>
    </w:p>
    <w:p w:rsidR="00000000" w:rsidRPr="00C06C69" w:rsidP="00C06C69"/>
    <w:sectPr w:rsidSect="00C06C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69" w:rsidRPr="00DB3A76" w:rsidP="00DB3A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76" w:rsidP="00C06C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B3A76" w:rsidP="00C06C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DB3A76" w:rsidP="00C06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69" w:rsidRPr="00DB3A76" w:rsidP="00DB3A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76" w:rsidRPr="002D2AF8" w:rsidP="00C06C69">
    <w:pPr>
      <w:pStyle w:val="Header"/>
      <w:framePr w:wrap="around"/>
    </w:pPr>
    <w:r>
      <w:fldChar w:fldCharType="begin"/>
    </w:r>
    <w:r>
      <w:instrText xml:space="preserve"> TITLE   \* MERGEFORMAT </w:instrText>
    </w:r>
    <w:r>
      <w:fldChar w:fldCharType="separate"/>
    </w:r>
    <w:r>
      <w:t>UEPMNT447A Diagnose and repair faults in wind turbine generator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DB3A76" w:rsidP="00C06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3EA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229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1C2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C69"/>
    <w:pPr>
      <w:spacing w:before="360" w:after="60"/>
      <w:outlineLvl w:val="0"/>
    </w:pPr>
    <w:rPr>
      <w:sz w:val="32"/>
    </w:rPr>
  </w:style>
  <w:style w:type="paragraph" w:styleId="Heading2">
    <w:name w:val="heading 2"/>
    <w:basedOn w:val="HeadingBase"/>
    <w:next w:val="BodyText"/>
    <w:link w:val="Heading2Char"/>
    <w:qFormat/>
    <w:rsid w:val="00C06C69"/>
    <w:pPr>
      <w:keepLines/>
      <w:spacing w:before="240" w:after="120"/>
      <w:outlineLvl w:val="1"/>
    </w:pPr>
    <w:rPr>
      <w:sz w:val="28"/>
      <w:szCs w:val="40"/>
    </w:rPr>
  </w:style>
  <w:style w:type="paragraph" w:styleId="Heading3">
    <w:name w:val="heading 3"/>
    <w:basedOn w:val="HeadingBase"/>
    <w:next w:val="BodyText"/>
    <w:link w:val="Heading3Char"/>
    <w:qFormat/>
    <w:rsid w:val="00C06C69"/>
    <w:pPr>
      <w:spacing w:before="180" w:after="120"/>
      <w:outlineLvl w:val="2"/>
    </w:pPr>
    <w:rPr>
      <w:spacing w:val="-10"/>
      <w:kern w:val="32"/>
    </w:rPr>
  </w:style>
  <w:style w:type="paragraph" w:styleId="Heading4">
    <w:name w:val="heading 4"/>
    <w:basedOn w:val="HeadingBase"/>
    <w:next w:val="BodyText"/>
    <w:link w:val="Heading4Char"/>
    <w:qFormat/>
    <w:rsid w:val="00C06C69"/>
    <w:pPr>
      <w:spacing w:before="160" w:after="120"/>
      <w:outlineLvl w:val="3"/>
    </w:pPr>
    <w:rPr>
      <w:sz w:val="22"/>
    </w:rPr>
  </w:style>
  <w:style w:type="paragraph" w:styleId="Heading5">
    <w:name w:val="heading 5"/>
    <w:basedOn w:val="HeadingBase"/>
    <w:next w:val="Normal"/>
    <w:link w:val="Heading5Char"/>
    <w:qFormat/>
    <w:rsid w:val="00C06C69"/>
    <w:pPr>
      <w:spacing w:before="80"/>
      <w:outlineLvl w:val="4"/>
    </w:pPr>
    <w:rPr>
      <w:color w:val="918585"/>
      <w:sz w:val="20"/>
    </w:rPr>
  </w:style>
  <w:style w:type="paragraph" w:styleId="Heading6">
    <w:name w:val="heading 6"/>
    <w:basedOn w:val="HeadingBase"/>
    <w:next w:val="Normal"/>
    <w:link w:val="Heading6Char"/>
    <w:qFormat/>
    <w:rsid w:val="00C06C69"/>
    <w:pPr>
      <w:spacing w:before="60"/>
      <w:outlineLvl w:val="5"/>
    </w:pPr>
    <w:rPr>
      <w:color w:val="918585"/>
      <w:sz w:val="20"/>
    </w:rPr>
  </w:style>
  <w:style w:type="paragraph" w:styleId="Heading7">
    <w:name w:val="heading 7"/>
    <w:basedOn w:val="Normal"/>
    <w:next w:val="Normal"/>
    <w:link w:val="Heading7Char"/>
    <w:qFormat/>
    <w:rsid w:val="00C06C69"/>
    <w:pPr>
      <w:ind w:left="720"/>
      <w:outlineLvl w:val="6"/>
    </w:pPr>
    <w:rPr>
      <w:i/>
    </w:rPr>
  </w:style>
  <w:style w:type="paragraph" w:styleId="Heading8">
    <w:name w:val="heading 8"/>
    <w:basedOn w:val="Normal"/>
    <w:next w:val="Normal"/>
    <w:link w:val="Heading8Char"/>
    <w:qFormat/>
    <w:rsid w:val="00C06C69"/>
    <w:pPr>
      <w:ind w:left="720"/>
      <w:outlineLvl w:val="7"/>
    </w:pPr>
    <w:rPr>
      <w:i/>
    </w:rPr>
  </w:style>
  <w:style w:type="paragraph" w:styleId="Heading9">
    <w:name w:val="heading 9"/>
    <w:basedOn w:val="Normal"/>
    <w:next w:val="Normal"/>
    <w:link w:val="Heading9Char"/>
    <w:qFormat/>
    <w:rsid w:val="00C06C69"/>
    <w:pPr>
      <w:ind w:left="720"/>
      <w:outlineLvl w:val="8"/>
    </w:pPr>
    <w:rPr>
      <w:i/>
    </w:rPr>
  </w:style>
  <w:style w:type="character" w:default="1" w:styleId="DefaultParagraphFont">
    <w:name w:val="Default Paragraph Font"/>
    <w:uiPriority w:val="1"/>
    <w:unhideWhenUsed/>
    <w:rsid w:val="00C06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C69"/>
  </w:style>
  <w:style w:type="character" w:customStyle="1" w:styleId="Heading1Char">
    <w:name w:val="Heading 1 Char"/>
    <w:basedOn w:val="DefaultParagraphFont"/>
    <w:link w:val="Heading1"/>
    <w:rsid w:val="00C06C69"/>
    <w:rPr>
      <w:rFonts w:ascii="Times New Roman" w:eastAsia="Times New Roman" w:hAnsi="Times New Roman" w:cs="Times New Roman"/>
      <w:b/>
      <w:sz w:val="32"/>
      <w:szCs w:val="20"/>
      <w:lang w:eastAsia="en-US"/>
    </w:rPr>
  </w:style>
  <w:style w:type="paragraph" w:styleId="BodyText">
    <w:name w:val="Body Text"/>
    <w:basedOn w:val="Normal"/>
    <w:link w:val="BodyTextChar"/>
    <w:rsid w:val="00C06C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6C69"/>
    <w:rPr>
      <w:rFonts w:ascii="Times New Roman" w:eastAsia="Times New Roman" w:hAnsi="Times New Roman" w:cs="Times New Roman"/>
      <w:sz w:val="24"/>
      <w:lang w:eastAsia="en-US"/>
    </w:rPr>
  </w:style>
  <w:style w:type="paragraph" w:styleId="ListBullet">
    <w:name w:val="List Bullet"/>
    <w:basedOn w:val="List"/>
    <w:rsid w:val="00C06C69"/>
    <w:pPr>
      <w:numPr>
        <w:numId w:val="13"/>
      </w:numPr>
      <w:tabs>
        <w:tab w:val="clear" w:pos="340"/>
      </w:tabs>
      <w:spacing w:before="40" w:after="40"/>
    </w:pPr>
  </w:style>
  <w:style w:type="character" w:customStyle="1" w:styleId="SpecialBold">
    <w:name w:val="Special Bold"/>
    <w:basedOn w:val="DefaultParagraphFont"/>
    <w:rsid w:val="00C06C69"/>
    <w:rPr>
      <w:b/>
      <w:spacing w:val="0"/>
    </w:rPr>
  </w:style>
  <w:style w:type="paragraph" w:styleId="ListBullet2">
    <w:name w:val="List Bullet 2"/>
    <w:basedOn w:val="List2"/>
    <w:rsid w:val="00C06C69"/>
    <w:pPr>
      <w:numPr>
        <w:numId w:val="14"/>
      </w:numPr>
      <w:tabs>
        <w:tab w:val="clear" w:pos="680"/>
      </w:tabs>
    </w:pPr>
  </w:style>
  <w:style w:type="paragraph" w:customStyle="1" w:styleId="SuperHeading">
    <w:name w:val="SuperHeading"/>
    <w:basedOn w:val="Normal"/>
    <w:rsid w:val="00C06C69"/>
    <w:pPr>
      <w:spacing w:before="240" w:after="120"/>
      <w:outlineLvl w:val="0"/>
    </w:pPr>
    <w:rPr>
      <w:rFonts w:ascii="Times New Roman" w:hAnsi="Times New Roman"/>
      <w:b/>
      <w:sz w:val="32"/>
    </w:rPr>
  </w:style>
  <w:style w:type="paragraph" w:customStyle="1" w:styleId="AllowPageBreak">
    <w:name w:val="AllowPageBreak"/>
    <w:rsid w:val="00C06C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C69"/>
    <w:rPr>
      <w:rFonts w:ascii="Courier New" w:eastAsia="Times New Roman" w:hAnsi="Courier New" w:cs="Times New Roman"/>
      <w:i/>
      <w:szCs w:val="20"/>
      <w:lang w:eastAsia="en-US"/>
    </w:rPr>
  </w:style>
  <w:style w:type="paragraph" w:customStyle="1" w:styleId="HeadingBase">
    <w:name w:val="Heading Base"/>
    <w:rsid w:val="00C06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C69"/>
    <w:pPr>
      <w:tabs>
        <w:tab w:val="right" w:leader="dot" w:pos="9072"/>
      </w:tabs>
      <w:ind w:left="567"/>
    </w:pPr>
    <w:rPr>
      <w:szCs w:val="22"/>
    </w:rPr>
  </w:style>
  <w:style w:type="paragraph" w:customStyle="1" w:styleId="TOCBase">
    <w:name w:val="TOC Base"/>
    <w:rsid w:val="00C06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C69"/>
    <w:pPr>
      <w:tabs>
        <w:tab w:val="right" w:leader="dot" w:pos="9072"/>
      </w:tabs>
      <w:spacing w:before="40" w:after="40"/>
      <w:ind w:left="284"/>
    </w:pPr>
    <w:rPr>
      <w:rFonts w:ascii="Times New Roman" w:hAnsi="Times New Roman"/>
    </w:rPr>
  </w:style>
  <w:style w:type="paragraph" w:styleId="TOC1">
    <w:name w:val="toc 1"/>
    <w:basedOn w:val="TOCBase"/>
    <w:next w:val="Normal"/>
    <w:rsid w:val="00C06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C69"/>
    <w:rPr>
      <w:rFonts w:ascii="Times New Roman" w:eastAsia="Times New Roman" w:hAnsi="Times New Roman" w:cs="Times New Roman"/>
      <w:sz w:val="16"/>
      <w:lang w:eastAsia="en-US"/>
    </w:rPr>
  </w:style>
  <w:style w:type="paragraph" w:styleId="Title">
    <w:name w:val="Title"/>
    <w:basedOn w:val="HeadingBase"/>
    <w:link w:val="TitleChar"/>
    <w:qFormat/>
    <w:rsid w:val="00C06C69"/>
    <w:pPr>
      <w:spacing w:before="5040"/>
      <w:jc w:val="center"/>
    </w:pPr>
    <w:rPr>
      <w:sz w:val="48"/>
      <w:szCs w:val="72"/>
      <w:lang w:val="en-US"/>
    </w:rPr>
  </w:style>
  <w:style w:type="character" w:customStyle="1" w:styleId="TitleChar">
    <w:name w:val="Title Char"/>
    <w:basedOn w:val="DefaultParagraphFont"/>
    <w:link w:val="Title"/>
    <w:rsid w:val="00C06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C69"/>
    <w:pPr>
      <w:tabs>
        <w:tab w:val="left" w:pos="3600"/>
        <w:tab w:val="left" w:pos="3958"/>
      </w:tabs>
    </w:pPr>
  </w:style>
  <w:style w:type="paragraph" w:styleId="List">
    <w:name w:val="List"/>
    <w:basedOn w:val="BodyText"/>
    <w:next w:val="BodyText"/>
    <w:rsid w:val="00C06C69"/>
    <w:pPr>
      <w:tabs>
        <w:tab w:val="left" w:pos="340"/>
      </w:tabs>
      <w:spacing w:before="60" w:after="60"/>
      <w:ind w:left="340" w:hanging="340"/>
    </w:pPr>
  </w:style>
  <w:style w:type="paragraph" w:customStyle="1" w:styleId="Note">
    <w:name w:val="Note"/>
    <w:basedOn w:val="BodyText"/>
    <w:rsid w:val="00C06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C69"/>
    <w:pPr>
      <w:framePr w:wrap="auto" w:hAnchor="text" w:y="6049"/>
    </w:pPr>
    <w:rPr>
      <w:color w:val="000000"/>
      <w:sz w:val="40"/>
    </w:rPr>
  </w:style>
  <w:style w:type="paragraph" w:customStyle="1" w:styleId="TOCTitle">
    <w:name w:val="TOCTitle"/>
    <w:basedOn w:val="Heading1"/>
    <w:rsid w:val="00C06C69"/>
    <w:pPr>
      <w:spacing w:after="240"/>
      <w:jc w:val="center"/>
      <w:outlineLvl w:val="9"/>
    </w:pPr>
    <w:rPr>
      <w:caps/>
    </w:rPr>
  </w:style>
  <w:style w:type="paragraph" w:customStyle="1" w:styleId="Version">
    <w:name w:val="Version"/>
    <w:rsid w:val="00C06C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C69"/>
    <w:pPr>
      <w:keepNext w:val="0"/>
      <w:tabs>
        <w:tab w:val="right" w:pos="4176"/>
      </w:tabs>
      <w:ind w:left="198" w:hanging="198"/>
    </w:pPr>
    <w:rPr>
      <w:rFonts w:ascii="Garamond" w:hAnsi="Garamond"/>
    </w:rPr>
  </w:style>
  <w:style w:type="paragraph" w:styleId="IndexHeading">
    <w:name w:val="index heading"/>
    <w:basedOn w:val="Normal"/>
    <w:next w:val="Index1"/>
    <w:semiHidden/>
    <w:rsid w:val="00C06C69"/>
    <w:pPr>
      <w:spacing w:before="120" w:after="120"/>
    </w:pPr>
    <w:rPr>
      <w:rFonts w:ascii="Arial" w:hAnsi="Arial"/>
      <w:b/>
      <w:color w:val="918585"/>
      <w:sz w:val="24"/>
    </w:rPr>
  </w:style>
  <w:style w:type="paragraph" w:styleId="Header">
    <w:name w:val="header"/>
    <w:basedOn w:val="Normal"/>
    <w:link w:val="HeaderChar"/>
    <w:rsid w:val="00C06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C69"/>
    <w:rPr>
      <w:rFonts w:ascii="Times New Roman" w:eastAsia="Times New Roman" w:hAnsi="Times New Roman" w:cs="Times New Roman"/>
      <w:sz w:val="16"/>
      <w:szCs w:val="20"/>
      <w:lang w:val="en-GB" w:eastAsia="en-US"/>
    </w:rPr>
  </w:style>
  <w:style w:type="paragraph" w:customStyle="1" w:styleId="Chapter">
    <w:name w:val="Chapter"/>
    <w:basedOn w:val="Normal"/>
    <w:rsid w:val="00C06C69"/>
    <w:pPr>
      <w:spacing w:before="240"/>
    </w:pPr>
    <w:rPr>
      <w:rFonts w:ascii="Times New Roman" w:hAnsi="Times New Roman"/>
      <w:smallCaps/>
      <w:spacing w:val="80"/>
      <w:sz w:val="28"/>
    </w:rPr>
  </w:style>
  <w:style w:type="paragraph" w:customStyle="1" w:styleId="InChapter">
    <w:name w:val="InChapter"/>
    <w:basedOn w:val="Heading3"/>
    <w:rsid w:val="00C06C69"/>
    <w:pPr>
      <w:spacing w:after="240"/>
      <w:outlineLvl w:val="9"/>
    </w:pPr>
    <w:rPr>
      <w:noProof/>
    </w:rPr>
  </w:style>
  <w:style w:type="paragraph" w:styleId="Index2">
    <w:name w:val="index 2"/>
    <w:basedOn w:val="Normal"/>
    <w:next w:val="Normal"/>
    <w:semiHidden/>
    <w:rsid w:val="00C06C69"/>
    <w:pPr>
      <w:tabs>
        <w:tab w:val="right" w:pos="4176"/>
      </w:tabs>
      <w:ind w:left="568" w:hanging="284"/>
    </w:pPr>
    <w:rPr>
      <w:rFonts w:ascii="Garamond" w:hAnsi="Garamond"/>
    </w:rPr>
  </w:style>
  <w:style w:type="paragraph" w:customStyle="1" w:styleId="Byline">
    <w:name w:val="Byline"/>
    <w:rsid w:val="00C06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C69"/>
    <w:pPr>
      <w:tabs>
        <w:tab w:val="clear" w:pos="3600"/>
        <w:tab w:val="clear" w:pos="3958"/>
      </w:tabs>
      <w:jc w:val="right"/>
    </w:pPr>
  </w:style>
  <w:style w:type="character" w:styleId="Emphasis">
    <w:name w:val="Emphasis"/>
    <w:basedOn w:val="DefaultParagraphFont"/>
    <w:qFormat/>
    <w:rsid w:val="00C06C69"/>
    <w:rPr>
      <w:i/>
    </w:rPr>
  </w:style>
  <w:style w:type="paragraph" w:styleId="Caption">
    <w:name w:val="caption"/>
    <w:basedOn w:val="BodyText"/>
    <w:next w:val="Normal"/>
    <w:qFormat/>
    <w:rsid w:val="00C06C69"/>
    <w:pPr>
      <w:framePr w:w="2268" w:hSpace="181" w:vSpace="181" w:wrap="around" w:vAnchor="text" w:hAnchor="page" w:x="1135" w:y="285" w:anchorLock="1"/>
    </w:pPr>
    <w:rPr>
      <w:i/>
    </w:rPr>
  </w:style>
  <w:style w:type="paragraph" w:customStyle="1" w:styleId="MiniTOCTitle">
    <w:name w:val="MiniTOCTitle"/>
    <w:basedOn w:val="Heading4"/>
    <w:rsid w:val="00C06C69"/>
    <w:pPr>
      <w:spacing w:before="240"/>
      <w:outlineLvl w:val="9"/>
    </w:pPr>
    <w:rPr>
      <w:noProof/>
      <w:sz w:val="24"/>
    </w:rPr>
  </w:style>
  <w:style w:type="paragraph" w:customStyle="1" w:styleId="MiniTOCItem">
    <w:name w:val="MiniTOCItem"/>
    <w:basedOn w:val="ListBullet"/>
    <w:rsid w:val="00C06C69"/>
    <w:pPr>
      <w:numPr>
        <w:numId w:val="0"/>
      </w:numPr>
      <w:tabs>
        <w:tab w:val="right" w:leader="dot" w:pos="6521"/>
      </w:tabs>
      <w:spacing w:before="0" w:after="0"/>
    </w:pPr>
  </w:style>
  <w:style w:type="paragraph" w:customStyle="1" w:styleId="TOFTitle">
    <w:name w:val="TOFTitle"/>
    <w:basedOn w:val="TOCTitle"/>
    <w:rsid w:val="00C06C69"/>
  </w:style>
  <w:style w:type="paragraph" w:styleId="TableofFigures">
    <w:name w:val="table of figures"/>
    <w:basedOn w:val="Normal"/>
    <w:next w:val="Normal"/>
    <w:semiHidden/>
    <w:rsid w:val="00C06C69"/>
    <w:pPr>
      <w:tabs>
        <w:tab w:val="right" w:leader="dot" w:pos="9072"/>
      </w:tabs>
      <w:ind w:left="970" w:hanging="403"/>
    </w:pPr>
    <w:rPr>
      <w:rFonts w:ascii="Times New Roman" w:hAnsi="Times New Roman"/>
      <w:b/>
    </w:rPr>
  </w:style>
  <w:style w:type="paragraph" w:styleId="ListNumber">
    <w:name w:val="List Number"/>
    <w:basedOn w:val="List"/>
    <w:rsid w:val="00C06C69"/>
    <w:pPr>
      <w:numPr>
        <w:numId w:val="11"/>
      </w:numPr>
    </w:pPr>
  </w:style>
  <w:style w:type="character" w:customStyle="1" w:styleId="WingdingSymbols">
    <w:name w:val="Wingding Symbols"/>
    <w:rsid w:val="00C06C69"/>
    <w:rPr>
      <w:rFonts w:ascii="Wingdings" w:hAnsi="Wingdings"/>
    </w:rPr>
  </w:style>
  <w:style w:type="paragraph" w:customStyle="1" w:styleId="TableHeading">
    <w:name w:val="Table Heading"/>
    <w:basedOn w:val="HeadingBase"/>
    <w:rsid w:val="00C06C69"/>
    <w:pPr>
      <w:keepLines/>
      <w:pBdr>
        <w:bottom w:val="single" w:sz="6" w:space="1" w:color="918585"/>
      </w:pBdr>
      <w:spacing w:before="240"/>
    </w:pPr>
  </w:style>
  <w:style w:type="character" w:customStyle="1" w:styleId="HotSpot">
    <w:name w:val="HotSpot"/>
    <w:rsid w:val="00C06C69"/>
    <w:rPr>
      <w:color w:val="0033CC"/>
      <w:u w:val="none"/>
    </w:rPr>
  </w:style>
  <w:style w:type="paragraph" w:customStyle="1" w:styleId="BodyTextRight">
    <w:name w:val="Body Text Right"/>
    <w:basedOn w:val="BodyText"/>
    <w:rsid w:val="00C06C69"/>
    <w:pPr>
      <w:spacing w:before="0" w:after="0"/>
      <w:jc w:val="right"/>
    </w:pPr>
  </w:style>
  <w:style w:type="paragraph" w:styleId="Index3">
    <w:name w:val="index 3"/>
    <w:basedOn w:val="ListNumber2"/>
    <w:next w:val="Normal"/>
    <w:semiHidden/>
    <w:rsid w:val="00C06C69"/>
    <w:pPr>
      <w:numPr>
        <w:numId w:val="0"/>
      </w:numPr>
      <w:tabs>
        <w:tab w:val="right" w:leader="dot" w:pos="4176"/>
      </w:tabs>
    </w:pPr>
  </w:style>
  <w:style w:type="paragraph" w:styleId="ListNumber2">
    <w:name w:val="List Number 2"/>
    <w:basedOn w:val="List2"/>
    <w:rsid w:val="00C06C69"/>
    <w:pPr>
      <w:numPr>
        <w:numId w:val="10"/>
      </w:numPr>
      <w:tabs>
        <w:tab w:val="clear" w:pos="1060"/>
      </w:tabs>
    </w:pPr>
  </w:style>
  <w:style w:type="paragraph" w:customStyle="1" w:styleId="MarginNote">
    <w:name w:val="Margin Note"/>
    <w:basedOn w:val="BodyText"/>
    <w:rsid w:val="00C06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C69"/>
    <w:rPr>
      <w:sz w:val="32"/>
    </w:rPr>
  </w:style>
  <w:style w:type="paragraph" w:customStyle="1" w:styleId="HeadingProcedure">
    <w:name w:val="Heading Procedure"/>
    <w:basedOn w:val="HeadingBase"/>
    <w:next w:val="Normal"/>
    <w:rsid w:val="00C06C69"/>
    <w:pPr>
      <w:tabs>
        <w:tab w:val="left" w:pos="0"/>
      </w:tabs>
      <w:spacing w:before="120" w:after="60"/>
    </w:pPr>
    <w:rPr>
      <w:i/>
      <w:color w:val="918585"/>
      <w:sz w:val="22"/>
    </w:rPr>
  </w:style>
  <w:style w:type="paragraph" w:customStyle="1" w:styleId="TableBodyText">
    <w:name w:val="Table Body Text"/>
    <w:basedOn w:val="BodyText"/>
    <w:rsid w:val="00C06C69"/>
    <w:pPr>
      <w:spacing w:before="60" w:after="60"/>
    </w:pPr>
  </w:style>
  <w:style w:type="paragraph" w:styleId="ListContinue">
    <w:name w:val="List Continue"/>
    <w:basedOn w:val="List"/>
    <w:rsid w:val="00C06C69"/>
    <w:pPr>
      <w:ind w:firstLine="0"/>
    </w:pPr>
  </w:style>
  <w:style w:type="paragraph" w:customStyle="1" w:styleId="ListNote">
    <w:name w:val="List Note"/>
    <w:basedOn w:val="List"/>
    <w:rsid w:val="00C06C69"/>
    <w:pPr>
      <w:pBdr>
        <w:top w:val="single" w:sz="6" w:space="2" w:color="918585"/>
        <w:bottom w:val="single" w:sz="6" w:space="2" w:color="918585"/>
      </w:pBdr>
      <w:tabs>
        <w:tab w:val="left" w:pos="1021"/>
      </w:tabs>
      <w:ind w:firstLine="0"/>
    </w:pPr>
  </w:style>
  <w:style w:type="paragraph" w:customStyle="1" w:styleId="Warning">
    <w:name w:val="Warning"/>
    <w:basedOn w:val="BodyText"/>
    <w:rsid w:val="00C06C69"/>
    <w:pPr>
      <w:shd w:val="clear" w:color="auto" w:fill="D9D9D9"/>
      <w:tabs>
        <w:tab w:val="left" w:pos="992"/>
      </w:tabs>
      <w:ind w:left="119" w:right="119"/>
    </w:pPr>
    <w:rPr>
      <w:sz w:val="20"/>
    </w:rPr>
  </w:style>
  <w:style w:type="paragraph" w:customStyle="1" w:styleId="MarginIcons">
    <w:name w:val="Margin Icons"/>
    <w:basedOn w:val="BodyText"/>
    <w:rsid w:val="00C06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C69"/>
    <w:rPr>
      <w:rFonts w:ascii="Courier New" w:hAnsi="Courier New"/>
    </w:rPr>
  </w:style>
  <w:style w:type="paragraph" w:customStyle="1" w:styleId="NoteBullet">
    <w:name w:val="Note Bullet"/>
    <w:basedOn w:val="Note"/>
    <w:rsid w:val="00C06C69"/>
    <w:pPr>
      <w:tabs>
        <w:tab w:val="clear" w:pos="680"/>
      </w:tabs>
      <w:spacing w:before="60" w:after="60"/>
    </w:pPr>
  </w:style>
  <w:style w:type="paragraph" w:customStyle="1" w:styleId="SubHeading2">
    <w:name w:val="SubHeading2"/>
    <w:basedOn w:val="HeadingBase"/>
    <w:rsid w:val="00C06C69"/>
    <w:pPr>
      <w:spacing w:before="240" w:after="60"/>
    </w:pPr>
    <w:rPr>
      <w:sz w:val="20"/>
    </w:rPr>
  </w:style>
  <w:style w:type="paragraph" w:customStyle="1" w:styleId="SubHeading1">
    <w:name w:val="SubHeading1"/>
    <w:basedOn w:val="HeadingBase"/>
    <w:rsid w:val="00C06C69"/>
    <w:pPr>
      <w:spacing w:before="240" w:after="60"/>
    </w:pPr>
    <w:rPr>
      <w:color w:val="918585"/>
      <w:sz w:val="22"/>
    </w:rPr>
  </w:style>
  <w:style w:type="paragraph" w:customStyle="1" w:styleId="SideHeading">
    <w:name w:val="Side Heading"/>
    <w:basedOn w:val="HeadingBase"/>
    <w:rsid w:val="00C06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C69"/>
    <w:pPr>
      <w:numPr>
        <w:numId w:val="12"/>
      </w:numPr>
    </w:pPr>
  </w:style>
  <w:style w:type="paragraph" w:styleId="PlainText">
    <w:name w:val="Plain Text"/>
    <w:basedOn w:val="Normal"/>
    <w:link w:val="PlainTextChar"/>
    <w:rsid w:val="00C06C69"/>
    <w:rPr>
      <w:sz w:val="20"/>
    </w:rPr>
  </w:style>
  <w:style w:type="character" w:customStyle="1" w:styleId="PlainTextChar">
    <w:name w:val="Plain Text Char"/>
    <w:basedOn w:val="DefaultParagraphFont"/>
    <w:link w:val="PlainText"/>
    <w:rsid w:val="00C06C69"/>
    <w:rPr>
      <w:rFonts w:ascii="Courier New" w:eastAsia="Times New Roman" w:hAnsi="Courier New" w:cs="Times New Roman"/>
      <w:sz w:val="20"/>
      <w:szCs w:val="20"/>
      <w:lang w:eastAsia="en-US"/>
    </w:rPr>
  </w:style>
  <w:style w:type="character" w:customStyle="1" w:styleId="MenuOption">
    <w:name w:val="Menu Option"/>
    <w:basedOn w:val="DefaultParagraphFont"/>
    <w:rsid w:val="00C06C69"/>
    <w:rPr>
      <w:b/>
      <w:smallCaps/>
    </w:rPr>
  </w:style>
  <w:style w:type="paragraph" w:customStyle="1" w:styleId="TableListNumber">
    <w:name w:val="Table List Number"/>
    <w:basedOn w:val="ListNumber"/>
    <w:rsid w:val="00C06C69"/>
    <w:pPr>
      <w:numPr>
        <w:numId w:val="0"/>
      </w:numPr>
    </w:pPr>
  </w:style>
  <w:style w:type="paragraph" w:styleId="TOC4">
    <w:name w:val="toc 4"/>
    <w:basedOn w:val="TOCBase"/>
    <w:next w:val="Normal"/>
    <w:semiHidden/>
    <w:rsid w:val="00C06C69"/>
    <w:pPr>
      <w:tabs>
        <w:tab w:val="right" w:leader="dot" w:pos="9071"/>
      </w:tabs>
      <w:ind w:left="1701"/>
    </w:pPr>
  </w:style>
  <w:style w:type="paragraph" w:customStyle="1" w:styleId="ListAlpha">
    <w:name w:val="List Alpha"/>
    <w:basedOn w:val="List"/>
    <w:rsid w:val="00C06C69"/>
    <w:pPr>
      <w:numPr>
        <w:numId w:val="9"/>
      </w:numPr>
    </w:pPr>
  </w:style>
  <w:style w:type="paragraph" w:customStyle="1" w:styleId="ListAlpha2">
    <w:name w:val="List Alpha 2"/>
    <w:basedOn w:val="List2"/>
    <w:rsid w:val="00C06C69"/>
    <w:pPr>
      <w:numPr>
        <w:numId w:val="8"/>
      </w:numPr>
    </w:pPr>
  </w:style>
  <w:style w:type="paragraph" w:styleId="List2">
    <w:name w:val="List 2"/>
    <w:basedOn w:val="BodyText"/>
    <w:rsid w:val="00C06C69"/>
    <w:pPr>
      <w:tabs>
        <w:tab w:val="left" w:pos="680"/>
      </w:tabs>
      <w:spacing w:before="60" w:after="60"/>
      <w:ind w:left="680" w:hanging="340"/>
    </w:pPr>
  </w:style>
  <w:style w:type="paragraph" w:styleId="List3">
    <w:name w:val="List 3"/>
    <w:basedOn w:val="BodyText"/>
    <w:rsid w:val="00C06C69"/>
    <w:pPr>
      <w:tabs>
        <w:tab w:val="left" w:pos="1021"/>
      </w:tabs>
      <w:spacing w:before="60" w:after="60"/>
      <w:ind w:left="1020" w:hanging="340"/>
    </w:pPr>
  </w:style>
  <w:style w:type="paragraph" w:styleId="List4">
    <w:name w:val="List 4"/>
    <w:basedOn w:val="BodyText"/>
    <w:rsid w:val="00C06C69"/>
    <w:pPr>
      <w:tabs>
        <w:tab w:val="left" w:pos="1361"/>
      </w:tabs>
      <w:spacing w:before="60" w:after="60"/>
      <w:ind w:left="1361" w:hanging="340"/>
    </w:pPr>
  </w:style>
  <w:style w:type="paragraph" w:styleId="List5">
    <w:name w:val="List 5"/>
    <w:basedOn w:val="BodyText"/>
    <w:rsid w:val="00C06C69"/>
    <w:pPr>
      <w:tabs>
        <w:tab w:val="left" w:pos="1701"/>
      </w:tabs>
      <w:spacing w:before="60" w:after="60"/>
      <w:ind w:left="1701" w:hanging="340"/>
    </w:pPr>
  </w:style>
  <w:style w:type="paragraph" w:styleId="ListBullet3">
    <w:name w:val="List Bullet 3"/>
    <w:basedOn w:val="List3"/>
    <w:rsid w:val="00C06C69"/>
    <w:pPr>
      <w:numPr>
        <w:numId w:val="15"/>
      </w:numPr>
      <w:tabs>
        <w:tab w:val="clear" w:pos="1021"/>
      </w:tabs>
      <w:ind w:left="1037" w:hanging="357"/>
    </w:pPr>
  </w:style>
  <w:style w:type="paragraph" w:styleId="ListBullet4">
    <w:name w:val="List Bullet 4"/>
    <w:basedOn w:val="List4"/>
    <w:rsid w:val="00C06C69"/>
    <w:pPr>
      <w:numPr>
        <w:numId w:val="3"/>
      </w:numPr>
    </w:pPr>
  </w:style>
  <w:style w:type="paragraph" w:styleId="ListBullet5">
    <w:name w:val="List Bullet 5"/>
    <w:basedOn w:val="List5"/>
    <w:rsid w:val="00C06C69"/>
    <w:pPr>
      <w:numPr>
        <w:numId w:val="4"/>
      </w:numPr>
    </w:pPr>
  </w:style>
  <w:style w:type="paragraph" w:styleId="ListContinue2">
    <w:name w:val="List Continue 2"/>
    <w:basedOn w:val="List2"/>
    <w:rsid w:val="00C06C69"/>
    <w:pPr>
      <w:ind w:firstLine="0"/>
    </w:pPr>
  </w:style>
  <w:style w:type="paragraph" w:styleId="ListContinue3">
    <w:name w:val="List Continue 3"/>
    <w:basedOn w:val="List3"/>
    <w:rsid w:val="00C06C69"/>
    <w:pPr>
      <w:ind w:left="1021" w:firstLine="0"/>
    </w:pPr>
  </w:style>
  <w:style w:type="paragraph" w:styleId="ListContinue4">
    <w:name w:val="List Continue 4"/>
    <w:basedOn w:val="List4"/>
    <w:rsid w:val="00C06C69"/>
    <w:pPr>
      <w:ind w:firstLine="0"/>
    </w:pPr>
  </w:style>
  <w:style w:type="paragraph" w:styleId="ListContinue5">
    <w:name w:val="List Continue 5"/>
    <w:basedOn w:val="List5"/>
    <w:rsid w:val="00C06C69"/>
    <w:pPr>
      <w:ind w:firstLine="0"/>
    </w:pPr>
  </w:style>
  <w:style w:type="paragraph" w:styleId="ListNumber3">
    <w:name w:val="List Number 3"/>
    <w:basedOn w:val="List3"/>
    <w:rsid w:val="00C06C69"/>
    <w:pPr>
      <w:numPr>
        <w:numId w:val="5"/>
      </w:numPr>
    </w:pPr>
  </w:style>
  <w:style w:type="paragraph" w:styleId="ListNumber4">
    <w:name w:val="List Number 4"/>
    <w:basedOn w:val="List4"/>
    <w:rsid w:val="00C06C69"/>
    <w:pPr>
      <w:numPr>
        <w:numId w:val="6"/>
      </w:numPr>
    </w:pPr>
  </w:style>
  <w:style w:type="paragraph" w:styleId="ListNumber5">
    <w:name w:val="List Number 5"/>
    <w:basedOn w:val="List5"/>
    <w:rsid w:val="00C06C69"/>
    <w:pPr>
      <w:numPr>
        <w:numId w:val="7"/>
      </w:numPr>
    </w:pPr>
  </w:style>
  <w:style w:type="paragraph" w:styleId="BlockText">
    <w:name w:val="Block Text"/>
    <w:basedOn w:val="Normal"/>
    <w:rsid w:val="00C06C69"/>
    <w:pPr>
      <w:spacing w:after="120"/>
      <w:ind w:left="1440" w:right="1440"/>
    </w:pPr>
  </w:style>
  <w:style w:type="character" w:customStyle="1" w:styleId="Subscript">
    <w:name w:val="Subscript"/>
    <w:basedOn w:val="DefaultParagraphFont"/>
    <w:rsid w:val="00C06C69"/>
    <w:rPr>
      <w:sz w:val="16"/>
      <w:vertAlign w:val="subscript"/>
    </w:rPr>
  </w:style>
  <w:style w:type="character" w:customStyle="1" w:styleId="Superscript">
    <w:name w:val="Superscript"/>
    <w:basedOn w:val="DefaultParagraphFont"/>
    <w:rsid w:val="00C06C69"/>
    <w:rPr>
      <w:sz w:val="16"/>
      <w:vertAlign w:val="superscript"/>
    </w:rPr>
  </w:style>
  <w:style w:type="character" w:customStyle="1" w:styleId="Symbols">
    <w:name w:val="Symbols"/>
    <w:basedOn w:val="DefaultParagraphFont"/>
    <w:rsid w:val="00C06C69"/>
    <w:rPr>
      <w:rFonts w:ascii="Symbol" w:hAnsi="Symbol"/>
    </w:rPr>
  </w:style>
  <w:style w:type="character" w:customStyle="1" w:styleId="MenuOptions">
    <w:name w:val="Menu Options"/>
    <w:basedOn w:val="DefaultParagraphFont"/>
    <w:rsid w:val="00C06C69"/>
    <w:rPr>
      <w:rFonts w:ascii="Arial Narrow" w:hAnsi="Arial Narrow"/>
      <w:smallCaps/>
    </w:rPr>
  </w:style>
  <w:style w:type="character" w:customStyle="1" w:styleId="Buttons">
    <w:name w:val="Buttons"/>
    <w:basedOn w:val="DefaultParagraphFont"/>
    <w:rsid w:val="00C06C69"/>
    <w:rPr>
      <w:b/>
    </w:rPr>
  </w:style>
  <w:style w:type="character" w:customStyle="1" w:styleId="Underlined">
    <w:name w:val="Underlined"/>
    <w:basedOn w:val="DefaultParagraphFont"/>
    <w:rsid w:val="00C06C69"/>
    <w:rPr>
      <w:u w:val="single"/>
    </w:rPr>
  </w:style>
  <w:style w:type="paragraph" w:customStyle="1" w:styleId="TableBodyTextRight">
    <w:name w:val="Table Body Text Right"/>
    <w:basedOn w:val="TableBodyText"/>
    <w:rsid w:val="00C06C69"/>
    <w:pPr>
      <w:widowControl w:val="0"/>
      <w:autoSpaceDE w:val="0"/>
      <w:autoSpaceDN w:val="0"/>
      <w:adjustRightInd w:val="0"/>
      <w:jc w:val="right"/>
    </w:pPr>
    <w:rPr>
      <w:rFonts w:cs="Arial"/>
      <w:szCs w:val="18"/>
    </w:rPr>
  </w:style>
  <w:style w:type="paragraph" w:customStyle="1" w:styleId="CopyrightText">
    <w:name w:val="Copyright Text"/>
    <w:basedOn w:val="BodyText"/>
    <w:rsid w:val="00C06C69"/>
    <w:rPr>
      <w:sz w:val="18"/>
    </w:rPr>
  </w:style>
  <w:style w:type="paragraph" w:customStyle="1" w:styleId="BodySmallRight">
    <w:name w:val="Body Small Right"/>
    <w:basedOn w:val="BodyTextRight"/>
    <w:rsid w:val="00C06C69"/>
    <w:rPr>
      <w:sz w:val="18"/>
      <w:szCs w:val="18"/>
    </w:rPr>
  </w:style>
  <w:style w:type="paragraph" w:customStyle="1" w:styleId="MarginEdition">
    <w:name w:val="Margin Edition"/>
    <w:basedOn w:val="MarginNote"/>
    <w:rsid w:val="00C06C69"/>
    <w:pPr>
      <w:spacing w:before="0" w:after="0"/>
    </w:pPr>
    <w:rPr>
      <w:rFonts w:ascii="Times New Roman" w:hAnsi="Times New Roman"/>
      <w:color w:val="999999"/>
    </w:rPr>
  </w:style>
  <w:style w:type="paragraph" w:customStyle="1" w:styleId="Spacer">
    <w:name w:val="Spacer"/>
    <w:basedOn w:val="Normal"/>
    <w:rsid w:val="00C06C69"/>
    <w:rPr>
      <w:sz w:val="2"/>
      <w:szCs w:val="2"/>
    </w:rPr>
  </w:style>
  <w:style w:type="character" w:customStyle="1" w:styleId="Small">
    <w:name w:val="Small"/>
    <w:basedOn w:val="DefaultParagraphFont"/>
    <w:rsid w:val="00C06C69"/>
    <w:rPr>
      <w:sz w:val="16"/>
    </w:rPr>
  </w:style>
  <w:style w:type="paragraph" w:customStyle="1" w:styleId="WideTable">
    <w:name w:val="Wide Table"/>
    <w:basedOn w:val="Normal"/>
    <w:rsid w:val="00C06C69"/>
    <w:pPr>
      <w:ind w:left="-1418"/>
    </w:pPr>
    <w:rPr>
      <w:sz w:val="2"/>
      <w:szCs w:val="2"/>
    </w:rPr>
  </w:style>
  <w:style w:type="character" w:styleId="PageNumber">
    <w:name w:val="page number"/>
    <w:basedOn w:val="DefaultParagraphFont"/>
    <w:rsid w:val="00C06C69"/>
  </w:style>
  <w:style w:type="paragraph" w:styleId="Quote">
    <w:name w:val="Quote"/>
    <w:basedOn w:val="Heading1"/>
    <w:link w:val="QuoteChar"/>
    <w:qFormat/>
    <w:rsid w:val="00C06C69"/>
    <w:rPr>
      <w:b w:val="0"/>
      <w:sz w:val="72"/>
      <w:szCs w:val="72"/>
      <w:lang w:val="en-NZ"/>
    </w:rPr>
  </w:style>
  <w:style w:type="character" w:customStyle="1" w:styleId="QuoteChar">
    <w:name w:val="Quote Char"/>
    <w:basedOn w:val="DefaultParagraphFont"/>
    <w:link w:val="Quote"/>
    <w:rsid w:val="00C06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C69"/>
    <w:pPr>
      <w:pageBreakBefore/>
    </w:pPr>
  </w:style>
  <w:style w:type="paragraph" w:customStyle="1" w:styleId="Border">
    <w:name w:val="Border"/>
    <w:basedOn w:val="Normal"/>
    <w:qFormat/>
    <w:rsid w:val="00C06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C69"/>
    <w:rPr>
      <w:b/>
      <w:bCs/>
      <w:i/>
      <w:iCs/>
      <w:color w:val="auto"/>
    </w:rPr>
  </w:style>
  <w:style w:type="paragraph" w:styleId="IntenseQuote">
    <w:name w:val="Intense Quote"/>
    <w:basedOn w:val="Normal"/>
    <w:next w:val="Normal"/>
    <w:link w:val="IntenseQuoteChar"/>
    <w:uiPriority w:val="30"/>
    <w:qFormat/>
    <w:rsid w:val="00C06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C69"/>
    <w:rPr>
      <w:smallCaps/>
      <w:color w:val="auto"/>
      <w:u w:val="single"/>
    </w:rPr>
  </w:style>
  <w:style w:type="character" w:styleId="IntenseReference">
    <w:name w:val="Intense Reference"/>
    <w:basedOn w:val="DefaultParagraphFont"/>
    <w:uiPriority w:val="32"/>
    <w:qFormat/>
    <w:rsid w:val="00C06C69"/>
    <w:rPr>
      <w:b/>
      <w:bCs/>
      <w:smallCaps/>
      <w:color w:val="auto"/>
      <w:spacing w:val="5"/>
      <w:u w:val="single"/>
    </w:rPr>
  </w:style>
  <w:style w:type="paragraph" w:customStyle="1" w:styleId="2ColumnHeading">
    <w:name w:val="2Column Heading"/>
    <w:basedOn w:val="BodyText"/>
    <w:qFormat/>
    <w:rsid w:val="00C06C69"/>
    <w:pPr>
      <w:spacing w:after="60"/>
      <w:ind w:left="-2268"/>
    </w:pPr>
    <w:rPr>
      <w:b/>
    </w:rPr>
  </w:style>
  <w:style w:type="paragraph" w:customStyle="1" w:styleId="Heading1TOC">
    <w:name w:val="Heading1 TOC"/>
    <w:basedOn w:val="Normal"/>
    <w:qFormat/>
    <w:rsid w:val="00C06C69"/>
    <w:pPr>
      <w:spacing w:before="240" w:after="120"/>
    </w:pPr>
    <w:rPr>
      <w:rFonts w:ascii="Times New Roman" w:hAnsi="Times New Roman"/>
      <w:b/>
      <w:sz w:val="32"/>
    </w:rPr>
  </w:style>
  <w:style w:type="paragraph" w:customStyle="1" w:styleId="Heading2TOC">
    <w:name w:val="Heading2 TOC"/>
    <w:basedOn w:val="Normal"/>
    <w:qFormat/>
    <w:rsid w:val="00C06C69"/>
    <w:pPr>
      <w:spacing w:before="240" w:after="60"/>
    </w:pPr>
    <w:rPr>
      <w:rFonts w:ascii="Times New Roman" w:hAnsi="Times New Roman"/>
      <w:b/>
      <w:sz w:val="28"/>
    </w:rPr>
  </w:style>
  <w:style w:type="character" w:customStyle="1" w:styleId="Underline">
    <w:name w:val="Underline"/>
    <w:basedOn w:val="DefaultParagraphFont"/>
    <w:qFormat/>
    <w:rsid w:val="00C06C69"/>
    <w:rPr>
      <w:u w:val="single"/>
    </w:rPr>
  </w:style>
  <w:style w:type="character" w:customStyle="1" w:styleId="BoldandItalics">
    <w:name w:val="Bold and Italics"/>
    <w:qFormat/>
    <w:rsid w:val="00C06C69"/>
    <w:rPr>
      <w:b/>
      <w:i/>
      <w:u w:val="none"/>
    </w:rPr>
  </w:style>
  <w:style w:type="paragraph" w:styleId="BalloonText">
    <w:name w:val="Balloon Text"/>
    <w:basedOn w:val="Normal"/>
    <w:link w:val="BalloonTextChar"/>
    <w:rsid w:val="00C06C69"/>
    <w:rPr>
      <w:rFonts w:ascii="Tahoma" w:hAnsi="Tahoma" w:cs="Tahoma"/>
      <w:sz w:val="16"/>
      <w:szCs w:val="16"/>
    </w:rPr>
  </w:style>
  <w:style w:type="character" w:customStyle="1" w:styleId="BalloonTextChar">
    <w:name w:val="Balloon Text Char"/>
    <w:basedOn w:val="DefaultParagraphFont"/>
    <w:link w:val="BalloonText"/>
    <w:rsid w:val="00C06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C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6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C69"/>
    <w:rPr>
      <w:b/>
      <w:color w:val="660033"/>
      <w:spacing w:val="0"/>
    </w:rPr>
  </w:style>
  <w:style w:type="paragraph" w:customStyle="1" w:styleId="Nameditemlist">
    <w:name w:val="Named item list"/>
    <w:basedOn w:val="BodyText"/>
    <w:qFormat/>
    <w:rsid w:val="00C06C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2264</Words>
  <Characters>13616</Characters>
  <Application>Microsoft Office Word</Application>
  <DocSecurity>0</DocSecurity>
  <Lines>572</Lines>
  <Paragraphs>260</Paragraphs>
  <ScaleCrop>false</ScaleCrop>
  <Company>Author-it Software Corporation Ltd.</Company>
  <LinksUpToDate>false</LinksUpToDate>
  <CharactersWithSpaces>15674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UEPMNT447A Diagnose and repair faults in wind turbine generator electrical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2013-03-14T22:03:00Z</dcterms:created>
  <dcterms:modified xsi:type="dcterms:W3CDTF">2013-03-14T22:04:00Z</dcterms:modified>
</cp:coreProperties>
</file>