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628" w:rsidP="00F04628">
      <w:pPr>
        <w:pStyle w:val="Title"/>
      </w:pPr>
      <w:bookmarkStart w:id="0" w:name="_GoBack"/>
      <w:bookmarkEnd w:id="0"/>
      <w:r>
        <w:fldChar w:fldCharType="begin"/>
      </w:r>
      <w:r>
        <w:instrText xml:space="preserve"> TITLE   \* MERGEFORMAT </w:instrText>
      </w:r>
      <w:r>
        <w:fldChar w:fldCharType="separate"/>
      </w:r>
      <w:r>
        <w:t>UEPMNT445A Diagnose and repair faults in large scale wind turbine generators</w:t>
      </w:r>
      <w:r>
        <w:fldChar w:fldCharType="end"/>
      </w:r>
    </w:p>
    <w:p w:rsidR="00F04628" w:rsidP="00F04628">
      <w:pPr>
        <w:pStyle w:val="Version"/>
        <w:sectPr w:rsidSect="00566E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E3C" w:rsidP="00566E3C">
      <w:pPr>
        <w:pStyle w:val="SuperHeading"/>
      </w:pPr>
      <w:r w:rsidRPr="00566E3C">
        <w:t>UEPMNT445A Diagnose and repair faults in large scale wind turbine generators</w:t>
      </w:r>
    </w:p>
    <w:p w:rsidR="00000000" w:rsidRPr="00566E3C" w:rsidP="00566E3C">
      <w:pPr>
        <w:pStyle w:val="Heading1"/>
      </w:pPr>
      <w:bookmarkStart w:id="1" w:name="O_491004"/>
      <w:bookmarkEnd w:id="1"/>
      <w:r w:rsidRPr="00566E3C">
        <w:t>Modification History</w:t>
      </w:r>
    </w:p>
    <w:p w:rsidR="00000000" w:rsidRPr="00566E3C" w:rsidP="00566E3C">
      <w:pPr>
        <w:pStyle w:val="BodyText"/>
      </w:pPr>
      <w:r w:rsidRPr="00566E3C">
        <w:t>Not applicable.</w:t>
      </w:r>
    </w:p>
    <w:p w:rsidR="00000000" w:rsidRPr="00566E3C" w:rsidP="00566E3C">
      <w:pPr>
        <w:pStyle w:val="AllowPageBreak"/>
      </w:pPr>
    </w:p>
    <w:p w:rsidR="00000000" w:rsidRPr="00566E3C" w:rsidP="00566E3C">
      <w:pPr>
        <w:pStyle w:val="Heading1"/>
      </w:pPr>
      <w:bookmarkStart w:id="2" w:name="O_491002"/>
      <w:bookmarkEnd w:id="2"/>
      <w:r w:rsidRPr="00566E3C">
        <w:t>Unit Descriptor</w:t>
      </w:r>
    </w:p>
    <w:tbl>
      <w:tblPr>
        <w:tblW w:w="0" w:type="auto"/>
        <w:tblLayout w:type="fixed"/>
        <w:tblCellMar>
          <w:left w:w="62" w:type="dxa"/>
          <w:right w:w="62" w:type="dxa"/>
        </w:tblCellMar>
        <w:tblLook w:val="0000"/>
      </w:tblPr>
      <w:tblGrid>
        <w:gridCol w:w="2700"/>
        <w:gridCol w:w="5760"/>
      </w:tblGrid>
      <w:tr w:rsidTr="00F046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1)</w:t>
            </w:r>
            <w:r w:rsidRPr="00566E3C">
              <w:t xml:space="preserve"> </w:t>
            </w:r>
            <w:r w:rsidRPr="00566E3C">
              <w:rPr>
                <w:rStyle w:val="SpecialBold"/>
              </w:rPr>
              <w:t>Scope:</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66E3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1.1) Descriptor</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t>This unit deals with the skills and knowledge required to diagnose and repair faults in large scale wind turbine generator (WTG) systems.</w:t>
            </w:r>
          </w:p>
        </w:tc>
      </w:tr>
    </w:tbl>
    <w:p w:rsidR="00000000" w:rsidRPr="00566E3C" w:rsidP="00566E3C">
      <w:pPr>
        <w:pStyle w:val="BodyText"/>
      </w:pPr>
    </w:p>
    <w:p w:rsidR="00000000" w:rsidRPr="00566E3C" w:rsidP="00566E3C">
      <w:pPr>
        <w:pStyle w:val="AllowPageBreak"/>
      </w:pPr>
    </w:p>
    <w:p w:rsidR="00000000" w:rsidRPr="00566E3C" w:rsidP="00566E3C">
      <w:pPr>
        <w:pStyle w:val="Heading1"/>
      </w:pPr>
      <w:bookmarkStart w:id="3" w:name="O_490991"/>
      <w:bookmarkEnd w:id="3"/>
      <w:r w:rsidRPr="00566E3C">
        <w:t>Application of the Unit</w:t>
      </w:r>
    </w:p>
    <w:tbl>
      <w:tblPr>
        <w:tblW w:w="0" w:type="auto"/>
        <w:tblLayout w:type="fixed"/>
        <w:tblCellMar>
          <w:left w:w="62" w:type="dxa"/>
          <w:right w:w="62" w:type="dxa"/>
        </w:tblCellMar>
        <w:tblLook w:val="0000"/>
      </w:tblPr>
      <w:tblGrid>
        <w:gridCol w:w="2672"/>
        <w:gridCol w:w="5699"/>
      </w:tblGrid>
      <w:tr w:rsidTr="00F046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2)</w:t>
            </w:r>
          </w:p>
        </w:tc>
      </w:tr>
      <w:tr w:rsidTr="00F046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t>This unit is intended to augment formally acquired competencies. It is suitable for employment-based programs under an approved contract of training.</w:t>
            </w:r>
          </w:p>
        </w:tc>
      </w:tr>
    </w:tbl>
    <w:p w:rsidR="00000000" w:rsidRPr="00566E3C" w:rsidP="00566E3C">
      <w:pPr>
        <w:pStyle w:val="BodyText"/>
      </w:pPr>
    </w:p>
    <w:p w:rsidR="00000000" w:rsidRPr="00566E3C" w:rsidP="00566E3C">
      <w:pPr>
        <w:pStyle w:val="AllowPageBreak"/>
      </w:pPr>
    </w:p>
    <w:p w:rsidR="00000000" w:rsidRPr="00566E3C" w:rsidP="00566E3C">
      <w:pPr>
        <w:pStyle w:val="Heading1"/>
      </w:pPr>
      <w:bookmarkStart w:id="4" w:name="O_490998"/>
      <w:bookmarkEnd w:id="4"/>
      <w:r w:rsidRPr="00566E3C">
        <w:t>Licensing/Regulatory Information</w:t>
      </w:r>
    </w:p>
    <w:tbl>
      <w:tblPr>
        <w:tblW w:w="0" w:type="auto"/>
        <w:tblLayout w:type="fixed"/>
        <w:tblCellMar>
          <w:left w:w="62" w:type="dxa"/>
          <w:right w:w="62" w:type="dxa"/>
        </w:tblCellMar>
        <w:tblLook w:val="0000"/>
      </w:tblPr>
      <w:tblGrid>
        <w:gridCol w:w="2700"/>
        <w:gridCol w:w="5760"/>
      </w:tblGrid>
      <w:tr w:rsidTr="00F046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 xml:space="preserve">3) </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t>The skills and knowledge des</w:t>
            </w:r>
            <w:r w:rsidRPr="00566E3C">
              <w:t xml:space="preserve">cribed in this unit may require an electrical licence to practise in the workplace. </w:t>
            </w:r>
          </w:p>
          <w:p w:rsidR="00000000" w:rsidRPr="00566E3C" w:rsidP="00566E3C">
            <w:pPr>
              <w:pStyle w:val="BodyText"/>
            </w:pPr>
            <w:r w:rsidRPr="00566E3C">
              <w:t>Practice in this unit is subject to regulations directly related to Occupational Health and Safety and where applicable contracts of training such as apprenticeships and the like.</w:t>
            </w:r>
          </w:p>
        </w:tc>
      </w:tr>
    </w:tbl>
    <w:p w:rsidR="00000000" w:rsidRPr="00566E3C" w:rsidP="00566E3C">
      <w:pPr>
        <w:pStyle w:val="BodyText"/>
      </w:pPr>
    </w:p>
    <w:p w:rsidR="00000000" w:rsidRPr="00566E3C" w:rsidP="00566E3C">
      <w:pPr>
        <w:pStyle w:val="AllowPageBreak"/>
      </w:pPr>
    </w:p>
    <w:p w:rsidR="00000000" w:rsidRPr="00566E3C" w:rsidP="00566E3C">
      <w:pPr>
        <w:pStyle w:val="Heading1"/>
      </w:pPr>
      <w:bookmarkStart w:id="5" w:name="O_490999"/>
      <w:bookmarkEnd w:id="5"/>
      <w:r w:rsidRPr="00566E3C">
        <w:t>Pre-Requisites</w:t>
      </w:r>
    </w:p>
    <w:tbl>
      <w:tblPr>
        <w:tblW w:w="0" w:type="auto"/>
        <w:tblLayout w:type="fixed"/>
        <w:tblCellMar>
          <w:left w:w="62" w:type="dxa"/>
          <w:right w:w="62" w:type="dxa"/>
        </w:tblCellMar>
        <w:tblLook w:val="0000"/>
      </w:tblPr>
      <w:tblGrid>
        <w:gridCol w:w="2700"/>
        <w:gridCol w:w="2068"/>
        <w:gridCol w:w="3696"/>
      </w:tblGrid>
      <w:tr w:rsidTr="00F046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 xml:space="preserve">4) </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4.</w:t>
            </w:r>
            <w:r w:rsidRPr="00566E3C">
              <w:rPr>
                <w:rStyle w:val="SpecialBold"/>
              </w:rPr>
              <w:t>1)</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t>Granting of competency in this unit shall be made only after competency in the following unit(s) has/have been confirmed.</w:t>
            </w:r>
          </w:p>
          <w:p w:rsidR="00000000" w:rsidRPr="00566E3C" w:rsidP="00566E3C">
            <w:pPr>
              <w:pStyle w:val="BodyText"/>
            </w:pPr>
            <w:r w:rsidRPr="00566E3C">
              <w:t>Where pre-requisite pathways have been identified. All competencies in the Common Unit Group must have been completed.</w:t>
            </w:r>
          </w:p>
          <w:p w:rsidR="00000000" w:rsidP="00566E3C">
            <w:pPr>
              <w:pStyle w:val="BodyText"/>
              <w:rPr>
                <w:lang w:val="en-NZ"/>
              </w:rPr>
            </w:pPr>
            <w:r w:rsidRPr="00566E3C">
              <w:t>Common Unit Group</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Unit Code</w:t>
            </w:r>
            <w:r w:rsidRPr="00566E3C">
              <w:tab/>
            </w:r>
          </w:p>
        </w:tc>
        <w:tc>
          <w:tcPr>
            <w:tcW w:w="3696"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Unit Title</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UEPMNT371A</w:t>
            </w:r>
          </w:p>
        </w:tc>
        <w:tc>
          <w:tcPr>
            <w:tcW w:w="3696"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Maintain large scale wind turbines generators</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UEENEEG108A</w:t>
            </w:r>
          </w:p>
        </w:tc>
        <w:tc>
          <w:tcPr>
            <w:tcW w:w="3696"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Trouble-shoot and repair faults in low voltage electrical apparatus and circuits</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UEENEEE101A</w:t>
            </w:r>
          </w:p>
        </w:tc>
        <w:tc>
          <w:tcPr>
            <w:tcW w:w="3696"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 xml:space="preserve">Apply Occupational Health Safety regulations, codes and practices in the workplace </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UEENEEE102A</w:t>
            </w:r>
          </w:p>
        </w:tc>
        <w:tc>
          <w:tcPr>
            <w:tcW w:w="3696"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Fabricate, dismantle, assemble of utilities industry components</w:t>
            </w:r>
          </w:p>
        </w:tc>
      </w:tr>
      <w:tr w:rsidTr="00F04628">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UEENEEE104A</w:t>
            </w:r>
          </w:p>
        </w:tc>
        <w:tc>
          <w:tcPr>
            <w:tcW w:w="3696"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Solve problems in d.c. circuits</w:t>
            </w:r>
          </w:p>
        </w:tc>
      </w:tr>
      <w:tr w:rsidTr="00F04628">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UEENEEE105A</w:t>
            </w:r>
          </w:p>
        </w:tc>
        <w:tc>
          <w:tcPr>
            <w:tcW w:w="3696"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Fix and secure electrotechnology equipment</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UEENEEE107A</w:t>
            </w:r>
          </w:p>
        </w:tc>
        <w:tc>
          <w:tcPr>
            <w:tcW w:w="3696"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Use drawings, diagrams, schedules, standards, codes and specifications</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UEENEEG006A</w:t>
            </w:r>
          </w:p>
        </w:tc>
        <w:tc>
          <w:tcPr>
            <w:tcW w:w="3696"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Solve problems in single and three phase low voltage machines</w:t>
            </w:r>
          </w:p>
        </w:tc>
      </w:tr>
      <w:tr w:rsidTr="00F04628">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UEENEEG033A</w:t>
            </w:r>
          </w:p>
        </w:tc>
        <w:tc>
          <w:tcPr>
            <w:tcW w:w="3696"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Solve problems in single and three phase low voltage electrical apparatus and circuits</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UEENEEG063A</w:t>
            </w:r>
          </w:p>
        </w:tc>
        <w:tc>
          <w:tcPr>
            <w:tcW w:w="3696"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Arrange circuits, control and protection for general electrical installations</w:t>
            </w:r>
          </w:p>
        </w:tc>
      </w:tr>
      <w:tr w:rsidTr="00F04628">
        <w:tblPrEx>
          <w:tblW w:w="0" w:type="auto"/>
          <w:tblLayout w:type="fixed"/>
          <w:tblCellMar>
            <w:left w:w="62" w:type="dxa"/>
            <w:right w:w="62" w:type="dxa"/>
          </w:tblCellMar>
          <w:tblLook w:val="0000"/>
        </w:tblPrEx>
        <w:trPr>
          <w:trHeight w:val="64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UEENEEG101A</w:t>
            </w:r>
          </w:p>
        </w:tc>
        <w:tc>
          <w:tcPr>
            <w:tcW w:w="3696"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Solve problems in electromagnetic devices and related circuits</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UEENEEG102A</w:t>
            </w:r>
          </w:p>
        </w:tc>
        <w:tc>
          <w:tcPr>
            <w:tcW w:w="3696"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Solve problems in low voltage a.c. circuits</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UEENEEG106A</w:t>
            </w:r>
          </w:p>
        </w:tc>
        <w:tc>
          <w:tcPr>
            <w:tcW w:w="3696"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t>Terminate cables, cords and accessories for low voltage circuits</w:t>
            </w:r>
          </w:p>
        </w:tc>
      </w:tr>
    </w:tbl>
    <w:p w:rsidR="00000000" w:rsidRPr="00566E3C" w:rsidP="00566E3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0462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 xml:space="preserve">4.2) </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Participants are best equipped to achieve this unit if they have reading, writing and numeracy skills indicated by the following levels. A description of what each level entails is provided in Section 2.3.1 Language, Literacy and Numeracy.</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Reading</w:t>
            </w:r>
          </w:p>
        </w:tc>
        <w:tc>
          <w:tcPr>
            <w:tcW w:w="81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4</w:t>
            </w:r>
          </w:p>
        </w:tc>
        <w:tc>
          <w:tcPr>
            <w:tcW w:w="99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Writing</w:t>
            </w:r>
          </w:p>
        </w:tc>
        <w:tc>
          <w:tcPr>
            <w:tcW w:w="90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4</w:t>
            </w:r>
          </w:p>
        </w:tc>
        <w:tc>
          <w:tcPr>
            <w:tcW w:w="126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Numeracy</w:t>
            </w:r>
          </w:p>
        </w:tc>
        <w:tc>
          <w:tcPr>
            <w:tcW w:w="72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t>4</w:t>
            </w:r>
          </w:p>
        </w:tc>
      </w:tr>
    </w:tbl>
    <w:p w:rsidR="00000000" w:rsidRPr="00566E3C" w:rsidP="00566E3C">
      <w:pPr>
        <w:pStyle w:val="BodyText"/>
      </w:pPr>
    </w:p>
    <w:p w:rsidR="00000000" w:rsidRPr="00566E3C" w:rsidP="00566E3C">
      <w:pPr>
        <w:pStyle w:val="AllowPageBreak"/>
      </w:pPr>
    </w:p>
    <w:p w:rsidR="00000000" w:rsidRPr="00566E3C" w:rsidP="00566E3C">
      <w:pPr>
        <w:pStyle w:val="Heading1"/>
      </w:pPr>
      <w:bookmarkStart w:id="6" w:name="O_490995"/>
      <w:bookmarkEnd w:id="6"/>
      <w:r w:rsidRPr="00566E3C">
        <w:t>Employability Skills Information</w:t>
      </w:r>
    </w:p>
    <w:tbl>
      <w:tblPr>
        <w:tblW w:w="0" w:type="auto"/>
        <w:tblLayout w:type="fixed"/>
        <w:tblCellMar>
          <w:left w:w="62" w:type="dxa"/>
          <w:right w:w="62" w:type="dxa"/>
        </w:tblCellMar>
        <w:tblLook w:val="0000"/>
      </w:tblPr>
      <w:tblGrid>
        <w:gridCol w:w="2700"/>
        <w:gridCol w:w="5760"/>
      </w:tblGrid>
      <w:tr w:rsidTr="00F046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 xml:space="preserve">5) </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t>This unit contains Employability Skills.</w:t>
            </w:r>
          </w:p>
          <w:p w:rsidR="00000000" w:rsidRPr="00566E3C" w:rsidP="00566E3C">
            <w:pPr>
              <w:pStyle w:val="BodyText"/>
            </w:pPr>
            <w:r w:rsidRPr="00566E3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66E3C">
              <w:t>requirements.</w:t>
            </w:r>
          </w:p>
        </w:tc>
      </w:tr>
    </w:tbl>
    <w:p w:rsidR="00000000" w:rsidRPr="00566E3C" w:rsidP="00566E3C">
      <w:pPr>
        <w:pStyle w:val="BodyText"/>
      </w:pPr>
    </w:p>
    <w:p w:rsidR="00000000" w:rsidRPr="00566E3C" w:rsidP="00566E3C">
      <w:pPr>
        <w:pStyle w:val="AllowPageBreak"/>
      </w:pPr>
    </w:p>
    <w:p w:rsidR="00000000" w:rsidRPr="00566E3C" w:rsidP="00566E3C">
      <w:pPr>
        <w:pStyle w:val="Heading1"/>
      </w:pPr>
      <w:bookmarkStart w:id="7" w:name="O_490994"/>
      <w:bookmarkEnd w:id="7"/>
      <w:r w:rsidRPr="00566E3C">
        <w:t>Elements and Performance Criteria Pre-Content</w:t>
      </w:r>
    </w:p>
    <w:tbl>
      <w:tblPr>
        <w:tblW w:w="0" w:type="auto"/>
        <w:tblLayout w:type="fixed"/>
        <w:tblCellMar>
          <w:left w:w="62" w:type="dxa"/>
          <w:right w:w="62" w:type="dxa"/>
        </w:tblCellMar>
        <w:tblLook w:val="0000"/>
      </w:tblPr>
      <w:tblGrid>
        <w:gridCol w:w="2700"/>
        <w:gridCol w:w="5760"/>
      </w:tblGrid>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6)</w:t>
            </w:r>
            <w:r w:rsidRPr="00566E3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t>Performanc</w:t>
            </w:r>
            <w:r w:rsidRPr="00566E3C">
              <w:t>e Criteria describe the required performance needed to demonstrate achievement of the element. Assessment of performance is to be consistent with the Evidence Guide.</w:t>
            </w:r>
          </w:p>
        </w:tc>
      </w:tr>
    </w:tbl>
    <w:p w:rsidR="00000000" w:rsidRPr="00566E3C" w:rsidP="00566E3C">
      <w:pPr>
        <w:pStyle w:val="BodyText"/>
      </w:pPr>
    </w:p>
    <w:p w:rsidR="00000000" w:rsidRPr="00566E3C" w:rsidP="00566E3C">
      <w:pPr>
        <w:pStyle w:val="AllowPageBreak"/>
      </w:pPr>
    </w:p>
    <w:p w:rsidR="00000000" w:rsidRPr="00566E3C" w:rsidP="00566E3C">
      <w:pPr>
        <w:pStyle w:val="Heading1"/>
      </w:pPr>
      <w:bookmarkStart w:id="8" w:name="O_490993"/>
      <w:bookmarkEnd w:id="8"/>
      <w:r w:rsidRPr="00566E3C">
        <w:t>Elements and Performance Criteria</w:t>
      </w:r>
    </w:p>
    <w:tbl>
      <w:tblPr>
        <w:tblW w:w="0" w:type="auto"/>
        <w:tblLayout w:type="fixed"/>
        <w:tblCellMar>
          <w:left w:w="62" w:type="dxa"/>
          <w:right w:w="62" w:type="dxa"/>
        </w:tblCellMar>
        <w:tblLook w:val="0000"/>
      </w:tblPr>
      <w:tblGrid>
        <w:gridCol w:w="342"/>
        <w:gridCol w:w="2358"/>
        <w:gridCol w:w="838"/>
        <w:gridCol w:w="4922"/>
      </w:tblGrid>
      <w:tr w:rsidTr="00F0462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PERFORMANCE CRITERIA</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1</w:t>
            </w:r>
          </w:p>
        </w:tc>
        <w:tc>
          <w:tcPr>
            <w:tcW w:w="235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Gather data</w:t>
            </w: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1.1</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Data logging information and error codes are accessed</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1.2</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Sensory data on fault or problem (auditory, visual, smell, touch) are gathered</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1.3</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Relevant hard copy or online documentation are accessed to support fault finding process</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1.4</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Built-in fault indicators and error codes are, where appropriate, examined and correctly interpreted</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1.5</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Reference to circuit diagrams, specifications, schematics and/or consultation with technical advise are used to determine circuit/system functio</w:t>
            </w:r>
            <w:r w:rsidRPr="00566E3C">
              <w:t>n and characteristics</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2</w:t>
            </w:r>
          </w:p>
        </w:tc>
        <w:tc>
          <w:tcPr>
            <w:tcW w:w="235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Interpret data to establish hypothesis in regards to fault</w:t>
            </w: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2.1</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Knowledge of WTG and performance parameters is applied to interpretation of fault data</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2.2</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Faults are verified or localised using correct and appropriate techniques,</w:t>
            </w:r>
            <w:r w:rsidRPr="00566E3C">
              <w:t xml:space="preserve"> procedures, tools and test equipment.</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2.3</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Priorities are set for testing / replacement of specific components, wiring, and connections in the WTG</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3</w:t>
            </w:r>
          </w:p>
        </w:tc>
        <w:tc>
          <w:tcPr>
            <w:tcW w:w="235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Repair fault</w:t>
            </w: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3.1</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Risk analysis of the job is undertaken, and communicated among the work team.</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3.2</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Safety precautions such as circuit isolations, physical barriers, and other protective devices or systems are used, where appropriate, to ensure safety</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3.3</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Tests are conducted to ensure fault has been correctly repaired or isolated</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3.4</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 xml:space="preserve">Faulty components that have been removed from service are examined, where possible and cause of problem is identified </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3.5</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Loose connections or wiring are repaired</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3.6</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Parts likely to be cause of fault are removed and replaced with tested and operati</w:t>
            </w:r>
            <w:r w:rsidRPr="00566E3C">
              <w:t>onal parts</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3.7</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System is tested to ensure correct operation</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3.8</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Fault finding process and work with technical adviser are effectively escalated to repair complex fault if required</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4</w:t>
            </w:r>
          </w:p>
        </w:tc>
        <w:tc>
          <w:tcPr>
            <w:tcW w:w="235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Record fault</w:t>
            </w: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4.1</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Faulty components and parts are correctly tagged, identified and stored or shipped as per enterprise requirements</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4.2</w:t>
            </w:r>
          </w:p>
        </w:tc>
        <w:tc>
          <w:tcPr>
            <w:tcW w:w="4922"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Faults are recorded to standard operating procedures.</w:t>
            </w:r>
          </w:p>
        </w:tc>
      </w:tr>
      <w:tr w:rsidTr="00F0462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4.3</w:t>
            </w:r>
          </w:p>
        </w:tc>
        <w:tc>
          <w:tcPr>
            <w:tcW w:w="4922"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t>Cause of complex fault and process of repair is discussed with the team an</w:t>
            </w:r>
            <w:r w:rsidRPr="00566E3C">
              <w:t>d other personnel using an appropriate forum.</w:t>
            </w:r>
          </w:p>
        </w:tc>
      </w:tr>
    </w:tbl>
    <w:p w:rsidR="00000000" w:rsidRPr="00566E3C" w:rsidP="00566E3C">
      <w:pPr>
        <w:pStyle w:val="BodyText"/>
      </w:pPr>
    </w:p>
    <w:p w:rsidR="00000000" w:rsidRPr="00566E3C" w:rsidP="00566E3C">
      <w:pPr>
        <w:pStyle w:val="AllowPageBreak"/>
      </w:pPr>
    </w:p>
    <w:p w:rsidR="00000000" w:rsidRPr="00566E3C" w:rsidP="00566E3C">
      <w:pPr>
        <w:pStyle w:val="Heading1"/>
      </w:pPr>
      <w:bookmarkStart w:id="9" w:name="O_491001"/>
      <w:bookmarkEnd w:id="9"/>
      <w:r w:rsidRPr="00566E3C">
        <w:t>Required Skills and Knowledge</w:t>
      </w:r>
    </w:p>
    <w:tbl>
      <w:tblPr>
        <w:tblW w:w="0" w:type="auto"/>
        <w:tblLayout w:type="fixed"/>
        <w:tblCellMar>
          <w:left w:w="62" w:type="dxa"/>
          <w:right w:w="62" w:type="dxa"/>
        </w:tblCellMar>
        <w:tblLook w:val="0000"/>
      </w:tblPr>
      <w:tblGrid>
        <w:gridCol w:w="1800"/>
        <w:gridCol w:w="6660"/>
      </w:tblGrid>
      <w:tr w:rsidTr="00F0462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REQUIRED SKILLS AND KNOWLEDGE</w:t>
            </w:r>
          </w:p>
        </w:tc>
      </w:tr>
      <w:tr w:rsidTr="00F04628">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rPr>
                <w:rStyle w:val="SpecialBold"/>
              </w:rPr>
              <w:t>8)</w:t>
            </w:r>
            <w:r w:rsidRPr="00566E3C">
              <w:t xml:space="preserve"> This describes the essential skills and knowledge and their level, required for this unit.</w:t>
            </w:r>
          </w:p>
          <w:p w:rsidR="00000000" w:rsidP="00566E3C">
            <w:pPr>
              <w:pStyle w:val="BodyText"/>
              <w:rPr>
                <w:lang w:val="en-NZ"/>
              </w:rPr>
            </w:pPr>
            <w:r w:rsidRPr="00566E3C">
              <w:t>All knowledge and skills detailed in this unit should be contextualised to current industry practices and technologies.</w:t>
            </w:r>
          </w:p>
        </w:tc>
      </w:tr>
      <w:tr w:rsidTr="00F04628">
        <w:tblPrEx>
          <w:tblW w:w="0" w:type="auto"/>
          <w:tblLayout w:type="fixed"/>
          <w:tblCellMar>
            <w:left w:w="62" w:type="dxa"/>
            <w:right w:w="62" w:type="dxa"/>
          </w:tblCellMar>
          <w:tblLook w:val="0000"/>
        </w:tblPrEx>
        <w:trPr>
          <w:trHeight w:val="226"/>
        </w:trPr>
        <w:tc>
          <w:tcPr>
            <w:tcW w:w="180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KS01-PM445A</w:t>
            </w:r>
          </w:p>
        </w:tc>
        <w:tc>
          <w:tcPr>
            <w:tcW w:w="666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Maintain Large Scale Wind Turbine Generators (WTGs)</w:t>
            </w:r>
          </w:p>
        </w:tc>
      </w:tr>
      <w:tr w:rsidTr="00F04628">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Evidence shall show that knowledge has been acquired of diagnosing an</w:t>
            </w:r>
            <w:r w:rsidRPr="00566E3C">
              <w:t>d repairing large scale wind turbine generators (WTGs) to the extent indicated by the following aspects:</w:t>
            </w:r>
          </w:p>
        </w:tc>
      </w:tr>
      <w:tr w:rsidTr="00F0462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t>T1.</w:t>
            </w:r>
            <w:r w:rsidRPr="00566E3C">
              <w:tab/>
              <w:t>Enterprise WTG control rules and procedures</w:t>
            </w:r>
          </w:p>
          <w:p w:rsidR="00000000" w:rsidRPr="00566E3C" w:rsidP="00566E3C">
            <w:pPr>
              <w:pStyle w:val="BodyText"/>
            </w:pPr>
            <w:r w:rsidRPr="00566E3C">
              <w:t>T2.</w:t>
            </w:r>
            <w:r w:rsidRPr="00566E3C">
              <w:tab/>
              <w:t>Enterprise requirements of WTG testing and function</w:t>
            </w:r>
          </w:p>
          <w:p w:rsidR="00000000" w:rsidRPr="00566E3C" w:rsidP="00566E3C">
            <w:pPr>
              <w:pStyle w:val="ListBullet2"/>
            </w:pPr>
            <w:r w:rsidRPr="00566E3C">
              <w:t>Communication protocols when problem solving</w:t>
            </w:r>
          </w:p>
          <w:p w:rsidR="00000000" w:rsidRPr="00566E3C" w:rsidP="00566E3C">
            <w:pPr>
              <w:pStyle w:val="ListBullet2"/>
            </w:pPr>
            <w:r w:rsidRPr="00566E3C">
              <w:t>Reading and interpreting enterprise datalogs</w:t>
            </w:r>
          </w:p>
          <w:p w:rsidR="00000000" w:rsidRPr="00566E3C" w:rsidP="00566E3C">
            <w:pPr>
              <w:pStyle w:val="ListBullet2"/>
            </w:pPr>
            <w:r w:rsidRPr="00566E3C">
              <w:t>Escalation procedures</w:t>
            </w:r>
          </w:p>
          <w:p w:rsidR="00000000" w:rsidRPr="00566E3C" w:rsidP="00566E3C">
            <w:pPr>
              <w:pStyle w:val="BodyText"/>
            </w:pPr>
            <w:r w:rsidRPr="00566E3C">
              <w:t>T3.</w:t>
            </w:r>
            <w:r w:rsidRPr="00566E3C">
              <w:tab/>
              <w:t>Key WTG function metrics</w:t>
            </w:r>
          </w:p>
          <w:p w:rsidR="00000000" w:rsidRPr="00566E3C" w:rsidP="00566E3C">
            <w:pPr>
              <w:pStyle w:val="BodyText"/>
            </w:pPr>
            <w:r w:rsidRPr="00566E3C">
              <w:t>T4.</w:t>
            </w:r>
            <w:r w:rsidRPr="00566E3C">
              <w:tab/>
              <w:t>Data security techniques and protocols</w:t>
            </w:r>
          </w:p>
          <w:p w:rsidR="00000000" w:rsidRPr="00566E3C" w:rsidP="00566E3C">
            <w:pPr>
              <w:pStyle w:val="BodyText"/>
            </w:pPr>
            <w:r w:rsidRPr="00566E3C">
              <w:t>T5.</w:t>
            </w:r>
            <w:r w:rsidRPr="00566E3C">
              <w:tab/>
              <w:t>Pitch system components and wiring and software</w:t>
            </w:r>
          </w:p>
          <w:p w:rsidR="00000000" w:rsidRPr="00566E3C" w:rsidP="00566E3C">
            <w:pPr>
              <w:pStyle w:val="BodyText"/>
            </w:pPr>
            <w:r w:rsidRPr="00566E3C">
              <w:t>T6.</w:t>
            </w:r>
            <w:r w:rsidRPr="00566E3C">
              <w:tab/>
              <w:t>Yaw system components and wiring</w:t>
            </w:r>
          </w:p>
          <w:p w:rsidR="00000000" w:rsidRPr="00566E3C" w:rsidP="00566E3C">
            <w:pPr>
              <w:pStyle w:val="BodyText"/>
            </w:pPr>
            <w:r w:rsidRPr="00566E3C">
              <w:t>T7.</w:t>
            </w:r>
            <w:r w:rsidRPr="00566E3C">
              <w:tab/>
              <w:t>Gearbox design and func</w:t>
            </w:r>
            <w:r w:rsidRPr="00566E3C">
              <w:t>tional principles</w:t>
            </w:r>
          </w:p>
          <w:p w:rsidR="00000000" w:rsidRPr="00566E3C" w:rsidP="00566E3C">
            <w:pPr>
              <w:pStyle w:val="BodyText"/>
            </w:pPr>
            <w:r w:rsidRPr="00566E3C">
              <w:t>T8.</w:t>
            </w:r>
            <w:r w:rsidRPr="00566E3C">
              <w:tab/>
              <w:t>Generator design and functional principles</w:t>
            </w:r>
          </w:p>
          <w:p w:rsidR="00000000" w:rsidRPr="00566E3C" w:rsidP="00566E3C">
            <w:pPr>
              <w:pStyle w:val="BodyText"/>
            </w:pPr>
            <w:r w:rsidRPr="00566E3C">
              <w:t>T9.</w:t>
            </w:r>
            <w:r w:rsidRPr="00566E3C">
              <w:tab/>
              <w:t>WTG control systems</w:t>
            </w:r>
          </w:p>
          <w:p w:rsidR="00000000" w:rsidRPr="00566E3C" w:rsidP="00566E3C">
            <w:pPr>
              <w:pStyle w:val="BodyText"/>
            </w:pPr>
            <w:r w:rsidRPr="00566E3C">
              <w:t>T10.</w:t>
            </w:r>
            <w:r w:rsidRPr="00566E3C">
              <w:tab/>
              <w:t>WTG breaking and start-up systems</w:t>
            </w:r>
          </w:p>
          <w:p w:rsidR="00000000" w:rsidRPr="00566E3C" w:rsidP="00566E3C">
            <w:pPr>
              <w:pStyle w:val="BodyText"/>
            </w:pPr>
            <w:r w:rsidRPr="00566E3C">
              <w:t>T11.</w:t>
            </w:r>
            <w:r w:rsidRPr="00566E3C">
              <w:tab/>
              <w:t>WTG weather monitoring systems</w:t>
            </w:r>
          </w:p>
          <w:p w:rsidR="00000000" w:rsidRPr="00566E3C" w:rsidP="00566E3C">
            <w:pPr>
              <w:pStyle w:val="BodyText"/>
            </w:pPr>
            <w:r w:rsidRPr="00566E3C">
              <w:t>T12.</w:t>
            </w:r>
            <w:r w:rsidRPr="00566E3C">
              <w:tab/>
              <w:t>WTG digital and analog sensors</w:t>
            </w:r>
          </w:p>
          <w:p w:rsidR="00000000" w:rsidRPr="00566E3C" w:rsidP="00566E3C">
            <w:pPr>
              <w:pStyle w:val="BodyText"/>
            </w:pPr>
            <w:r w:rsidRPr="00566E3C">
              <w:t>T13.</w:t>
            </w:r>
            <w:r w:rsidRPr="00566E3C">
              <w:tab/>
              <w:t>Error codes from data logging systems</w:t>
            </w:r>
          </w:p>
          <w:p w:rsidR="00000000" w:rsidRPr="00566E3C" w:rsidP="00566E3C">
            <w:pPr>
              <w:pStyle w:val="BodyText"/>
            </w:pPr>
            <w:r w:rsidRPr="00566E3C">
              <w:t>T14.</w:t>
            </w:r>
            <w:r w:rsidRPr="00566E3C">
              <w:tab/>
            </w:r>
            <w:r w:rsidRPr="00566E3C">
              <w:t>Critical event data analysis</w:t>
            </w:r>
          </w:p>
          <w:p w:rsidR="00000000" w:rsidRPr="00566E3C" w:rsidP="00566E3C">
            <w:pPr>
              <w:pStyle w:val="BodyText"/>
            </w:pPr>
            <w:r w:rsidRPr="00566E3C">
              <w:t>T15.</w:t>
            </w:r>
            <w:r w:rsidRPr="00566E3C">
              <w:tab/>
              <w:t>Physical characteristics (sound, look etc) of a functioning WTG</w:t>
            </w:r>
          </w:p>
        </w:tc>
      </w:tr>
    </w:tbl>
    <w:p w:rsidR="00000000" w:rsidRPr="00566E3C" w:rsidP="00566E3C">
      <w:pPr>
        <w:pStyle w:val="BodyText"/>
      </w:pPr>
    </w:p>
    <w:p w:rsidR="00000000" w:rsidRPr="00566E3C" w:rsidP="00566E3C">
      <w:pPr>
        <w:pStyle w:val="AllowPageBreak"/>
      </w:pPr>
    </w:p>
    <w:p w:rsidR="00000000" w:rsidRPr="00566E3C" w:rsidP="00566E3C">
      <w:pPr>
        <w:pStyle w:val="Heading1"/>
      </w:pPr>
      <w:bookmarkStart w:id="10" w:name="O_490996"/>
      <w:bookmarkEnd w:id="10"/>
      <w:r w:rsidRPr="00566E3C">
        <w:t>Evidence Guide</w:t>
      </w:r>
    </w:p>
    <w:tbl>
      <w:tblPr>
        <w:tblW w:w="0" w:type="auto"/>
        <w:tblLayout w:type="fixed"/>
        <w:tblCellMar>
          <w:left w:w="62" w:type="dxa"/>
          <w:right w:w="62" w:type="dxa"/>
        </w:tblCellMar>
        <w:tblLook w:val="0000"/>
      </w:tblPr>
      <w:tblGrid>
        <w:gridCol w:w="8460"/>
      </w:tblGrid>
      <w:tr w:rsidTr="00F046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EVIDENCE GUIDE</w:t>
            </w:r>
          </w:p>
        </w:tc>
      </w:tr>
      <w:tr w:rsidTr="00F046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rPr>
                <w:rStyle w:val="SpecialBold"/>
              </w:rPr>
              <w:t>9)</w:t>
            </w:r>
            <w:r w:rsidRPr="00566E3C">
              <w:t xml:space="preserve"> The Evidence Guide forms an integral part of this Unit and shall be used in conjunction with all compone</w:t>
            </w:r>
            <w:r w:rsidRPr="00566E3C">
              <w:t>nts parts of this unit and performed in accordance with the Assessment Guidelines of this Training Package.</w:t>
            </w:r>
          </w:p>
        </w:tc>
      </w:tr>
    </w:tbl>
    <w:p w:rsidR="00000000" w:rsidRPr="00566E3C" w:rsidP="00566E3C">
      <w:pPr>
        <w:pStyle w:val="BodyText"/>
      </w:pPr>
    </w:p>
    <w:tbl>
      <w:tblPr>
        <w:tblW w:w="0" w:type="auto"/>
        <w:tblLayout w:type="fixed"/>
        <w:tblCellMar>
          <w:left w:w="62" w:type="dxa"/>
          <w:right w:w="62" w:type="dxa"/>
        </w:tblCellMar>
        <w:tblLook w:val="0000"/>
      </w:tblPr>
      <w:tblGrid>
        <w:gridCol w:w="1890"/>
        <w:gridCol w:w="6570"/>
      </w:tblGrid>
      <w:tr w:rsidTr="00F04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9.1)</w:t>
            </w:r>
          </w:p>
        </w:tc>
      </w:tr>
      <w:tr w:rsidTr="00F04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t>Longitudinal competency development approaches to assessment, such as Profiling, require data to be reliably gathered in a form that can be consistently interpreted over time. This approach is best utilised in Apprenticeship programs and reduces assessment</w:t>
            </w:r>
            <w:r w:rsidRPr="00566E3C">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66E3C">
              <w:t>ncy in a realistically simulated work environment. It is recognised that, in some circumstances, assessment in part or full can occur outside the workplace. However, it must be in accordance with industry and regulatory policy.</w:t>
            </w:r>
          </w:p>
          <w:p w:rsidR="00000000" w:rsidRPr="00566E3C" w:rsidP="00566E3C">
            <w:pPr>
              <w:pStyle w:val="BodyText"/>
            </w:pPr>
            <w:r w:rsidRPr="00566E3C">
              <w:t>Methods chosen for a particu</w:t>
            </w:r>
            <w:r w:rsidRPr="00566E3C">
              <w:t>lar assessment will be influenced by various factors. These include the extent of the assessment, the most effective locations for the assessment activities to take place, access to physical resources, additional safety measures that may be required and th</w:t>
            </w:r>
            <w:r w:rsidRPr="00566E3C">
              <w:t>e critical nature of the competencies being assessed.</w:t>
            </w:r>
          </w:p>
          <w:p w:rsidR="00000000" w:rsidRPr="00566E3C" w:rsidP="00566E3C">
            <w:pPr>
              <w:pStyle w:val="BodyText"/>
            </w:pPr>
            <w:r w:rsidRPr="00566E3C">
              <w:t>The critical safety nature of working with electricity, electrical equipment, gas or any other hazardous substance/material carries risk in deeming a person competent. Sources of evidence need to be ‘ri</w:t>
            </w:r>
            <w:r w:rsidRPr="00566E3C">
              <w:t>ch’ in nature to minimise error in judgment.</w:t>
            </w:r>
          </w:p>
          <w:p w:rsidR="00000000" w:rsidRPr="00566E3C" w:rsidP="00566E3C">
            <w:pPr>
              <w:pStyle w:val="BodyText"/>
            </w:pPr>
            <w:r w:rsidRPr="00566E3C">
              <w:t>Activities associated with normal everyday work have a bearing on the decision as to how much and how detailed the data gathered will contribute to its ‘richness’. Some skills are more critical to safety and ope</w:t>
            </w:r>
            <w:r w:rsidRPr="00566E3C">
              <w:t>rational requirements while the same skills may be more or less frequently practised. These points are raised for the assessors to consider when choosing an assessment method and developing assessment instruments. Sample assessment instruments are included</w:t>
            </w:r>
            <w:r w:rsidRPr="00566E3C">
              <w:t xml:space="preserve"> for Assessors in the Assessment Guidelines, Section 3.1 of this Training Package.</w:t>
            </w:r>
          </w:p>
        </w:tc>
      </w:tr>
    </w:tbl>
    <w:p w:rsidR="00000000" w:rsidRPr="00566E3C" w:rsidP="00566E3C">
      <w:pPr>
        <w:pStyle w:val="BodyText"/>
      </w:pPr>
    </w:p>
    <w:tbl>
      <w:tblPr>
        <w:tblW w:w="0" w:type="auto"/>
        <w:tblLayout w:type="fixed"/>
        <w:tblCellMar>
          <w:left w:w="62" w:type="dxa"/>
          <w:right w:w="62" w:type="dxa"/>
        </w:tblCellMar>
        <w:tblLook w:val="0000"/>
      </w:tblPr>
      <w:tblGrid>
        <w:gridCol w:w="1890"/>
        <w:gridCol w:w="360"/>
        <w:gridCol w:w="1800"/>
        <w:gridCol w:w="4410"/>
      </w:tblGrid>
      <w:tr w:rsidTr="00F04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9.2)</w:t>
            </w:r>
          </w:p>
        </w:tc>
      </w:tr>
      <w:tr w:rsidTr="00F04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t>Evidence for competence in this unit shall be considered holistically. Each element and associated Performance Criteria shall be demonstrated:</w:t>
            </w:r>
          </w:p>
          <w:p w:rsidR="00000000" w:rsidRPr="00566E3C" w:rsidP="00566E3C">
            <w:pPr>
              <w:pStyle w:val="ListBullet2"/>
            </w:pPr>
            <w:r w:rsidRPr="00566E3C">
              <w:t>On at least two (2) occasions. In accordance with the "Assessment Guidelines” for the UEP12 Training Package.</w:t>
            </w:r>
          </w:p>
          <w:p w:rsidR="00000000" w:rsidRPr="00566E3C" w:rsidP="00566E3C">
            <w:pPr>
              <w:pStyle w:val="BodyText"/>
            </w:pPr>
            <w:r w:rsidRPr="00566E3C">
              <w:t>Ev</w:t>
            </w:r>
            <w:r w:rsidRPr="00566E3C">
              <w:t>idence shall also comprise:</w:t>
            </w:r>
          </w:p>
          <w:p w:rsidR="00000000" w:rsidRPr="00566E3C" w:rsidP="00566E3C">
            <w:pPr>
              <w:pStyle w:val="ListBullet"/>
            </w:pPr>
            <w:r w:rsidRPr="00566E3C">
              <w:t>A representative body of work performance demonstrated within the timeframe typically expected of the discipline, work function and industrial environment. In particular this shall incorporate evidence that shows a candidate is</w:t>
            </w:r>
            <w:r w:rsidRPr="00566E3C">
              <w:t xml:space="preserve"> able to:</w:t>
            </w:r>
          </w:p>
          <w:p w:rsidR="00000000" w:rsidRPr="00566E3C" w:rsidP="00566E3C">
            <w:pPr>
              <w:pStyle w:val="ListBullet2"/>
            </w:pPr>
            <w:r w:rsidRPr="00566E3C">
              <w:t>Implement Occupational Health and Safety workplace procedures and practices including the use of risk control measures as specified in the Performance Criteria and range; and</w:t>
            </w:r>
          </w:p>
          <w:p w:rsidR="00000000" w:rsidRPr="00566E3C" w:rsidP="00566E3C">
            <w:pPr>
              <w:pStyle w:val="ListBullet2"/>
            </w:pPr>
            <w:r w:rsidRPr="00566E3C">
              <w:t>Apply sustainable energy principles and practices as specified in</w:t>
            </w:r>
            <w:r w:rsidRPr="00566E3C">
              <w:t xml:space="preserve"> the Performance Criteria and range; and</w:t>
            </w:r>
          </w:p>
          <w:p w:rsidR="00000000" w:rsidRPr="00566E3C" w:rsidP="00566E3C">
            <w:pPr>
              <w:pStyle w:val="ListBullet2"/>
            </w:pPr>
            <w:r w:rsidRPr="00566E3C">
              <w:t>Demonstrate an understanding of the required skills and  knowledge as described in this unit to such an extent that the learner's performance outcome is reported in accordance with the preferred approach; namely a p</w:t>
            </w:r>
            <w:r w:rsidRPr="00566E3C">
              <w:t>ercentile graded result, where required by the regulated environment; and</w:t>
            </w:r>
          </w:p>
          <w:p w:rsidR="00000000" w:rsidRPr="00566E3C" w:rsidP="00566E3C">
            <w:pPr>
              <w:pStyle w:val="ListBullet2"/>
            </w:pPr>
            <w:r w:rsidRPr="00566E3C">
              <w:t>Demonstrate an appropriate level of employability skills; and</w:t>
            </w:r>
          </w:p>
          <w:p w:rsidR="00000000" w:rsidRPr="00566E3C" w:rsidP="00566E3C">
            <w:pPr>
              <w:pStyle w:val="ListBullet2"/>
            </w:pPr>
            <w:r w:rsidRPr="00566E3C">
              <w:t>Conduct work observing the relevant Anti Discrimination legislation, regulations, policies and workplace procedures;  an</w:t>
            </w:r>
            <w:r w:rsidRPr="00566E3C">
              <w:t>d</w:t>
            </w:r>
          </w:p>
          <w:p w:rsidR="00000000" w:rsidP="00566E3C">
            <w:pPr>
              <w:pStyle w:val="BodyText"/>
              <w:rPr>
                <w:lang w:val="en-NZ"/>
              </w:rPr>
            </w:pPr>
            <w:r w:rsidRPr="00566E3C">
              <w:t>Demonstrated performance across a representative range of contexts from the prescribed items below:</w:t>
            </w:r>
          </w:p>
        </w:tc>
      </w:tr>
      <w:tr w:rsidTr="00F04628">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A</w:t>
            </w:r>
          </w:p>
        </w:tc>
        <w:tc>
          <w:tcPr>
            <w:tcW w:w="180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All of the following</w:t>
            </w:r>
          </w:p>
        </w:tc>
        <w:tc>
          <w:tcPr>
            <w:tcW w:w="4410" w:type="dxa"/>
            <w:tcBorders>
              <w:top w:val="nil"/>
              <w:left w:val="nil"/>
              <w:bottom w:val="nil"/>
              <w:right w:val="nil"/>
            </w:tcBorders>
            <w:tcMar>
              <w:top w:w="0" w:type="dxa"/>
              <w:left w:w="62" w:type="dxa"/>
              <w:bottom w:w="0" w:type="dxa"/>
              <w:right w:w="62" w:type="dxa"/>
            </w:tcMar>
          </w:tcPr>
          <w:p w:rsidR="00000000" w:rsidRPr="00566E3C" w:rsidP="00566E3C">
            <w:pPr>
              <w:pStyle w:val="ListBullet"/>
            </w:pPr>
            <w:r w:rsidRPr="00566E3C">
              <w:t>Replace ELV and LV fuses</w:t>
            </w:r>
          </w:p>
          <w:p w:rsidR="00000000" w:rsidP="00566E3C">
            <w:pPr>
              <w:pStyle w:val="ListBullet"/>
              <w:rPr>
                <w:lang w:val="en-NZ"/>
              </w:rPr>
            </w:pPr>
            <w:r w:rsidRPr="00566E3C">
              <w:t>Reset circuit breakers</w:t>
            </w:r>
          </w:p>
        </w:tc>
      </w:tr>
      <w:tr w:rsidTr="00F04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B</w:t>
            </w:r>
          </w:p>
        </w:tc>
        <w:tc>
          <w:tcPr>
            <w:tcW w:w="180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All of the following</w:t>
            </w:r>
          </w:p>
        </w:tc>
        <w:tc>
          <w:tcPr>
            <w:tcW w:w="4410" w:type="dxa"/>
            <w:tcBorders>
              <w:top w:val="nil"/>
              <w:left w:val="nil"/>
              <w:bottom w:val="nil"/>
              <w:right w:val="nil"/>
            </w:tcBorders>
            <w:tcMar>
              <w:top w:w="0" w:type="dxa"/>
              <w:left w:w="62" w:type="dxa"/>
              <w:bottom w:w="0" w:type="dxa"/>
              <w:right w:w="62" w:type="dxa"/>
            </w:tcMar>
          </w:tcPr>
          <w:p w:rsidR="00000000" w:rsidRPr="00566E3C" w:rsidP="00566E3C">
            <w:pPr>
              <w:pStyle w:val="ListBullet"/>
            </w:pPr>
            <w:r w:rsidRPr="00566E3C">
              <w:t>Test the WTG systems according to enterprise procedures, including</w:t>
            </w:r>
          </w:p>
          <w:p w:rsidR="00000000" w:rsidRPr="00566E3C" w:rsidP="00566E3C">
            <w:pPr>
              <w:pStyle w:val="ListBullet2"/>
            </w:pPr>
            <w:r w:rsidRPr="00566E3C">
              <w:t>Pitch system</w:t>
            </w:r>
          </w:p>
          <w:p w:rsidR="00000000" w:rsidRPr="00566E3C" w:rsidP="00566E3C">
            <w:pPr>
              <w:pStyle w:val="ListBullet2"/>
            </w:pPr>
            <w:r w:rsidRPr="00566E3C">
              <w:t>Yaw system</w:t>
            </w:r>
          </w:p>
          <w:p w:rsidR="00000000" w:rsidRPr="00566E3C" w:rsidP="00566E3C">
            <w:pPr>
              <w:pStyle w:val="ListBullet2"/>
            </w:pPr>
            <w:r w:rsidRPr="00566E3C">
              <w:t>Gearbox</w:t>
            </w:r>
          </w:p>
          <w:p w:rsidR="00000000" w:rsidRPr="00566E3C" w:rsidP="00566E3C">
            <w:pPr>
              <w:pStyle w:val="ListBullet2"/>
            </w:pPr>
            <w:r w:rsidRPr="00566E3C">
              <w:t>Generator</w:t>
            </w:r>
          </w:p>
          <w:p w:rsidR="00000000" w:rsidRPr="00566E3C" w:rsidP="00566E3C">
            <w:pPr>
              <w:pStyle w:val="ListBullet2"/>
            </w:pPr>
            <w:r w:rsidRPr="00566E3C">
              <w:t>Control systems</w:t>
            </w:r>
          </w:p>
          <w:p w:rsidR="00000000" w:rsidRPr="00566E3C" w:rsidP="00566E3C">
            <w:pPr>
              <w:pStyle w:val="ListBullet2"/>
            </w:pPr>
            <w:r w:rsidRPr="00566E3C">
              <w:t>Braking &amp; start-up systems</w:t>
            </w:r>
          </w:p>
          <w:p w:rsidR="00000000" w:rsidP="00566E3C">
            <w:pPr>
              <w:pStyle w:val="ListBullet2"/>
              <w:rPr>
                <w:lang w:val="en-NZ"/>
              </w:rPr>
            </w:pPr>
            <w:r w:rsidRPr="00566E3C">
              <w:t>Weather monitoring systems</w:t>
            </w:r>
          </w:p>
        </w:tc>
      </w:tr>
      <w:tr w:rsidTr="00F04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C</w:t>
            </w:r>
          </w:p>
        </w:tc>
        <w:tc>
          <w:tcPr>
            <w:tcW w:w="180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All of the following</w:t>
            </w:r>
          </w:p>
        </w:tc>
        <w:tc>
          <w:tcPr>
            <w:tcW w:w="4410" w:type="dxa"/>
            <w:tcBorders>
              <w:top w:val="nil"/>
              <w:left w:val="nil"/>
              <w:bottom w:val="nil"/>
              <w:right w:val="nil"/>
            </w:tcBorders>
            <w:tcMar>
              <w:top w:w="0" w:type="dxa"/>
              <w:left w:w="62" w:type="dxa"/>
              <w:bottom w:w="0" w:type="dxa"/>
              <w:right w:w="62" w:type="dxa"/>
            </w:tcMar>
          </w:tcPr>
          <w:p w:rsidR="00000000" w:rsidRPr="00566E3C" w:rsidP="00566E3C">
            <w:pPr>
              <w:pStyle w:val="ListBullet"/>
            </w:pPr>
            <w:r w:rsidRPr="00566E3C">
              <w:t>Interpret a data logs to diagnose the root cause of problem</w:t>
            </w:r>
          </w:p>
          <w:p w:rsidR="00000000" w:rsidP="00566E3C">
            <w:pPr>
              <w:pStyle w:val="ListBullet"/>
              <w:rPr>
                <w:lang w:val="en-NZ"/>
              </w:rPr>
            </w:pPr>
            <w:r w:rsidRPr="00566E3C">
              <w:t>Interpret an equipment error code to determine root cause of a problem</w:t>
            </w:r>
          </w:p>
        </w:tc>
      </w:tr>
      <w:tr w:rsidTr="00F04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D</w:t>
            </w:r>
          </w:p>
        </w:tc>
        <w:tc>
          <w:tcPr>
            <w:tcW w:w="180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All of the following</w:t>
            </w:r>
          </w:p>
        </w:tc>
        <w:tc>
          <w:tcPr>
            <w:tcW w:w="4410" w:type="dxa"/>
            <w:tcBorders>
              <w:top w:val="nil"/>
              <w:left w:val="nil"/>
              <w:bottom w:val="nil"/>
              <w:right w:val="nil"/>
            </w:tcBorders>
            <w:tcMar>
              <w:top w:w="0" w:type="dxa"/>
              <w:left w:w="62" w:type="dxa"/>
              <w:bottom w:w="0" w:type="dxa"/>
              <w:right w:w="62" w:type="dxa"/>
            </w:tcMar>
          </w:tcPr>
          <w:p w:rsidR="00000000" w:rsidP="00566E3C">
            <w:pPr>
              <w:pStyle w:val="ListBullet"/>
              <w:rPr>
                <w:lang w:val="en-NZ"/>
              </w:rPr>
            </w:pPr>
            <w:r w:rsidRPr="00566E3C">
              <w:t>Replace a faulty sensor</w:t>
            </w:r>
          </w:p>
        </w:tc>
      </w:tr>
      <w:tr w:rsidTr="00F04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E</w:t>
            </w:r>
          </w:p>
        </w:tc>
        <w:tc>
          <w:tcPr>
            <w:tcW w:w="180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t>All of the following</w:t>
            </w:r>
          </w:p>
        </w:tc>
        <w:tc>
          <w:tcPr>
            <w:tcW w:w="4410" w:type="dxa"/>
            <w:tcBorders>
              <w:top w:val="nil"/>
              <w:left w:val="nil"/>
              <w:bottom w:val="nil"/>
              <w:right w:val="nil"/>
            </w:tcBorders>
            <w:tcMar>
              <w:top w:w="0" w:type="dxa"/>
              <w:left w:w="62" w:type="dxa"/>
              <w:bottom w:w="0" w:type="dxa"/>
              <w:right w:w="62" w:type="dxa"/>
            </w:tcMar>
          </w:tcPr>
          <w:p w:rsidR="00000000" w:rsidRPr="00566E3C" w:rsidP="00566E3C">
            <w:pPr>
              <w:pStyle w:val="ListBullet"/>
            </w:pPr>
            <w:r w:rsidRPr="00566E3C">
              <w:t>Deal with an unplanned event by drawing on essential knowledge and skills to provide appropriate solutions.</w:t>
            </w:r>
          </w:p>
        </w:tc>
      </w:tr>
    </w:tbl>
    <w:p w:rsidR="00000000" w:rsidRPr="00566E3C" w:rsidP="00566E3C">
      <w:pPr>
        <w:pStyle w:val="BodyText"/>
      </w:pPr>
    </w:p>
    <w:tbl>
      <w:tblPr>
        <w:tblW w:w="0" w:type="auto"/>
        <w:tblLayout w:type="fixed"/>
        <w:tblCellMar>
          <w:left w:w="62" w:type="dxa"/>
          <w:right w:w="62" w:type="dxa"/>
        </w:tblCellMar>
        <w:tblLook w:val="0000"/>
      </w:tblPr>
      <w:tblGrid>
        <w:gridCol w:w="1890"/>
        <w:gridCol w:w="6570"/>
      </w:tblGrid>
      <w:tr w:rsidTr="00F0462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9.3)</w:t>
            </w:r>
          </w:p>
        </w:tc>
      </w:tr>
      <w:tr w:rsidTr="00F0462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t>This unit should be assessed as it relates to normal work practic</w:t>
            </w:r>
            <w:r w:rsidRPr="00566E3C">
              <w:t>e using procedures, information and resources typical of a workplace. This should include:</w:t>
            </w:r>
          </w:p>
          <w:p w:rsidR="00000000" w:rsidRPr="00566E3C" w:rsidP="00566E3C">
            <w:pPr>
              <w:pStyle w:val="ListBullet2"/>
            </w:pPr>
            <w:r w:rsidRPr="00566E3C">
              <w:t>OHS policy and work procedures and instructions.</w:t>
            </w:r>
          </w:p>
          <w:p w:rsidR="00000000" w:rsidRPr="00566E3C" w:rsidP="00566E3C">
            <w:pPr>
              <w:pStyle w:val="ListBullet2"/>
            </w:pPr>
            <w:r w:rsidRPr="00566E3C">
              <w:t>Suitable work environment, facilities, equipment and materials to undertake actual work as prescribed by this unit.</w:t>
            </w:r>
          </w:p>
          <w:p w:rsidR="00000000" w:rsidRPr="00566E3C" w:rsidP="00566E3C">
            <w:pPr>
              <w:pStyle w:val="BodyText"/>
            </w:pPr>
            <w:r w:rsidRPr="00566E3C">
              <w:t>These should be used in the formal learning/assessment environment.</w:t>
            </w:r>
          </w:p>
          <w:p w:rsidR="00000000" w:rsidRPr="00566E3C" w:rsidP="00566E3C">
            <w:pPr>
              <w:pStyle w:val="BodyText"/>
            </w:pPr>
            <w:r w:rsidRPr="00566E3C">
              <w:t>Note:</w:t>
            </w:r>
          </w:p>
          <w:p w:rsidR="00000000" w:rsidRPr="00566E3C" w:rsidP="00566E3C">
            <w:pPr>
              <w:pStyle w:val="BodyText"/>
            </w:pPr>
            <w:r w:rsidRPr="00566E3C">
              <w:t>Where simulation is considered a suitable strategy for assessment, conditions must be authentic and as far as possible reproduce and replicate the workplace and be consistent with t</w:t>
            </w:r>
            <w:r w:rsidRPr="00566E3C">
              <w:t>he approved industry simulation policy.</w:t>
            </w:r>
          </w:p>
          <w:p w:rsidR="00000000" w:rsidRPr="00566E3C" w:rsidP="00566E3C">
            <w:pPr>
              <w:pStyle w:val="BodyText"/>
            </w:pPr>
            <w:r w:rsidRPr="00566E3C">
              <w:t xml:space="preserve">The resources used for assessment should reflect current industry practices in relation to: </w:t>
            </w:r>
          </w:p>
          <w:p w:rsidR="00000000" w:rsidRPr="00566E3C" w:rsidP="00566E3C">
            <w:pPr>
              <w:pStyle w:val="BodyText"/>
            </w:pPr>
            <w:r w:rsidRPr="00566E3C">
              <w:t>Diagnose and repair faults in large scale wind turbine generators</w:t>
            </w:r>
          </w:p>
        </w:tc>
      </w:tr>
    </w:tbl>
    <w:p w:rsidR="00000000" w:rsidRPr="00566E3C" w:rsidP="00566E3C">
      <w:pPr>
        <w:pStyle w:val="BodyText"/>
      </w:pPr>
    </w:p>
    <w:tbl>
      <w:tblPr>
        <w:tblW w:w="0" w:type="auto"/>
        <w:tblLayout w:type="fixed"/>
        <w:tblCellMar>
          <w:left w:w="62" w:type="dxa"/>
          <w:right w:w="62" w:type="dxa"/>
        </w:tblCellMar>
        <w:tblLook w:val="0000"/>
      </w:tblPr>
      <w:tblGrid>
        <w:gridCol w:w="1890"/>
        <w:gridCol w:w="6570"/>
      </w:tblGrid>
      <w:tr w:rsidTr="00F04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9.4)</w:t>
            </w:r>
          </w:p>
        </w:tc>
      </w:tr>
      <w:tr w:rsidTr="00F04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t>This unit shall be ass</w:t>
            </w:r>
            <w:r w:rsidRPr="00566E3C">
              <w:t>essed by methods given in the Assessment Guidelines, Section 1.3 of this Training Package.</w:t>
            </w:r>
          </w:p>
          <w:p w:rsidR="00000000" w:rsidRPr="00566E3C" w:rsidP="00566E3C">
            <w:pPr>
              <w:pStyle w:val="BodyText"/>
            </w:pPr>
            <w:r w:rsidRPr="00566E3C">
              <w:t xml:space="preserve">Note: </w:t>
            </w:r>
          </w:p>
          <w:p w:rsidR="00000000" w:rsidRPr="00566E3C" w:rsidP="00566E3C">
            <w:pPr>
              <w:pStyle w:val="BodyText"/>
            </w:pPr>
            <w:r w:rsidRPr="00566E3C">
              <w:t>Competent performance with inherent safe working practices is expected in the Industry to which this competency standard unit applies. This requires assessmen</w:t>
            </w:r>
            <w:r w:rsidRPr="00566E3C">
              <w:t>t in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566E3C" w:rsidP="00566E3C">
      <w:pPr>
        <w:pStyle w:val="BodyText"/>
      </w:pPr>
    </w:p>
    <w:tbl>
      <w:tblPr>
        <w:tblW w:w="0" w:type="auto"/>
        <w:tblLayout w:type="fixed"/>
        <w:tblCellMar>
          <w:left w:w="62" w:type="dxa"/>
          <w:right w:w="62" w:type="dxa"/>
        </w:tblCellMar>
        <w:tblLook w:val="0000"/>
      </w:tblPr>
      <w:tblGrid>
        <w:gridCol w:w="1890"/>
        <w:gridCol w:w="6570"/>
      </w:tblGrid>
      <w:tr w:rsidTr="00F04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rPr>
                <w:rStyle w:val="SpecialBold"/>
              </w:rPr>
              <w:t>Concurrent assess</w:t>
            </w:r>
            <w:r w:rsidRPr="00566E3C">
              <w:rPr>
                <w:rStyle w:val="SpecialBold"/>
              </w:rPr>
              <w:t>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9.5)</w:t>
            </w:r>
          </w:p>
        </w:tc>
      </w:tr>
      <w:tr w:rsidTr="00F04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t>There are no concurrent assessment recommendations for this unit.</w:t>
            </w:r>
          </w:p>
        </w:tc>
      </w:tr>
    </w:tbl>
    <w:p w:rsidR="00000000" w:rsidRPr="00566E3C" w:rsidP="00566E3C">
      <w:pPr>
        <w:pStyle w:val="BodyText"/>
      </w:pPr>
    </w:p>
    <w:p w:rsidR="00000000" w:rsidRPr="00566E3C" w:rsidP="00566E3C">
      <w:pPr>
        <w:pStyle w:val="AllowPageBreak"/>
      </w:pPr>
    </w:p>
    <w:p w:rsidR="00000000" w:rsidRPr="00566E3C" w:rsidP="00566E3C">
      <w:pPr>
        <w:pStyle w:val="Heading1"/>
      </w:pPr>
      <w:bookmarkStart w:id="11" w:name="O_491000"/>
      <w:bookmarkEnd w:id="11"/>
      <w:r w:rsidRPr="00566E3C">
        <w:t>Range Statement</w:t>
      </w:r>
    </w:p>
    <w:tbl>
      <w:tblPr>
        <w:tblW w:w="0" w:type="auto"/>
        <w:tblLayout w:type="fixed"/>
        <w:tblCellMar>
          <w:left w:w="62" w:type="dxa"/>
          <w:right w:w="62" w:type="dxa"/>
        </w:tblCellMar>
        <w:tblLook w:val="0000"/>
      </w:tblPr>
      <w:tblGrid>
        <w:gridCol w:w="8460"/>
      </w:tblGrid>
      <w:tr w:rsidTr="00F046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RANGE STATEMENT</w:t>
            </w:r>
          </w:p>
        </w:tc>
      </w:tr>
      <w:tr w:rsidTr="00F046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rPr>
                <w:rStyle w:val="SpecialBold"/>
              </w:rPr>
              <w:t>10)</w:t>
            </w:r>
            <w:r w:rsidRPr="00566E3C">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566E3C" w:rsidP="00566E3C">
            <w:pPr>
              <w:pStyle w:val="BodyText"/>
            </w:pPr>
            <w:r w:rsidRPr="00566E3C">
              <w:t>Diagnosing and rectifica</w:t>
            </w:r>
            <w:r w:rsidRPr="00566E3C">
              <w:t>tion of faults on wind turbine generators may include:</w:t>
            </w:r>
          </w:p>
          <w:p w:rsidR="00000000" w:rsidRPr="00566E3C" w:rsidP="00566E3C">
            <w:pPr>
              <w:pStyle w:val="BodyText"/>
            </w:pPr>
            <w:r w:rsidRPr="00566E3C">
              <w:t>Climbing equipment, including personnel lifts, climb assist, elevators, ladders</w:t>
            </w:r>
          </w:p>
          <w:p w:rsidR="00000000" w:rsidRPr="00566E3C" w:rsidP="00566E3C">
            <w:pPr>
              <w:pStyle w:val="BodyText"/>
            </w:pPr>
            <w:r w:rsidRPr="00566E3C">
              <w:t>Lifting apparatus including winches and cranes</w:t>
            </w:r>
          </w:p>
          <w:p w:rsidR="00000000" w:rsidRPr="00566E3C" w:rsidP="00566E3C">
            <w:pPr>
              <w:pStyle w:val="BodyText"/>
            </w:pPr>
            <w:r w:rsidRPr="00566E3C">
              <w:t>Hydraulic equipment, including turbine braking equipment.</w:t>
            </w:r>
          </w:p>
          <w:p w:rsidR="00000000" w:rsidRPr="00566E3C" w:rsidP="00566E3C">
            <w:pPr>
              <w:pStyle w:val="BodyText"/>
            </w:pPr>
            <w:r w:rsidRPr="00566E3C">
              <w:t>Diagnosis and re</w:t>
            </w:r>
            <w:r w:rsidRPr="00566E3C">
              <w:t>pair may include: visual inspections, accessing data logs and fault diagnosis data, replacement of components not requiring the presence of an external crane, replacement of electrical protection equipment, lose wiring, checking the tension of bolts, repla</w:t>
            </w:r>
            <w:r w:rsidRPr="00566E3C">
              <w:t>cing sensors, replacing seals and o-rings, lubrication, testing of equipment for correct operation, inspection of slip rings and lubrication of equipment.</w:t>
            </w:r>
          </w:p>
          <w:p w:rsidR="00000000" w:rsidRPr="00566E3C" w:rsidP="00566E3C">
            <w:pPr>
              <w:pStyle w:val="BodyText"/>
            </w:pPr>
            <w:r w:rsidRPr="00566E3C">
              <w:t>Tools may include spanners, screwdrivers, side cutters, pliers, high torque wrench, grease pump</w:t>
            </w:r>
          </w:p>
          <w:p w:rsidR="00000000" w:rsidRPr="00566E3C" w:rsidP="00566E3C">
            <w:pPr>
              <w:pStyle w:val="BodyText"/>
            </w:pPr>
            <w:r w:rsidRPr="00566E3C">
              <w:t xml:space="preserve">Test </w:t>
            </w:r>
            <w:r w:rsidRPr="00566E3C">
              <w:t>equipment may include laser alignment tools, multimeters, laptop computers, PC tablet, smart phones and other data acquisition tools and equipment.</w:t>
            </w:r>
          </w:p>
          <w:p w:rsidR="00000000" w:rsidRPr="00566E3C" w:rsidP="00566E3C">
            <w:pPr>
              <w:pStyle w:val="BodyText"/>
            </w:pPr>
            <w:r w:rsidRPr="00566E3C">
              <w:t>Consumables may include gearbox oils, bearing grease, paint, detergents, ‘Loctite’</w:t>
            </w:r>
          </w:p>
          <w:p w:rsidR="00000000" w:rsidRPr="00566E3C" w:rsidP="00566E3C">
            <w:pPr>
              <w:pStyle w:val="BodyText"/>
            </w:pPr>
            <w:r w:rsidRPr="00566E3C">
              <w:t>Large Scale Wind Generato</w:t>
            </w:r>
            <w:r w:rsidRPr="00566E3C">
              <w:t>rs (WTGs) include systems having a rating of greater than 10 kW</w:t>
            </w:r>
          </w:p>
          <w:p w:rsidR="00000000" w:rsidRPr="00566E3C" w:rsidP="00566E3C">
            <w:pPr>
              <w:pStyle w:val="BodyText"/>
            </w:pPr>
            <w:r w:rsidRPr="00566E3C">
              <w:t>Work completion details may include plant and maintenance records, job cards, check sheets, on device labelling updates and reporting and/or documenting equipment defects.</w:t>
            </w:r>
          </w:p>
          <w:p w:rsidR="00000000" w:rsidRPr="00566E3C" w:rsidP="00566E3C">
            <w:pPr>
              <w:pStyle w:val="BodyText"/>
            </w:pPr>
            <w:r w:rsidRPr="00566E3C">
              <w:t>Data may include both real-time and data-logged</w:t>
            </w:r>
          </w:p>
          <w:p w:rsidR="00000000" w:rsidRPr="00566E3C" w:rsidP="00566E3C">
            <w:pPr>
              <w:pStyle w:val="BodyText"/>
            </w:pPr>
            <w:r w:rsidRPr="00566E3C">
              <w:t>Work site environment may be affected by nearby plant or processes and climatic conditions e.g. wind speed, chemical, heat, dust, noise, height and oil.</w:t>
            </w:r>
          </w:p>
          <w:p w:rsidR="00000000" w:rsidRPr="00566E3C" w:rsidP="00566E3C">
            <w:pPr>
              <w:pStyle w:val="BodyText"/>
            </w:pPr>
            <w:r w:rsidRPr="00566E3C">
              <w:t>Location of wind turbine generators may be in urban, su</w:t>
            </w:r>
            <w:r w:rsidRPr="00566E3C">
              <w:t>burban, regional or rural locales and environments.</w:t>
            </w:r>
          </w:p>
          <w:p w:rsidR="00000000" w:rsidRPr="00566E3C" w:rsidP="00566E3C">
            <w:pPr>
              <w:pStyle w:val="BodyText"/>
            </w:pPr>
            <w:r w:rsidRPr="00566E3C">
              <w:t>Documentation may be either paper-based or electronic format.</w:t>
            </w:r>
          </w:p>
          <w:p w:rsidR="00000000" w:rsidRPr="00566E3C" w:rsidP="00566E3C">
            <w:pPr>
              <w:pStyle w:val="BodyText"/>
            </w:pPr>
            <w:r w:rsidRPr="00566E3C">
              <w:t>Isolations can refer to electrical/mechanical or other associated processes.</w:t>
            </w:r>
          </w:p>
          <w:p w:rsidR="00000000" w:rsidRPr="00566E3C" w:rsidP="00566E3C">
            <w:pPr>
              <w:pStyle w:val="BodyText"/>
            </w:pPr>
            <w:r w:rsidRPr="00566E3C">
              <w:t>Generic terms used throughout this Vocational Standard shall be r</w:t>
            </w:r>
            <w:r w:rsidRPr="00566E3C">
              <w:t>egarded as part of the Range Statement in which competency is demonstrated. The definition of these and other terms that apply are given in the Glossaries, Section 2.1 of this Training Package.</w:t>
            </w:r>
          </w:p>
        </w:tc>
      </w:tr>
    </w:tbl>
    <w:p w:rsidR="00000000" w:rsidRPr="00566E3C" w:rsidP="00566E3C">
      <w:pPr>
        <w:pStyle w:val="BodyText"/>
      </w:pPr>
    </w:p>
    <w:p w:rsidR="00000000" w:rsidRPr="00566E3C" w:rsidP="00566E3C">
      <w:pPr>
        <w:pStyle w:val="AllowPageBreak"/>
      </w:pPr>
    </w:p>
    <w:p w:rsidR="00000000" w:rsidRPr="00566E3C" w:rsidP="00566E3C">
      <w:pPr>
        <w:pStyle w:val="Heading1"/>
      </w:pPr>
      <w:bookmarkStart w:id="12" w:name="O_491003"/>
      <w:bookmarkEnd w:id="12"/>
      <w:r w:rsidRPr="00566E3C">
        <w:t>Unit Sector(s)</w:t>
      </w:r>
    </w:p>
    <w:p w:rsidR="00000000" w:rsidRPr="00566E3C" w:rsidP="00566E3C">
      <w:pPr>
        <w:pStyle w:val="BodyText"/>
      </w:pPr>
      <w:r w:rsidRPr="00566E3C">
        <w:t>Not applicable.</w:t>
      </w:r>
    </w:p>
    <w:p w:rsidR="00000000" w:rsidRPr="00566E3C" w:rsidP="00566E3C">
      <w:pPr>
        <w:pStyle w:val="AllowPageBreak"/>
      </w:pPr>
    </w:p>
    <w:p w:rsidR="00000000" w:rsidRPr="00566E3C" w:rsidP="00566E3C">
      <w:pPr>
        <w:pStyle w:val="Heading1"/>
      </w:pPr>
      <w:bookmarkStart w:id="13" w:name="O_490992"/>
      <w:bookmarkEnd w:id="13"/>
      <w:r w:rsidRPr="00566E3C">
        <w:t>Competency Field</w:t>
      </w:r>
    </w:p>
    <w:tbl>
      <w:tblPr>
        <w:tblW w:w="0" w:type="auto"/>
        <w:tblLayout w:type="fixed"/>
        <w:tblCellMar>
          <w:left w:w="62" w:type="dxa"/>
          <w:right w:w="62" w:type="dxa"/>
        </w:tblCellMar>
        <w:tblLook w:val="0000"/>
      </w:tblPr>
      <w:tblGrid>
        <w:gridCol w:w="2700"/>
        <w:gridCol w:w="5760"/>
      </w:tblGrid>
      <w:tr w:rsidTr="00F046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66E3C">
            <w:pPr>
              <w:pStyle w:val="BodyText"/>
              <w:rPr>
                <w:lang w:val="en-NZ"/>
              </w:rPr>
            </w:pPr>
            <w:r w:rsidRPr="00566E3C">
              <w:rPr>
                <w:rStyle w:val="SpecialBold"/>
              </w:rPr>
              <w:t xml:space="preserve">11) </w:t>
            </w:r>
          </w:p>
        </w:tc>
      </w:tr>
      <w:tr w:rsidTr="00F04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6E3C" w:rsidP="00566E3C">
            <w:pPr>
              <w:pStyle w:val="BodyText"/>
            </w:pPr>
            <w:r w:rsidRPr="00566E3C">
              <w:t>Maintenance</w:t>
            </w:r>
          </w:p>
        </w:tc>
      </w:tr>
    </w:tbl>
    <w:p w:rsidR="00000000" w:rsidRPr="00566E3C" w:rsidP="00566E3C">
      <w:pPr>
        <w:pStyle w:val="BodyText"/>
      </w:pPr>
    </w:p>
    <w:p w:rsidR="00000000" w:rsidRPr="00566E3C" w:rsidP="00566E3C"/>
    <w:sectPr w:rsidSect="00566E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3C" w:rsidRPr="00F04628" w:rsidP="00F046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28" w:rsidP="00566E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04628" w:rsidP="00566E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F04628" w:rsidP="00566E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3C" w:rsidRPr="00F04628" w:rsidP="00F046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28" w:rsidRPr="002D2AF8" w:rsidP="00566E3C">
    <w:pPr>
      <w:pStyle w:val="Header"/>
      <w:framePr w:wrap="around"/>
    </w:pPr>
    <w:r>
      <w:fldChar w:fldCharType="begin"/>
    </w:r>
    <w:r>
      <w:instrText xml:space="preserve"> TITLE   \* MERGEFORMAT </w:instrText>
    </w:r>
    <w:r>
      <w:fldChar w:fldCharType="separate"/>
    </w:r>
    <w:r>
      <w:t>UEPMNT445A Diagnose and repair faults in large scale wind turbine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2013</w:t>
    </w:r>
    <w:r>
      <w:fldChar w:fldCharType="end"/>
    </w:r>
  </w:p>
  <w:p w:rsidR="00F04628" w:rsidP="00566E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34A0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0093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222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E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E3C"/>
    <w:pPr>
      <w:spacing w:before="360" w:after="60"/>
      <w:outlineLvl w:val="0"/>
    </w:pPr>
    <w:rPr>
      <w:sz w:val="32"/>
    </w:rPr>
  </w:style>
  <w:style w:type="paragraph" w:styleId="Heading2">
    <w:name w:val="heading 2"/>
    <w:basedOn w:val="HeadingBase"/>
    <w:next w:val="BodyText"/>
    <w:link w:val="Heading2Char"/>
    <w:qFormat/>
    <w:rsid w:val="00566E3C"/>
    <w:pPr>
      <w:keepLines/>
      <w:spacing w:before="240" w:after="120"/>
      <w:outlineLvl w:val="1"/>
    </w:pPr>
    <w:rPr>
      <w:sz w:val="28"/>
      <w:szCs w:val="40"/>
    </w:rPr>
  </w:style>
  <w:style w:type="paragraph" w:styleId="Heading3">
    <w:name w:val="heading 3"/>
    <w:basedOn w:val="HeadingBase"/>
    <w:next w:val="BodyText"/>
    <w:link w:val="Heading3Char"/>
    <w:qFormat/>
    <w:rsid w:val="00566E3C"/>
    <w:pPr>
      <w:spacing w:before="180" w:after="120"/>
      <w:outlineLvl w:val="2"/>
    </w:pPr>
    <w:rPr>
      <w:spacing w:val="-10"/>
      <w:kern w:val="32"/>
    </w:rPr>
  </w:style>
  <w:style w:type="paragraph" w:styleId="Heading4">
    <w:name w:val="heading 4"/>
    <w:basedOn w:val="HeadingBase"/>
    <w:next w:val="BodyText"/>
    <w:link w:val="Heading4Char"/>
    <w:qFormat/>
    <w:rsid w:val="00566E3C"/>
    <w:pPr>
      <w:spacing w:before="160" w:after="120"/>
      <w:outlineLvl w:val="3"/>
    </w:pPr>
    <w:rPr>
      <w:sz w:val="22"/>
    </w:rPr>
  </w:style>
  <w:style w:type="paragraph" w:styleId="Heading5">
    <w:name w:val="heading 5"/>
    <w:basedOn w:val="HeadingBase"/>
    <w:next w:val="Normal"/>
    <w:link w:val="Heading5Char"/>
    <w:qFormat/>
    <w:rsid w:val="00566E3C"/>
    <w:pPr>
      <w:spacing w:before="80"/>
      <w:outlineLvl w:val="4"/>
    </w:pPr>
    <w:rPr>
      <w:color w:val="918585"/>
      <w:sz w:val="20"/>
    </w:rPr>
  </w:style>
  <w:style w:type="paragraph" w:styleId="Heading6">
    <w:name w:val="heading 6"/>
    <w:basedOn w:val="HeadingBase"/>
    <w:next w:val="Normal"/>
    <w:link w:val="Heading6Char"/>
    <w:qFormat/>
    <w:rsid w:val="00566E3C"/>
    <w:pPr>
      <w:spacing w:before="60"/>
      <w:outlineLvl w:val="5"/>
    </w:pPr>
    <w:rPr>
      <w:color w:val="918585"/>
      <w:sz w:val="20"/>
    </w:rPr>
  </w:style>
  <w:style w:type="paragraph" w:styleId="Heading7">
    <w:name w:val="heading 7"/>
    <w:basedOn w:val="Normal"/>
    <w:next w:val="Normal"/>
    <w:link w:val="Heading7Char"/>
    <w:qFormat/>
    <w:rsid w:val="00566E3C"/>
    <w:pPr>
      <w:ind w:left="720"/>
      <w:outlineLvl w:val="6"/>
    </w:pPr>
    <w:rPr>
      <w:i/>
    </w:rPr>
  </w:style>
  <w:style w:type="paragraph" w:styleId="Heading8">
    <w:name w:val="heading 8"/>
    <w:basedOn w:val="Normal"/>
    <w:next w:val="Normal"/>
    <w:link w:val="Heading8Char"/>
    <w:qFormat/>
    <w:rsid w:val="00566E3C"/>
    <w:pPr>
      <w:ind w:left="720"/>
      <w:outlineLvl w:val="7"/>
    </w:pPr>
    <w:rPr>
      <w:i/>
    </w:rPr>
  </w:style>
  <w:style w:type="paragraph" w:styleId="Heading9">
    <w:name w:val="heading 9"/>
    <w:basedOn w:val="Normal"/>
    <w:next w:val="Normal"/>
    <w:link w:val="Heading9Char"/>
    <w:qFormat/>
    <w:rsid w:val="00566E3C"/>
    <w:pPr>
      <w:ind w:left="720"/>
      <w:outlineLvl w:val="8"/>
    </w:pPr>
    <w:rPr>
      <w:i/>
    </w:rPr>
  </w:style>
  <w:style w:type="character" w:default="1" w:styleId="DefaultParagraphFont">
    <w:name w:val="Default Paragraph Font"/>
    <w:uiPriority w:val="1"/>
    <w:unhideWhenUsed/>
    <w:rsid w:val="00566E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E3C"/>
  </w:style>
  <w:style w:type="character" w:customStyle="1" w:styleId="Heading1Char">
    <w:name w:val="Heading 1 Char"/>
    <w:basedOn w:val="DefaultParagraphFont"/>
    <w:link w:val="Heading1"/>
    <w:rsid w:val="00566E3C"/>
    <w:rPr>
      <w:rFonts w:ascii="Times New Roman" w:eastAsia="Times New Roman" w:hAnsi="Times New Roman" w:cs="Times New Roman"/>
      <w:b/>
      <w:sz w:val="32"/>
      <w:szCs w:val="20"/>
      <w:lang w:eastAsia="en-US"/>
    </w:rPr>
  </w:style>
  <w:style w:type="paragraph" w:styleId="BodyText">
    <w:name w:val="Body Text"/>
    <w:basedOn w:val="Normal"/>
    <w:link w:val="BodyTextChar"/>
    <w:rsid w:val="00566E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6E3C"/>
    <w:rPr>
      <w:rFonts w:ascii="Times New Roman" w:eastAsia="Times New Roman" w:hAnsi="Times New Roman" w:cs="Times New Roman"/>
      <w:sz w:val="24"/>
      <w:lang w:eastAsia="en-US"/>
    </w:rPr>
  </w:style>
  <w:style w:type="paragraph" w:styleId="ListBullet">
    <w:name w:val="List Bullet"/>
    <w:basedOn w:val="List"/>
    <w:rsid w:val="00566E3C"/>
    <w:pPr>
      <w:numPr>
        <w:numId w:val="13"/>
      </w:numPr>
      <w:tabs>
        <w:tab w:val="clear" w:pos="340"/>
      </w:tabs>
      <w:spacing w:before="40" w:after="40"/>
    </w:pPr>
  </w:style>
  <w:style w:type="character" w:customStyle="1" w:styleId="SpecialBold">
    <w:name w:val="Special Bold"/>
    <w:basedOn w:val="DefaultParagraphFont"/>
    <w:rsid w:val="00566E3C"/>
    <w:rPr>
      <w:b/>
      <w:spacing w:val="0"/>
    </w:rPr>
  </w:style>
  <w:style w:type="paragraph" w:styleId="ListBullet2">
    <w:name w:val="List Bullet 2"/>
    <w:basedOn w:val="List2"/>
    <w:rsid w:val="00566E3C"/>
    <w:pPr>
      <w:numPr>
        <w:numId w:val="14"/>
      </w:numPr>
      <w:tabs>
        <w:tab w:val="clear" w:pos="680"/>
      </w:tabs>
    </w:pPr>
  </w:style>
  <w:style w:type="paragraph" w:customStyle="1" w:styleId="SuperHeading">
    <w:name w:val="SuperHeading"/>
    <w:basedOn w:val="Normal"/>
    <w:rsid w:val="00566E3C"/>
    <w:pPr>
      <w:spacing w:before="240" w:after="120"/>
      <w:outlineLvl w:val="0"/>
    </w:pPr>
    <w:rPr>
      <w:rFonts w:ascii="Times New Roman" w:hAnsi="Times New Roman"/>
      <w:b/>
      <w:sz w:val="32"/>
    </w:rPr>
  </w:style>
  <w:style w:type="paragraph" w:customStyle="1" w:styleId="AllowPageBreak">
    <w:name w:val="AllowPageBreak"/>
    <w:rsid w:val="00566E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6E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E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E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E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E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E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E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E3C"/>
    <w:rPr>
      <w:rFonts w:ascii="Courier New" w:eastAsia="Times New Roman" w:hAnsi="Courier New" w:cs="Times New Roman"/>
      <w:i/>
      <w:szCs w:val="20"/>
      <w:lang w:eastAsia="en-US"/>
    </w:rPr>
  </w:style>
  <w:style w:type="paragraph" w:customStyle="1" w:styleId="HeadingBase">
    <w:name w:val="Heading Base"/>
    <w:rsid w:val="00566E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E3C"/>
    <w:pPr>
      <w:tabs>
        <w:tab w:val="right" w:leader="dot" w:pos="9072"/>
      </w:tabs>
      <w:ind w:left="567"/>
    </w:pPr>
    <w:rPr>
      <w:szCs w:val="22"/>
    </w:rPr>
  </w:style>
  <w:style w:type="paragraph" w:customStyle="1" w:styleId="TOCBase">
    <w:name w:val="TOC Base"/>
    <w:rsid w:val="00566E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E3C"/>
    <w:pPr>
      <w:tabs>
        <w:tab w:val="right" w:leader="dot" w:pos="9072"/>
      </w:tabs>
      <w:spacing w:before="40" w:after="40"/>
      <w:ind w:left="284"/>
    </w:pPr>
    <w:rPr>
      <w:rFonts w:ascii="Times New Roman" w:hAnsi="Times New Roman"/>
    </w:rPr>
  </w:style>
  <w:style w:type="paragraph" w:styleId="TOC1">
    <w:name w:val="toc 1"/>
    <w:basedOn w:val="TOCBase"/>
    <w:next w:val="Normal"/>
    <w:rsid w:val="00566E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E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E3C"/>
    <w:rPr>
      <w:rFonts w:ascii="Times New Roman" w:eastAsia="Times New Roman" w:hAnsi="Times New Roman" w:cs="Times New Roman"/>
      <w:sz w:val="16"/>
      <w:lang w:eastAsia="en-US"/>
    </w:rPr>
  </w:style>
  <w:style w:type="paragraph" w:styleId="Title">
    <w:name w:val="Title"/>
    <w:basedOn w:val="HeadingBase"/>
    <w:link w:val="TitleChar"/>
    <w:qFormat/>
    <w:rsid w:val="00566E3C"/>
    <w:pPr>
      <w:spacing w:before="5040"/>
      <w:jc w:val="center"/>
    </w:pPr>
    <w:rPr>
      <w:sz w:val="48"/>
      <w:szCs w:val="72"/>
      <w:lang w:val="en-US"/>
    </w:rPr>
  </w:style>
  <w:style w:type="character" w:customStyle="1" w:styleId="TitleChar">
    <w:name w:val="Title Char"/>
    <w:basedOn w:val="DefaultParagraphFont"/>
    <w:link w:val="Title"/>
    <w:rsid w:val="00566E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E3C"/>
    <w:pPr>
      <w:tabs>
        <w:tab w:val="left" w:pos="3600"/>
        <w:tab w:val="left" w:pos="3958"/>
      </w:tabs>
    </w:pPr>
  </w:style>
  <w:style w:type="paragraph" w:styleId="List">
    <w:name w:val="List"/>
    <w:basedOn w:val="BodyText"/>
    <w:next w:val="BodyText"/>
    <w:rsid w:val="00566E3C"/>
    <w:pPr>
      <w:tabs>
        <w:tab w:val="left" w:pos="340"/>
      </w:tabs>
      <w:spacing w:before="60" w:after="60"/>
      <w:ind w:left="340" w:hanging="340"/>
    </w:pPr>
  </w:style>
  <w:style w:type="paragraph" w:customStyle="1" w:styleId="Note">
    <w:name w:val="Note"/>
    <w:basedOn w:val="BodyText"/>
    <w:rsid w:val="00566E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E3C"/>
    <w:pPr>
      <w:framePr w:wrap="auto" w:hAnchor="text" w:y="6049"/>
    </w:pPr>
    <w:rPr>
      <w:color w:val="000000"/>
      <w:sz w:val="40"/>
    </w:rPr>
  </w:style>
  <w:style w:type="paragraph" w:customStyle="1" w:styleId="TOCTitle">
    <w:name w:val="TOCTitle"/>
    <w:basedOn w:val="Heading1"/>
    <w:rsid w:val="00566E3C"/>
    <w:pPr>
      <w:spacing w:after="240"/>
      <w:jc w:val="center"/>
      <w:outlineLvl w:val="9"/>
    </w:pPr>
    <w:rPr>
      <w:caps/>
    </w:rPr>
  </w:style>
  <w:style w:type="paragraph" w:customStyle="1" w:styleId="Version">
    <w:name w:val="Version"/>
    <w:rsid w:val="00566E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E3C"/>
    <w:pPr>
      <w:keepNext w:val="0"/>
      <w:tabs>
        <w:tab w:val="right" w:pos="4176"/>
      </w:tabs>
      <w:ind w:left="198" w:hanging="198"/>
    </w:pPr>
    <w:rPr>
      <w:rFonts w:ascii="Garamond" w:hAnsi="Garamond"/>
    </w:rPr>
  </w:style>
  <w:style w:type="paragraph" w:styleId="IndexHeading">
    <w:name w:val="index heading"/>
    <w:basedOn w:val="Normal"/>
    <w:next w:val="Index1"/>
    <w:semiHidden/>
    <w:rsid w:val="00566E3C"/>
    <w:pPr>
      <w:spacing w:before="120" w:after="120"/>
    </w:pPr>
    <w:rPr>
      <w:rFonts w:ascii="Arial" w:hAnsi="Arial"/>
      <w:b/>
      <w:color w:val="918585"/>
      <w:sz w:val="24"/>
    </w:rPr>
  </w:style>
  <w:style w:type="paragraph" w:styleId="Header">
    <w:name w:val="header"/>
    <w:basedOn w:val="Normal"/>
    <w:link w:val="HeaderChar"/>
    <w:rsid w:val="00566E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E3C"/>
    <w:rPr>
      <w:rFonts w:ascii="Times New Roman" w:eastAsia="Times New Roman" w:hAnsi="Times New Roman" w:cs="Times New Roman"/>
      <w:sz w:val="16"/>
      <w:szCs w:val="20"/>
      <w:lang w:val="en-GB" w:eastAsia="en-US"/>
    </w:rPr>
  </w:style>
  <w:style w:type="paragraph" w:customStyle="1" w:styleId="Chapter">
    <w:name w:val="Chapter"/>
    <w:basedOn w:val="Normal"/>
    <w:rsid w:val="00566E3C"/>
    <w:pPr>
      <w:spacing w:before="240"/>
    </w:pPr>
    <w:rPr>
      <w:rFonts w:ascii="Times New Roman" w:hAnsi="Times New Roman"/>
      <w:smallCaps/>
      <w:spacing w:val="80"/>
      <w:sz w:val="28"/>
    </w:rPr>
  </w:style>
  <w:style w:type="paragraph" w:customStyle="1" w:styleId="InChapter">
    <w:name w:val="InChapter"/>
    <w:basedOn w:val="Heading3"/>
    <w:rsid w:val="00566E3C"/>
    <w:pPr>
      <w:spacing w:after="240"/>
      <w:outlineLvl w:val="9"/>
    </w:pPr>
    <w:rPr>
      <w:noProof/>
    </w:rPr>
  </w:style>
  <w:style w:type="paragraph" w:styleId="Index2">
    <w:name w:val="index 2"/>
    <w:basedOn w:val="Normal"/>
    <w:next w:val="Normal"/>
    <w:semiHidden/>
    <w:rsid w:val="00566E3C"/>
    <w:pPr>
      <w:tabs>
        <w:tab w:val="right" w:pos="4176"/>
      </w:tabs>
      <w:ind w:left="568" w:hanging="284"/>
    </w:pPr>
    <w:rPr>
      <w:rFonts w:ascii="Garamond" w:hAnsi="Garamond"/>
    </w:rPr>
  </w:style>
  <w:style w:type="paragraph" w:customStyle="1" w:styleId="Byline">
    <w:name w:val="Byline"/>
    <w:rsid w:val="00566E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E3C"/>
    <w:pPr>
      <w:tabs>
        <w:tab w:val="clear" w:pos="3600"/>
        <w:tab w:val="clear" w:pos="3958"/>
      </w:tabs>
      <w:jc w:val="right"/>
    </w:pPr>
  </w:style>
  <w:style w:type="character" w:styleId="Emphasis">
    <w:name w:val="Emphasis"/>
    <w:basedOn w:val="DefaultParagraphFont"/>
    <w:qFormat/>
    <w:rsid w:val="00566E3C"/>
    <w:rPr>
      <w:i/>
    </w:rPr>
  </w:style>
  <w:style w:type="paragraph" w:styleId="Caption">
    <w:name w:val="caption"/>
    <w:basedOn w:val="BodyText"/>
    <w:next w:val="Normal"/>
    <w:qFormat/>
    <w:rsid w:val="00566E3C"/>
    <w:pPr>
      <w:framePr w:w="2268" w:hSpace="181" w:vSpace="181" w:wrap="around" w:vAnchor="text" w:hAnchor="page" w:x="1135" w:y="285" w:anchorLock="1"/>
    </w:pPr>
    <w:rPr>
      <w:i/>
    </w:rPr>
  </w:style>
  <w:style w:type="paragraph" w:customStyle="1" w:styleId="MiniTOCTitle">
    <w:name w:val="MiniTOCTitle"/>
    <w:basedOn w:val="Heading4"/>
    <w:rsid w:val="00566E3C"/>
    <w:pPr>
      <w:spacing w:before="240"/>
      <w:outlineLvl w:val="9"/>
    </w:pPr>
    <w:rPr>
      <w:noProof/>
      <w:sz w:val="24"/>
    </w:rPr>
  </w:style>
  <w:style w:type="paragraph" w:customStyle="1" w:styleId="MiniTOCItem">
    <w:name w:val="MiniTOCItem"/>
    <w:basedOn w:val="ListBullet"/>
    <w:rsid w:val="00566E3C"/>
    <w:pPr>
      <w:numPr>
        <w:numId w:val="0"/>
      </w:numPr>
      <w:tabs>
        <w:tab w:val="right" w:leader="dot" w:pos="6521"/>
      </w:tabs>
      <w:spacing w:before="0" w:after="0"/>
    </w:pPr>
  </w:style>
  <w:style w:type="paragraph" w:customStyle="1" w:styleId="TOFTitle">
    <w:name w:val="TOFTitle"/>
    <w:basedOn w:val="TOCTitle"/>
    <w:rsid w:val="00566E3C"/>
  </w:style>
  <w:style w:type="paragraph" w:styleId="TableofFigures">
    <w:name w:val="table of figures"/>
    <w:basedOn w:val="Normal"/>
    <w:next w:val="Normal"/>
    <w:semiHidden/>
    <w:rsid w:val="00566E3C"/>
    <w:pPr>
      <w:tabs>
        <w:tab w:val="right" w:leader="dot" w:pos="9072"/>
      </w:tabs>
      <w:ind w:left="970" w:hanging="403"/>
    </w:pPr>
    <w:rPr>
      <w:rFonts w:ascii="Times New Roman" w:hAnsi="Times New Roman"/>
      <w:b/>
    </w:rPr>
  </w:style>
  <w:style w:type="paragraph" w:styleId="ListNumber">
    <w:name w:val="List Number"/>
    <w:basedOn w:val="List"/>
    <w:rsid w:val="00566E3C"/>
    <w:pPr>
      <w:numPr>
        <w:numId w:val="11"/>
      </w:numPr>
    </w:pPr>
  </w:style>
  <w:style w:type="character" w:customStyle="1" w:styleId="WingdingSymbols">
    <w:name w:val="Wingding Symbols"/>
    <w:rsid w:val="00566E3C"/>
    <w:rPr>
      <w:rFonts w:ascii="Wingdings" w:hAnsi="Wingdings"/>
    </w:rPr>
  </w:style>
  <w:style w:type="paragraph" w:customStyle="1" w:styleId="TableHeading">
    <w:name w:val="Table Heading"/>
    <w:basedOn w:val="HeadingBase"/>
    <w:rsid w:val="00566E3C"/>
    <w:pPr>
      <w:keepLines/>
      <w:pBdr>
        <w:bottom w:val="single" w:sz="6" w:space="1" w:color="918585"/>
      </w:pBdr>
      <w:spacing w:before="240"/>
    </w:pPr>
  </w:style>
  <w:style w:type="character" w:customStyle="1" w:styleId="HotSpot">
    <w:name w:val="HotSpot"/>
    <w:rsid w:val="00566E3C"/>
    <w:rPr>
      <w:color w:val="0033CC"/>
      <w:u w:val="none"/>
    </w:rPr>
  </w:style>
  <w:style w:type="paragraph" w:customStyle="1" w:styleId="BodyTextRight">
    <w:name w:val="Body Text Right"/>
    <w:basedOn w:val="BodyText"/>
    <w:rsid w:val="00566E3C"/>
    <w:pPr>
      <w:spacing w:before="0" w:after="0"/>
      <w:jc w:val="right"/>
    </w:pPr>
  </w:style>
  <w:style w:type="paragraph" w:styleId="Index3">
    <w:name w:val="index 3"/>
    <w:basedOn w:val="ListNumber2"/>
    <w:next w:val="Normal"/>
    <w:semiHidden/>
    <w:rsid w:val="00566E3C"/>
    <w:pPr>
      <w:numPr>
        <w:numId w:val="0"/>
      </w:numPr>
      <w:tabs>
        <w:tab w:val="right" w:leader="dot" w:pos="4176"/>
      </w:tabs>
    </w:pPr>
  </w:style>
  <w:style w:type="paragraph" w:styleId="ListNumber2">
    <w:name w:val="List Number 2"/>
    <w:basedOn w:val="List2"/>
    <w:rsid w:val="00566E3C"/>
    <w:pPr>
      <w:numPr>
        <w:numId w:val="10"/>
      </w:numPr>
      <w:tabs>
        <w:tab w:val="clear" w:pos="1060"/>
      </w:tabs>
    </w:pPr>
  </w:style>
  <w:style w:type="paragraph" w:customStyle="1" w:styleId="MarginNote">
    <w:name w:val="Margin Note"/>
    <w:basedOn w:val="BodyText"/>
    <w:rsid w:val="00566E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E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E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E3C"/>
    <w:rPr>
      <w:sz w:val="32"/>
    </w:rPr>
  </w:style>
  <w:style w:type="paragraph" w:customStyle="1" w:styleId="HeadingProcedure">
    <w:name w:val="Heading Procedure"/>
    <w:basedOn w:val="HeadingBase"/>
    <w:next w:val="Normal"/>
    <w:rsid w:val="00566E3C"/>
    <w:pPr>
      <w:tabs>
        <w:tab w:val="left" w:pos="0"/>
      </w:tabs>
      <w:spacing w:before="120" w:after="60"/>
    </w:pPr>
    <w:rPr>
      <w:i/>
      <w:color w:val="918585"/>
      <w:sz w:val="22"/>
    </w:rPr>
  </w:style>
  <w:style w:type="paragraph" w:customStyle="1" w:styleId="TableBodyText">
    <w:name w:val="Table Body Text"/>
    <w:basedOn w:val="BodyText"/>
    <w:rsid w:val="00566E3C"/>
    <w:pPr>
      <w:spacing w:before="60" w:after="60"/>
    </w:pPr>
  </w:style>
  <w:style w:type="paragraph" w:styleId="ListContinue">
    <w:name w:val="List Continue"/>
    <w:basedOn w:val="List"/>
    <w:rsid w:val="00566E3C"/>
    <w:pPr>
      <w:ind w:firstLine="0"/>
    </w:pPr>
  </w:style>
  <w:style w:type="paragraph" w:customStyle="1" w:styleId="ListNote">
    <w:name w:val="List Note"/>
    <w:basedOn w:val="List"/>
    <w:rsid w:val="00566E3C"/>
    <w:pPr>
      <w:pBdr>
        <w:top w:val="single" w:sz="6" w:space="2" w:color="918585"/>
        <w:bottom w:val="single" w:sz="6" w:space="2" w:color="918585"/>
      </w:pBdr>
      <w:tabs>
        <w:tab w:val="left" w:pos="1021"/>
      </w:tabs>
      <w:ind w:firstLine="0"/>
    </w:pPr>
  </w:style>
  <w:style w:type="paragraph" w:customStyle="1" w:styleId="Warning">
    <w:name w:val="Warning"/>
    <w:basedOn w:val="BodyText"/>
    <w:rsid w:val="00566E3C"/>
    <w:pPr>
      <w:shd w:val="clear" w:color="auto" w:fill="D9D9D9"/>
      <w:tabs>
        <w:tab w:val="left" w:pos="992"/>
      </w:tabs>
      <w:ind w:left="119" w:right="119"/>
    </w:pPr>
    <w:rPr>
      <w:sz w:val="20"/>
    </w:rPr>
  </w:style>
  <w:style w:type="paragraph" w:customStyle="1" w:styleId="MarginIcons">
    <w:name w:val="Margin Icons"/>
    <w:basedOn w:val="BodyText"/>
    <w:rsid w:val="00566E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E3C"/>
    <w:rPr>
      <w:rFonts w:ascii="Courier New" w:hAnsi="Courier New"/>
    </w:rPr>
  </w:style>
  <w:style w:type="paragraph" w:customStyle="1" w:styleId="NoteBullet">
    <w:name w:val="Note Bullet"/>
    <w:basedOn w:val="Note"/>
    <w:rsid w:val="00566E3C"/>
    <w:pPr>
      <w:tabs>
        <w:tab w:val="clear" w:pos="680"/>
      </w:tabs>
      <w:spacing w:before="60" w:after="60"/>
    </w:pPr>
  </w:style>
  <w:style w:type="paragraph" w:customStyle="1" w:styleId="SubHeading2">
    <w:name w:val="SubHeading2"/>
    <w:basedOn w:val="HeadingBase"/>
    <w:rsid w:val="00566E3C"/>
    <w:pPr>
      <w:spacing w:before="240" w:after="60"/>
    </w:pPr>
    <w:rPr>
      <w:sz w:val="20"/>
    </w:rPr>
  </w:style>
  <w:style w:type="paragraph" w:customStyle="1" w:styleId="SubHeading1">
    <w:name w:val="SubHeading1"/>
    <w:basedOn w:val="HeadingBase"/>
    <w:rsid w:val="00566E3C"/>
    <w:pPr>
      <w:spacing w:before="240" w:after="60"/>
    </w:pPr>
    <w:rPr>
      <w:color w:val="918585"/>
      <w:sz w:val="22"/>
    </w:rPr>
  </w:style>
  <w:style w:type="paragraph" w:customStyle="1" w:styleId="SideHeading">
    <w:name w:val="Side Heading"/>
    <w:basedOn w:val="HeadingBase"/>
    <w:rsid w:val="00566E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E3C"/>
    <w:pPr>
      <w:numPr>
        <w:numId w:val="12"/>
      </w:numPr>
    </w:pPr>
  </w:style>
  <w:style w:type="paragraph" w:styleId="PlainText">
    <w:name w:val="Plain Text"/>
    <w:basedOn w:val="Normal"/>
    <w:link w:val="PlainTextChar"/>
    <w:rsid w:val="00566E3C"/>
    <w:rPr>
      <w:sz w:val="20"/>
    </w:rPr>
  </w:style>
  <w:style w:type="character" w:customStyle="1" w:styleId="PlainTextChar">
    <w:name w:val="Plain Text Char"/>
    <w:basedOn w:val="DefaultParagraphFont"/>
    <w:link w:val="PlainText"/>
    <w:rsid w:val="00566E3C"/>
    <w:rPr>
      <w:rFonts w:ascii="Courier New" w:eastAsia="Times New Roman" w:hAnsi="Courier New" w:cs="Times New Roman"/>
      <w:sz w:val="20"/>
      <w:szCs w:val="20"/>
      <w:lang w:eastAsia="en-US"/>
    </w:rPr>
  </w:style>
  <w:style w:type="character" w:customStyle="1" w:styleId="MenuOption">
    <w:name w:val="Menu Option"/>
    <w:basedOn w:val="DefaultParagraphFont"/>
    <w:rsid w:val="00566E3C"/>
    <w:rPr>
      <w:b/>
      <w:smallCaps/>
    </w:rPr>
  </w:style>
  <w:style w:type="paragraph" w:customStyle="1" w:styleId="TableListNumber">
    <w:name w:val="Table List Number"/>
    <w:basedOn w:val="ListNumber"/>
    <w:rsid w:val="00566E3C"/>
    <w:pPr>
      <w:numPr>
        <w:numId w:val="0"/>
      </w:numPr>
    </w:pPr>
  </w:style>
  <w:style w:type="paragraph" w:styleId="TOC4">
    <w:name w:val="toc 4"/>
    <w:basedOn w:val="TOCBase"/>
    <w:next w:val="Normal"/>
    <w:semiHidden/>
    <w:rsid w:val="00566E3C"/>
    <w:pPr>
      <w:tabs>
        <w:tab w:val="right" w:leader="dot" w:pos="9071"/>
      </w:tabs>
      <w:ind w:left="1701"/>
    </w:pPr>
  </w:style>
  <w:style w:type="paragraph" w:customStyle="1" w:styleId="ListAlpha">
    <w:name w:val="List Alpha"/>
    <w:basedOn w:val="List"/>
    <w:rsid w:val="00566E3C"/>
    <w:pPr>
      <w:numPr>
        <w:numId w:val="9"/>
      </w:numPr>
    </w:pPr>
  </w:style>
  <w:style w:type="paragraph" w:customStyle="1" w:styleId="ListAlpha2">
    <w:name w:val="List Alpha 2"/>
    <w:basedOn w:val="List2"/>
    <w:rsid w:val="00566E3C"/>
    <w:pPr>
      <w:numPr>
        <w:numId w:val="8"/>
      </w:numPr>
    </w:pPr>
  </w:style>
  <w:style w:type="paragraph" w:styleId="List2">
    <w:name w:val="List 2"/>
    <w:basedOn w:val="BodyText"/>
    <w:rsid w:val="00566E3C"/>
    <w:pPr>
      <w:tabs>
        <w:tab w:val="left" w:pos="680"/>
      </w:tabs>
      <w:spacing w:before="60" w:after="60"/>
      <w:ind w:left="680" w:hanging="340"/>
    </w:pPr>
  </w:style>
  <w:style w:type="paragraph" w:styleId="List3">
    <w:name w:val="List 3"/>
    <w:basedOn w:val="BodyText"/>
    <w:rsid w:val="00566E3C"/>
    <w:pPr>
      <w:tabs>
        <w:tab w:val="left" w:pos="1021"/>
      </w:tabs>
      <w:spacing w:before="60" w:after="60"/>
      <w:ind w:left="1020" w:hanging="340"/>
    </w:pPr>
  </w:style>
  <w:style w:type="paragraph" w:styleId="List4">
    <w:name w:val="List 4"/>
    <w:basedOn w:val="BodyText"/>
    <w:rsid w:val="00566E3C"/>
    <w:pPr>
      <w:tabs>
        <w:tab w:val="left" w:pos="1361"/>
      </w:tabs>
      <w:spacing w:before="60" w:after="60"/>
      <w:ind w:left="1361" w:hanging="340"/>
    </w:pPr>
  </w:style>
  <w:style w:type="paragraph" w:styleId="List5">
    <w:name w:val="List 5"/>
    <w:basedOn w:val="BodyText"/>
    <w:rsid w:val="00566E3C"/>
    <w:pPr>
      <w:tabs>
        <w:tab w:val="left" w:pos="1701"/>
      </w:tabs>
      <w:spacing w:before="60" w:after="60"/>
      <w:ind w:left="1701" w:hanging="340"/>
    </w:pPr>
  </w:style>
  <w:style w:type="paragraph" w:styleId="ListBullet3">
    <w:name w:val="List Bullet 3"/>
    <w:basedOn w:val="List3"/>
    <w:rsid w:val="00566E3C"/>
    <w:pPr>
      <w:numPr>
        <w:numId w:val="15"/>
      </w:numPr>
      <w:tabs>
        <w:tab w:val="clear" w:pos="1021"/>
      </w:tabs>
      <w:ind w:left="1037" w:hanging="357"/>
    </w:pPr>
  </w:style>
  <w:style w:type="paragraph" w:styleId="ListBullet4">
    <w:name w:val="List Bullet 4"/>
    <w:basedOn w:val="List4"/>
    <w:rsid w:val="00566E3C"/>
    <w:pPr>
      <w:numPr>
        <w:numId w:val="3"/>
      </w:numPr>
    </w:pPr>
  </w:style>
  <w:style w:type="paragraph" w:styleId="ListBullet5">
    <w:name w:val="List Bullet 5"/>
    <w:basedOn w:val="List5"/>
    <w:rsid w:val="00566E3C"/>
    <w:pPr>
      <w:numPr>
        <w:numId w:val="4"/>
      </w:numPr>
    </w:pPr>
  </w:style>
  <w:style w:type="paragraph" w:styleId="ListContinue2">
    <w:name w:val="List Continue 2"/>
    <w:basedOn w:val="List2"/>
    <w:rsid w:val="00566E3C"/>
    <w:pPr>
      <w:ind w:firstLine="0"/>
    </w:pPr>
  </w:style>
  <w:style w:type="paragraph" w:styleId="ListContinue3">
    <w:name w:val="List Continue 3"/>
    <w:basedOn w:val="List3"/>
    <w:rsid w:val="00566E3C"/>
    <w:pPr>
      <w:ind w:left="1021" w:firstLine="0"/>
    </w:pPr>
  </w:style>
  <w:style w:type="paragraph" w:styleId="ListContinue4">
    <w:name w:val="List Continue 4"/>
    <w:basedOn w:val="List4"/>
    <w:rsid w:val="00566E3C"/>
    <w:pPr>
      <w:ind w:firstLine="0"/>
    </w:pPr>
  </w:style>
  <w:style w:type="paragraph" w:styleId="ListContinue5">
    <w:name w:val="List Continue 5"/>
    <w:basedOn w:val="List5"/>
    <w:rsid w:val="00566E3C"/>
    <w:pPr>
      <w:ind w:firstLine="0"/>
    </w:pPr>
  </w:style>
  <w:style w:type="paragraph" w:styleId="ListNumber3">
    <w:name w:val="List Number 3"/>
    <w:basedOn w:val="List3"/>
    <w:rsid w:val="00566E3C"/>
    <w:pPr>
      <w:numPr>
        <w:numId w:val="5"/>
      </w:numPr>
    </w:pPr>
  </w:style>
  <w:style w:type="paragraph" w:styleId="ListNumber4">
    <w:name w:val="List Number 4"/>
    <w:basedOn w:val="List4"/>
    <w:rsid w:val="00566E3C"/>
    <w:pPr>
      <w:numPr>
        <w:numId w:val="6"/>
      </w:numPr>
    </w:pPr>
  </w:style>
  <w:style w:type="paragraph" w:styleId="ListNumber5">
    <w:name w:val="List Number 5"/>
    <w:basedOn w:val="List5"/>
    <w:rsid w:val="00566E3C"/>
    <w:pPr>
      <w:numPr>
        <w:numId w:val="7"/>
      </w:numPr>
    </w:pPr>
  </w:style>
  <w:style w:type="paragraph" w:styleId="BlockText">
    <w:name w:val="Block Text"/>
    <w:basedOn w:val="Normal"/>
    <w:rsid w:val="00566E3C"/>
    <w:pPr>
      <w:spacing w:after="120"/>
      <w:ind w:left="1440" w:right="1440"/>
    </w:pPr>
  </w:style>
  <w:style w:type="character" w:customStyle="1" w:styleId="Subscript">
    <w:name w:val="Subscript"/>
    <w:basedOn w:val="DefaultParagraphFont"/>
    <w:rsid w:val="00566E3C"/>
    <w:rPr>
      <w:sz w:val="16"/>
      <w:vertAlign w:val="subscript"/>
    </w:rPr>
  </w:style>
  <w:style w:type="character" w:customStyle="1" w:styleId="Superscript">
    <w:name w:val="Superscript"/>
    <w:basedOn w:val="DefaultParagraphFont"/>
    <w:rsid w:val="00566E3C"/>
    <w:rPr>
      <w:sz w:val="16"/>
      <w:vertAlign w:val="superscript"/>
    </w:rPr>
  </w:style>
  <w:style w:type="character" w:customStyle="1" w:styleId="Symbols">
    <w:name w:val="Symbols"/>
    <w:basedOn w:val="DefaultParagraphFont"/>
    <w:rsid w:val="00566E3C"/>
    <w:rPr>
      <w:rFonts w:ascii="Symbol" w:hAnsi="Symbol"/>
    </w:rPr>
  </w:style>
  <w:style w:type="character" w:customStyle="1" w:styleId="MenuOptions">
    <w:name w:val="Menu Options"/>
    <w:basedOn w:val="DefaultParagraphFont"/>
    <w:rsid w:val="00566E3C"/>
    <w:rPr>
      <w:rFonts w:ascii="Arial Narrow" w:hAnsi="Arial Narrow"/>
      <w:smallCaps/>
    </w:rPr>
  </w:style>
  <w:style w:type="character" w:customStyle="1" w:styleId="Buttons">
    <w:name w:val="Buttons"/>
    <w:basedOn w:val="DefaultParagraphFont"/>
    <w:rsid w:val="00566E3C"/>
    <w:rPr>
      <w:b/>
    </w:rPr>
  </w:style>
  <w:style w:type="character" w:customStyle="1" w:styleId="Underlined">
    <w:name w:val="Underlined"/>
    <w:basedOn w:val="DefaultParagraphFont"/>
    <w:rsid w:val="00566E3C"/>
    <w:rPr>
      <w:u w:val="single"/>
    </w:rPr>
  </w:style>
  <w:style w:type="paragraph" w:customStyle="1" w:styleId="TableBodyTextRight">
    <w:name w:val="Table Body Text Right"/>
    <w:basedOn w:val="TableBodyText"/>
    <w:rsid w:val="00566E3C"/>
    <w:pPr>
      <w:widowControl w:val="0"/>
      <w:autoSpaceDE w:val="0"/>
      <w:autoSpaceDN w:val="0"/>
      <w:adjustRightInd w:val="0"/>
      <w:jc w:val="right"/>
    </w:pPr>
    <w:rPr>
      <w:rFonts w:cs="Arial"/>
      <w:szCs w:val="18"/>
    </w:rPr>
  </w:style>
  <w:style w:type="paragraph" w:customStyle="1" w:styleId="CopyrightText">
    <w:name w:val="Copyright Text"/>
    <w:basedOn w:val="BodyText"/>
    <w:rsid w:val="00566E3C"/>
    <w:rPr>
      <w:sz w:val="18"/>
    </w:rPr>
  </w:style>
  <w:style w:type="paragraph" w:customStyle="1" w:styleId="BodySmallRight">
    <w:name w:val="Body Small Right"/>
    <w:basedOn w:val="BodyTextRight"/>
    <w:rsid w:val="00566E3C"/>
    <w:rPr>
      <w:sz w:val="18"/>
      <w:szCs w:val="18"/>
    </w:rPr>
  </w:style>
  <w:style w:type="paragraph" w:customStyle="1" w:styleId="MarginEdition">
    <w:name w:val="Margin Edition"/>
    <w:basedOn w:val="MarginNote"/>
    <w:rsid w:val="00566E3C"/>
    <w:pPr>
      <w:spacing w:before="0" w:after="0"/>
    </w:pPr>
    <w:rPr>
      <w:rFonts w:ascii="Times New Roman" w:hAnsi="Times New Roman"/>
      <w:color w:val="999999"/>
    </w:rPr>
  </w:style>
  <w:style w:type="paragraph" w:customStyle="1" w:styleId="Spacer">
    <w:name w:val="Spacer"/>
    <w:basedOn w:val="Normal"/>
    <w:rsid w:val="00566E3C"/>
    <w:rPr>
      <w:sz w:val="2"/>
      <w:szCs w:val="2"/>
    </w:rPr>
  </w:style>
  <w:style w:type="character" w:customStyle="1" w:styleId="Small">
    <w:name w:val="Small"/>
    <w:basedOn w:val="DefaultParagraphFont"/>
    <w:rsid w:val="00566E3C"/>
    <w:rPr>
      <w:sz w:val="16"/>
    </w:rPr>
  </w:style>
  <w:style w:type="paragraph" w:customStyle="1" w:styleId="WideTable">
    <w:name w:val="Wide Table"/>
    <w:basedOn w:val="Normal"/>
    <w:rsid w:val="00566E3C"/>
    <w:pPr>
      <w:ind w:left="-1418"/>
    </w:pPr>
    <w:rPr>
      <w:sz w:val="2"/>
      <w:szCs w:val="2"/>
    </w:rPr>
  </w:style>
  <w:style w:type="character" w:styleId="PageNumber">
    <w:name w:val="page number"/>
    <w:basedOn w:val="DefaultParagraphFont"/>
    <w:rsid w:val="00566E3C"/>
  </w:style>
  <w:style w:type="paragraph" w:styleId="Quote">
    <w:name w:val="Quote"/>
    <w:basedOn w:val="Heading1"/>
    <w:link w:val="QuoteChar"/>
    <w:qFormat/>
    <w:rsid w:val="00566E3C"/>
    <w:rPr>
      <w:b w:val="0"/>
      <w:sz w:val="72"/>
      <w:szCs w:val="72"/>
      <w:lang w:val="en-NZ"/>
    </w:rPr>
  </w:style>
  <w:style w:type="character" w:customStyle="1" w:styleId="QuoteChar">
    <w:name w:val="Quote Char"/>
    <w:basedOn w:val="DefaultParagraphFont"/>
    <w:link w:val="Quote"/>
    <w:rsid w:val="00566E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E3C"/>
    <w:pPr>
      <w:pageBreakBefore/>
    </w:pPr>
  </w:style>
  <w:style w:type="paragraph" w:customStyle="1" w:styleId="Border">
    <w:name w:val="Border"/>
    <w:basedOn w:val="Normal"/>
    <w:qFormat/>
    <w:rsid w:val="00566E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E3C"/>
    <w:rPr>
      <w:b/>
      <w:bCs/>
      <w:i/>
      <w:iCs/>
      <w:color w:val="auto"/>
    </w:rPr>
  </w:style>
  <w:style w:type="paragraph" w:styleId="IntenseQuote">
    <w:name w:val="Intense Quote"/>
    <w:basedOn w:val="Normal"/>
    <w:next w:val="Normal"/>
    <w:link w:val="IntenseQuoteChar"/>
    <w:uiPriority w:val="30"/>
    <w:qFormat/>
    <w:rsid w:val="00566E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E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E3C"/>
    <w:rPr>
      <w:smallCaps/>
      <w:color w:val="auto"/>
      <w:u w:val="single"/>
    </w:rPr>
  </w:style>
  <w:style w:type="character" w:styleId="IntenseReference">
    <w:name w:val="Intense Reference"/>
    <w:basedOn w:val="DefaultParagraphFont"/>
    <w:uiPriority w:val="32"/>
    <w:qFormat/>
    <w:rsid w:val="00566E3C"/>
    <w:rPr>
      <w:b/>
      <w:bCs/>
      <w:smallCaps/>
      <w:color w:val="auto"/>
      <w:spacing w:val="5"/>
      <w:u w:val="single"/>
    </w:rPr>
  </w:style>
  <w:style w:type="paragraph" w:customStyle="1" w:styleId="2ColumnHeading">
    <w:name w:val="2Column Heading"/>
    <w:basedOn w:val="BodyText"/>
    <w:qFormat/>
    <w:rsid w:val="00566E3C"/>
    <w:pPr>
      <w:spacing w:after="60"/>
      <w:ind w:left="-2268"/>
    </w:pPr>
    <w:rPr>
      <w:b/>
    </w:rPr>
  </w:style>
  <w:style w:type="paragraph" w:customStyle="1" w:styleId="Heading1TOC">
    <w:name w:val="Heading1 TOC"/>
    <w:basedOn w:val="Normal"/>
    <w:qFormat/>
    <w:rsid w:val="00566E3C"/>
    <w:pPr>
      <w:spacing w:before="240" w:after="120"/>
    </w:pPr>
    <w:rPr>
      <w:rFonts w:ascii="Times New Roman" w:hAnsi="Times New Roman"/>
      <w:b/>
      <w:sz w:val="32"/>
    </w:rPr>
  </w:style>
  <w:style w:type="paragraph" w:customStyle="1" w:styleId="Heading2TOC">
    <w:name w:val="Heading2 TOC"/>
    <w:basedOn w:val="Normal"/>
    <w:qFormat/>
    <w:rsid w:val="00566E3C"/>
    <w:pPr>
      <w:spacing w:before="240" w:after="60"/>
    </w:pPr>
    <w:rPr>
      <w:rFonts w:ascii="Times New Roman" w:hAnsi="Times New Roman"/>
      <w:b/>
      <w:sz w:val="28"/>
    </w:rPr>
  </w:style>
  <w:style w:type="character" w:customStyle="1" w:styleId="Underline">
    <w:name w:val="Underline"/>
    <w:basedOn w:val="DefaultParagraphFont"/>
    <w:qFormat/>
    <w:rsid w:val="00566E3C"/>
    <w:rPr>
      <w:u w:val="single"/>
    </w:rPr>
  </w:style>
  <w:style w:type="character" w:customStyle="1" w:styleId="BoldandItalics">
    <w:name w:val="Bold and Italics"/>
    <w:qFormat/>
    <w:rsid w:val="00566E3C"/>
    <w:rPr>
      <w:b/>
      <w:i/>
      <w:u w:val="none"/>
    </w:rPr>
  </w:style>
  <w:style w:type="paragraph" w:styleId="BalloonText">
    <w:name w:val="Balloon Text"/>
    <w:basedOn w:val="Normal"/>
    <w:link w:val="BalloonTextChar"/>
    <w:rsid w:val="00566E3C"/>
    <w:rPr>
      <w:rFonts w:ascii="Tahoma" w:hAnsi="Tahoma" w:cs="Tahoma"/>
      <w:sz w:val="16"/>
      <w:szCs w:val="16"/>
    </w:rPr>
  </w:style>
  <w:style w:type="character" w:customStyle="1" w:styleId="BalloonTextChar">
    <w:name w:val="Balloon Text Char"/>
    <w:basedOn w:val="DefaultParagraphFont"/>
    <w:link w:val="BalloonText"/>
    <w:rsid w:val="00566E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E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6E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E3C"/>
    <w:rPr>
      <w:b/>
      <w:color w:val="660033"/>
      <w:spacing w:val="0"/>
    </w:rPr>
  </w:style>
  <w:style w:type="paragraph" w:customStyle="1" w:styleId="Nameditemlist">
    <w:name w:val="Named item list"/>
    <w:basedOn w:val="BodyText"/>
    <w:qFormat/>
    <w:rsid w:val="00566E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2101</Words>
  <Characters>12498</Characters>
  <Application>Microsoft Office Word</Application>
  <DocSecurity>0</DocSecurity>
  <Lines>508</Lines>
  <Paragraphs>234</Paragraphs>
  <ScaleCrop>false</ScaleCrop>
  <Company>Author-it Software Corporation Ltd.</Company>
  <LinksUpToDate>false</LinksUpToDate>
  <CharactersWithSpaces>14403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UEPMNT445A Diagnose and repair faults in large scale wind turbine generators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2013-03-14T22:15:00Z</dcterms:created>
  <dcterms:modified xsi:type="dcterms:W3CDTF">2013-03-14T22:15:00Z</dcterms:modified>
</cp:coreProperties>
</file>