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C69" w:rsidP="005F5C69">
      <w:pPr>
        <w:pStyle w:val="Title"/>
      </w:pPr>
      <w:bookmarkStart w:id="0" w:name="_GoBack"/>
      <w:bookmarkEnd w:id="0"/>
      <w:r>
        <w:fldChar w:fldCharType="begin"/>
      </w:r>
      <w:r>
        <w:instrText xml:space="preserve"> TITLE   \* MERGEFORMAT </w:instrText>
      </w:r>
      <w:r>
        <w:fldChar w:fldCharType="separate"/>
      </w:r>
      <w:r>
        <w:t>UEPMNT443A Maintain wind turbine generator control systems</w:t>
      </w:r>
      <w:r>
        <w:fldChar w:fldCharType="end"/>
      </w:r>
    </w:p>
    <w:p w:rsidR="005F5C69" w:rsidP="005F5C69">
      <w:pPr>
        <w:pStyle w:val="Version"/>
        <w:sectPr w:rsidSect="009F4F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4F0E" w:rsidP="009F4F0E">
      <w:pPr>
        <w:pStyle w:val="SuperHeading"/>
      </w:pPr>
      <w:r w:rsidRPr="009F4F0E">
        <w:t>UEPMNT443A Maintain wind turbine generator control systems</w:t>
      </w:r>
    </w:p>
    <w:p w:rsidR="00000000" w:rsidRPr="009F4F0E" w:rsidP="009F4F0E">
      <w:pPr>
        <w:pStyle w:val="Heading1"/>
      </w:pPr>
      <w:bookmarkStart w:id="1" w:name="O_490964"/>
      <w:bookmarkEnd w:id="1"/>
      <w:r w:rsidRPr="009F4F0E">
        <w:t>Modification History</w:t>
      </w:r>
    </w:p>
    <w:p w:rsidR="00000000" w:rsidRPr="009F4F0E" w:rsidP="009F4F0E">
      <w:pPr>
        <w:pStyle w:val="BodyText"/>
      </w:pPr>
      <w:r w:rsidRPr="009F4F0E">
        <w:t>Not applicable.</w:t>
      </w:r>
    </w:p>
    <w:p w:rsidR="00000000" w:rsidRPr="009F4F0E" w:rsidP="009F4F0E">
      <w:pPr>
        <w:pStyle w:val="AllowPageBreak"/>
      </w:pPr>
    </w:p>
    <w:p w:rsidR="00000000" w:rsidRPr="009F4F0E" w:rsidP="009F4F0E">
      <w:pPr>
        <w:pStyle w:val="Heading1"/>
      </w:pPr>
      <w:bookmarkStart w:id="2" w:name="O_490962"/>
      <w:bookmarkEnd w:id="2"/>
      <w:r w:rsidRPr="009F4F0E">
        <w:t>Unit Descriptor</w:t>
      </w:r>
    </w:p>
    <w:tbl>
      <w:tblPr>
        <w:tblW w:w="0" w:type="auto"/>
        <w:tblLayout w:type="fixed"/>
        <w:tblCellMar>
          <w:left w:w="62" w:type="dxa"/>
          <w:right w:w="62" w:type="dxa"/>
        </w:tblCellMar>
        <w:tblLook w:val="0000"/>
      </w:tblPr>
      <w:tblGrid>
        <w:gridCol w:w="2700"/>
        <w:gridCol w:w="5760"/>
      </w:tblGrid>
      <w:tr w:rsidTr="005F5C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rPr>
                <w:rStyle w:val="SpecialBold"/>
              </w:rPr>
              <w:t>1)</w:t>
            </w:r>
            <w:r w:rsidRPr="009F4F0E">
              <w:t xml:space="preserve"> </w:t>
            </w:r>
            <w:r w:rsidRPr="009F4F0E">
              <w:rPr>
                <w:rStyle w:val="SpecialBold"/>
              </w:rPr>
              <w:t>Scope:</w:t>
            </w:r>
          </w:p>
        </w:tc>
      </w:tr>
      <w:tr w:rsidTr="005F5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F4F0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rPr>
                <w:rStyle w:val="SpecialBold"/>
              </w:rPr>
              <w:t>1.1) Descriptor</w:t>
            </w:r>
          </w:p>
        </w:tc>
      </w:tr>
      <w:tr w:rsidTr="005F5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t>This unit deals with the skills and knowledge required to undertake the scheduled maintenance of the control systems in larg</w:t>
            </w:r>
            <w:r w:rsidRPr="009F4F0E">
              <w:t>e scale wind turbine generators (WTGs).</w:t>
            </w:r>
          </w:p>
        </w:tc>
      </w:tr>
    </w:tbl>
    <w:p w:rsidR="00000000" w:rsidRPr="009F4F0E" w:rsidP="009F4F0E">
      <w:pPr>
        <w:pStyle w:val="BodyText"/>
      </w:pPr>
    </w:p>
    <w:p w:rsidR="00000000" w:rsidRPr="009F4F0E" w:rsidP="009F4F0E">
      <w:pPr>
        <w:pStyle w:val="AllowPageBreak"/>
      </w:pPr>
    </w:p>
    <w:p w:rsidR="00000000" w:rsidRPr="009F4F0E" w:rsidP="009F4F0E">
      <w:pPr>
        <w:pStyle w:val="Heading1"/>
      </w:pPr>
      <w:bookmarkStart w:id="3" w:name="O_490951"/>
      <w:bookmarkEnd w:id="3"/>
      <w:r w:rsidRPr="009F4F0E">
        <w:t>Application of the Unit</w:t>
      </w:r>
    </w:p>
    <w:tbl>
      <w:tblPr>
        <w:tblW w:w="0" w:type="auto"/>
        <w:tblLayout w:type="fixed"/>
        <w:tblCellMar>
          <w:left w:w="62" w:type="dxa"/>
          <w:right w:w="62" w:type="dxa"/>
        </w:tblCellMar>
        <w:tblLook w:val="0000"/>
      </w:tblPr>
      <w:tblGrid>
        <w:gridCol w:w="2672"/>
        <w:gridCol w:w="5699"/>
      </w:tblGrid>
      <w:tr w:rsidTr="005F5C6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rPr>
                <w:rStyle w:val="SpecialBold"/>
              </w:rPr>
              <w:t>2)</w:t>
            </w:r>
          </w:p>
        </w:tc>
      </w:tr>
      <w:tr w:rsidTr="005F5C6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t xml:space="preserve">This unit is intended to augment formally acquired competencies. It is suitable for employment-based programs under an approved contract of </w:t>
            </w:r>
            <w:r w:rsidRPr="009F4F0E">
              <w:t>training.</w:t>
            </w:r>
          </w:p>
        </w:tc>
      </w:tr>
    </w:tbl>
    <w:p w:rsidR="00000000" w:rsidRPr="009F4F0E" w:rsidP="009F4F0E">
      <w:pPr>
        <w:pStyle w:val="BodyText"/>
      </w:pPr>
    </w:p>
    <w:p w:rsidR="00000000" w:rsidRPr="009F4F0E" w:rsidP="009F4F0E">
      <w:pPr>
        <w:pStyle w:val="AllowPageBreak"/>
      </w:pPr>
    </w:p>
    <w:p w:rsidR="00000000" w:rsidRPr="009F4F0E" w:rsidP="009F4F0E">
      <w:pPr>
        <w:pStyle w:val="Heading1"/>
      </w:pPr>
      <w:bookmarkStart w:id="4" w:name="O_490958"/>
      <w:bookmarkEnd w:id="4"/>
      <w:r w:rsidRPr="009F4F0E">
        <w:t>Licensing/Regulatory Information</w:t>
      </w:r>
    </w:p>
    <w:tbl>
      <w:tblPr>
        <w:tblW w:w="0" w:type="auto"/>
        <w:tblLayout w:type="fixed"/>
        <w:tblCellMar>
          <w:left w:w="62" w:type="dxa"/>
          <w:right w:w="62" w:type="dxa"/>
        </w:tblCellMar>
        <w:tblLook w:val="0000"/>
      </w:tblPr>
      <w:tblGrid>
        <w:gridCol w:w="2700"/>
        <w:gridCol w:w="5760"/>
      </w:tblGrid>
      <w:tr w:rsidTr="005F5C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rPr>
                <w:rStyle w:val="SpecialBold"/>
              </w:rPr>
              <w:t xml:space="preserve">3) </w:t>
            </w:r>
          </w:p>
        </w:tc>
      </w:tr>
      <w:tr w:rsidTr="005F5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t>The skills and knowledge described in this unit do not require a licence to practise in the workplace. However, practice in this unit is subject to regulations directly</w:t>
            </w:r>
            <w:r w:rsidRPr="009F4F0E">
              <w:t xml:space="preserve"> related to Occupational Health and Safety and where applicable contracts of training such as apprenticeships and the like.</w:t>
            </w:r>
          </w:p>
        </w:tc>
      </w:tr>
    </w:tbl>
    <w:p w:rsidR="00000000" w:rsidRPr="009F4F0E" w:rsidP="009F4F0E">
      <w:pPr>
        <w:pStyle w:val="BodyText"/>
      </w:pPr>
    </w:p>
    <w:p w:rsidR="00000000" w:rsidRPr="009F4F0E" w:rsidP="009F4F0E">
      <w:pPr>
        <w:pStyle w:val="AllowPageBreak"/>
      </w:pPr>
    </w:p>
    <w:p w:rsidR="00000000" w:rsidRPr="009F4F0E" w:rsidP="009F4F0E">
      <w:pPr>
        <w:pStyle w:val="Heading1"/>
      </w:pPr>
      <w:bookmarkStart w:id="5" w:name="O_490959"/>
      <w:bookmarkEnd w:id="5"/>
      <w:r w:rsidRPr="009F4F0E">
        <w:t>Pre-Requisites</w:t>
      </w:r>
    </w:p>
    <w:tbl>
      <w:tblPr>
        <w:tblW w:w="0" w:type="auto"/>
        <w:tblLayout w:type="fixed"/>
        <w:tblCellMar>
          <w:left w:w="62" w:type="dxa"/>
          <w:right w:w="62" w:type="dxa"/>
        </w:tblCellMar>
        <w:tblLook w:val="0000"/>
      </w:tblPr>
      <w:tblGrid>
        <w:gridCol w:w="2700"/>
        <w:gridCol w:w="1624"/>
        <w:gridCol w:w="4140"/>
      </w:tblGrid>
      <w:tr w:rsidTr="005F5C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rPr>
                <w:rStyle w:val="SpecialBold"/>
              </w:rPr>
              <w:t xml:space="preserve">4) </w:t>
            </w:r>
          </w:p>
        </w:tc>
      </w:tr>
      <w:tr w:rsidTr="005F5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rPr>
                <w:rStyle w:val="SpecialBold"/>
              </w:rPr>
              <w:t>4.1)</w:t>
            </w:r>
          </w:p>
        </w:tc>
      </w:tr>
      <w:tr w:rsidTr="005F5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t>Granting of competency in this unit shall be made only after competency in the following unit(s) has/have been confirmed.</w:t>
            </w:r>
          </w:p>
          <w:p w:rsidR="00000000" w:rsidRPr="009F4F0E" w:rsidP="009F4F0E">
            <w:pPr>
              <w:pStyle w:val="BodyText"/>
            </w:pPr>
            <w:r w:rsidRPr="009F4F0E">
              <w:t>Where pre-requisite pathways have been identified. All competencies in the Common Unit Group must have been completed.</w:t>
            </w:r>
          </w:p>
          <w:p w:rsidR="00000000" w:rsidP="009F4F0E">
            <w:pPr>
              <w:pStyle w:val="BodyText"/>
              <w:rPr>
                <w:lang w:val="en-NZ"/>
              </w:rPr>
            </w:pPr>
            <w:r w:rsidRPr="009F4F0E">
              <w:t>Common Unit Gro</w:t>
            </w:r>
            <w:r w:rsidRPr="009F4F0E">
              <w:t>up</w:t>
            </w:r>
          </w:p>
        </w:tc>
      </w:tr>
      <w:tr w:rsidTr="005F5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4"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Unit Code</w:t>
            </w:r>
            <w:r w:rsidRPr="009F4F0E">
              <w:tab/>
            </w:r>
          </w:p>
        </w:tc>
        <w:tc>
          <w:tcPr>
            <w:tcW w:w="414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Unit Title</w:t>
            </w:r>
          </w:p>
        </w:tc>
      </w:tr>
      <w:tr w:rsidTr="005F5C69">
        <w:tblPrEx>
          <w:tblW w:w="0" w:type="auto"/>
          <w:tblLayout w:type="fixed"/>
          <w:tblCellMar>
            <w:left w:w="62" w:type="dxa"/>
            <w:right w:w="62" w:type="dxa"/>
          </w:tblCellMar>
          <w:tblLook w:val="0000"/>
        </w:tblPrEx>
        <w:trPr>
          <w:trHeight w:val="34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4"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 xml:space="preserve">UEPMNT371A </w:t>
            </w:r>
          </w:p>
        </w:tc>
        <w:tc>
          <w:tcPr>
            <w:tcW w:w="414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Maintain large scale wind turbine generators</w:t>
            </w:r>
          </w:p>
        </w:tc>
      </w:tr>
      <w:tr w:rsidTr="005F5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4"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UEENEEE101A</w:t>
            </w:r>
          </w:p>
        </w:tc>
        <w:tc>
          <w:tcPr>
            <w:tcW w:w="414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t>Apply Occupational Health and Safety regulations, codes and practices in the workplace</w:t>
            </w:r>
          </w:p>
        </w:tc>
      </w:tr>
    </w:tbl>
    <w:p w:rsidR="00000000" w:rsidRPr="009F4F0E" w:rsidP="009F4F0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F5C6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rPr>
                <w:rStyle w:val="SpecialBold"/>
              </w:rPr>
              <w:t xml:space="preserve">4.2) </w:t>
            </w:r>
          </w:p>
        </w:tc>
      </w:tr>
      <w:tr w:rsidTr="005F5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Participants are best equipped to achieve this unit if they have reading, writing and numeracy skills indicated by the following levels. A description of what each level entails is provided in Section 2.3.1 Language, Literacy and Numeracy.</w:t>
            </w:r>
          </w:p>
        </w:tc>
      </w:tr>
      <w:tr w:rsidTr="005F5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Reading</w:t>
            </w:r>
          </w:p>
        </w:tc>
        <w:tc>
          <w:tcPr>
            <w:tcW w:w="81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3</w:t>
            </w:r>
          </w:p>
        </w:tc>
        <w:tc>
          <w:tcPr>
            <w:tcW w:w="99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Writing</w:t>
            </w:r>
          </w:p>
        </w:tc>
        <w:tc>
          <w:tcPr>
            <w:tcW w:w="90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3</w:t>
            </w:r>
          </w:p>
        </w:tc>
        <w:tc>
          <w:tcPr>
            <w:tcW w:w="126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Numeracy</w:t>
            </w:r>
          </w:p>
        </w:tc>
        <w:tc>
          <w:tcPr>
            <w:tcW w:w="72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t>3</w:t>
            </w:r>
          </w:p>
        </w:tc>
      </w:tr>
    </w:tbl>
    <w:p w:rsidR="00000000" w:rsidRPr="009F4F0E" w:rsidP="009F4F0E">
      <w:pPr>
        <w:pStyle w:val="BodyText"/>
      </w:pPr>
    </w:p>
    <w:p w:rsidR="00000000" w:rsidRPr="009F4F0E" w:rsidP="009F4F0E">
      <w:pPr>
        <w:pStyle w:val="AllowPageBreak"/>
      </w:pPr>
    </w:p>
    <w:p w:rsidR="00000000" w:rsidRPr="009F4F0E" w:rsidP="009F4F0E">
      <w:pPr>
        <w:pStyle w:val="Heading1"/>
      </w:pPr>
      <w:bookmarkStart w:id="6" w:name="O_490955"/>
      <w:bookmarkEnd w:id="6"/>
      <w:r w:rsidRPr="009F4F0E">
        <w:t>Employability Skills Information</w:t>
      </w:r>
    </w:p>
    <w:tbl>
      <w:tblPr>
        <w:tblW w:w="0" w:type="auto"/>
        <w:tblLayout w:type="fixed"/>
        <w:tblCellMar>
          <w:left w:w="62" w:type="dxa"/>
          <w:right w:w="62" w:type="dxa"/>
        </w:tblCellMar>
        <w:tblLook w:val="0000"/>
      </w:tblPr>
      <w:tblGrid>
        <w:gridCol w:w="2700"/>
        <w:gridCol w:w="5760"/>
      </w:tblGrid>
      <w:tr w:rsidTr="005F5C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rPr>
                <w:rStyle w:val="SpecialBold"/>
              </w:rPr>
              <w:t xml:space="preserve">5) </w:t>
            </w:r>
          </w:p>
        </w:tc>
      </w:tr>
      <w:tr w:rsidTr="005F5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t>This unit contains Employability Skills.</w:t>
            </w:r>
          </w:p>
          <w:p w:rsidR="00000000" w:rsidRPr="009F4F0E" w:rsidP="009F4F0E">
            <w:pPr>
              <w:pStyle w:val="BodyText"/>
            </w:pPr>
            <w:r w:rsidRPr="009F4F0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F4F0E">
              <w:t>requirements.</w:t>
            </w:r>
          </w:p>
        </w:tc>
      </w:tr>
    </w:tbl>
    <w:p w:rsidR="00000000" w:rsidRPr="009F4F0E" w:rsidP="009F4F0E">
      <w:pPr>
        <w:pStyle w:val="BodyText"/>
      </w:pPr>
    </w:p>
    <w:p w:rsidR="00000000" w:rsidRPr="009F4F0E" w:rsidP="009F4F0E">
      <w:pPr>
        <w:pStyle w:val="AllowPageBreak"/>
      </w:pPr>
    </w:p>
    <w:p w:rsidR="00000000" w:rsidRPr="009F4F0E" w:rsidP="009F4F0E">
      <w:pPr>
        <w:pStyle w:val="Heading1"/>
      </w:pPr>
      <w:bookmarkStart w:id="7" w:name="O_490954"/>
      <w:bookmarkEnd w:id="7"/>
      <w:r w:rsidRPr="009F4F0E">
        <w:t>Elements and Performance Criteria Pre-Content</w:t>
      </w:r>
    </w:p>
    <w:tbl>
      <w:tblPr>
        <w:tblW w:w="0" w:type="auto"/>
        <w:tblLayout w:type="fixed"/>
        <w:tblCellMar>
          <w:left w:w="62" w:type="dxa"/>
          <w:right w:w="62" w:type="dxa"/>
        </w:tblCellMar>
        <w:tblLook w:val="0000"/>
      </w:tblPr>
      <w:tblGrid>
        <w:gridCol w:w="2700"/>
        <w:gridCol w:w="5760"/>
      </w:tblGrid>
      <w:tr w:rsidTr="005F5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rPr>
                <w:rStyle w:val="SpecialBold"/>
              </w:rPr>
              <w:t>6)</w:t>
            </w:r>
            <w:r w:rsidRPr="009F4F0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t>Performance Cri</w:t>
            </w:r>
            <w:r w:rsidRPr="009F4F0E">
              <w:t>teria describe the required performance needed to demonstrate achievement of the element. Assessment of performance is to be consistent with the Evidence Guide.</w:t>
            </w:r>
          </w:p>
        </w:tc>
      </w:tr>
    </w:tbl>
    <w:p w:rsidR="00000000" w:rsidRPr="009F4F0E" w:rsidP="009F4F0E">
      <w:pPr>
        <w:pStyle w:val="BodyText"/>
      </w:pPr>
    </w:p>
    <w:p w:rsidR="00000000" w:rsidRPr="009F4F0E" w:rsidP="009F4F0E">
      <w:pPr>
        <w:pStyle w:val="AllowPageBreak"/>
      </w:pPr>
    </w:p>
    <w:p w:rsidR="00000000" w:rsidRPr="009F4F0E" w:rsidP="009F4F0E">
      <w:pPr>
        <w:pStyle w:val="Heading1"/>
      </w:pPr>
      <w:bookmarkStart w:id="8" w:name="O_490953"/>
      <w:bookmarkEnd w:id="8"/>
      <w:r w:rsidRPr="009F4F0E">
        <w:t>Elements and Performance Criteria</w:t>
      </w:r>
    </w:p>
    <w:tbl>
      <w:tblPr>
        <w:tblW w:w="0" w:type="auto"/>
        <w:tblLayout w:type="fixed"/>
        <w:tblCellMar>
          <w:left w:w="62" w:type="dxa"/>
          <w:right w:w="62" w:type="dxa"/>
        </w:tblCellMar>
        <w:tblLook w:val="0000"/>
      </w:tblPr>
      <w:tblGrid>
        <w:gridCol w:w="342"/>
        <w:gridCol w:w="2358"/>
        <w:gridCol w:w="838"/>
        <w:gridCol w:w="4922"/>
      </w:tblGrid>
      <w:tr w:rsidTr="005F5C6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rPr>
                <w:rStyle w:val="SpecialBold"/>
              </w:rPr>
              <w:t>PERFORMANCE CRITERIA</w:t>
            </w:r>
          </w:p>
        </w:tc>
      </w:tr>
      <w:tr w:rsidTr="005F5C6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1</w:t>
            </w:r>
          </w:p>
        </w:tc>
        <w:tc>
          <w:tcPr>
            <w:tcW w:w="2358"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t>Plan and prepare for the work</w:t>
            </w:r>
          </w:p>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1.1</w:t>
            </w:r>
          </w:p>
        </w:tc>
        <w:tc>
          <w:tcPr>
            <w:tcW w:w="492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Work requirements are identified from request/work orders or equivalent and clarified/confirmed with appropriate parties or by site inspection</w:t>
            </w:r>
          </w:p>
        </w:tc>
      </w:tr>
      <w:tr w:rsidTr="005F5C6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1.2</w:t>
            </w:r>
          </w:p>
        </w:tc>
        <w:tc>
          <w:tcPr>
            <w:tcW w:w="492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Occupational Health and Safety standards, statutory requirements, relev</w:t>
            </w:r>
            <w:r w:rsidRPr="009F4F0E">
              <w:t>ant Australian standards, codes of practice, manufacturer specifications, environmental requirements and enterprise procedures are identified, applied and monitored throughout the work procedure.</w:t>
            </w:r>
          </w:p>
        </w:tc>
      </w:tr>
      <w:tr w:rsidTr="005F5C6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1.3</w:t>
            </w:r>
          </w:p>
        </w:tc>
        <w:tc>
          <w:tcPr>
            <w:tcW w:w="492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Resources required to satisfy the work plan are identified, obtained and inspected for compliance with the job specifications</w:t>
            </w:r>
          </w:p>
        </w:tc>
      </w:tr>
      <w:tr w:rsidTr="005F5C6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1.4</w:t>
            </w:r>
          </w:p>
        </w:tc>
        <w:tc>
          <w:tcPr>
            <w:tcW w:w="492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Relevant plans, drawings and texts are selected and interpreted in accordance with the work plan</w:t>
            </w:r>
          </w:p>
        </w:tc>
      </w:tr>
      <w:tr w:rsidTr="005F5C6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1.5</w:t>
            </w:r>
          </w:p>
        </w:tc>
        <w:tc>
          <w:tcPr>
            <w:tcW w:w="492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 xml:space="preserve">Work is planned in </w:t>
            </w:r>
            <w:r w:rsidRPr="009F4F0E">
              <w:t>detail including sequencing and prioritising and considerations made, where appropriate, for the maintenance of plant security and capacity in accordance with system/site requirements</w:t>
            </w:r>
          </w:p>
        </w:tc>
      </w:tr>
      <w:tr w:rsidTr="005F5C6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1.6</w:t>
            </w:r>
          </w:p>
        </w:tc>
        <w:tc>
          <w:tcPr>
            <w:tcW w:w="492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Coordination requirements, including requests for isolations wher</w:t>
            </w:r>
            <w:r w:rsidRPr="009F4F0E">
              <w:t>e appropriate, are resolved with others involved, affected or required by the work</w:t>
            </w:r>
          </w:p>
        </w:tc>
      </w:tr>
      <w:tr w:rsidTr="005F5C6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1.7</w:t>
            </w:r>
          </w:p>
        </w:tc>
        <w:tc>
          <w:tcPr>
            <w:tcW w:w="492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Work area is prepared in accordance with work requirements and site procedures</w:t>
            </w:r>
          </w:p>
        </w:tc>
      </w:tr>
      <w:tr w:rsidTr="005F5C6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1.8</w:t>
            </w:r>
          </w:p>
        </w:tc>
        <w:tc>
          <w:tcPr>
            <w:tcW w:w="492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 xml:space="preserve">Where appropriate, the teams and individuals roles and responsibilities within the team are identified and, where required, assist in the provision of on-the-job training </w:t>
            </w:r>
          </w:p>
        </w:tc>
      </w:tr>
      <w:tr w:rsidTr="005F5C6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2</w:t>
            </w:r>
          </w:p>
        </w:tc>
        <w:tc>
          <w:tcPr>
            <w:tcW w:w="235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Conduct maintenance on WTG control systems</w:t>
            </w:r>
          </w:p>
        </w:tc>
        <w:tc>
          <w:tcPr>
            <w:tcW w:w="83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2.1</w:t>
            </w:r>
          </w:p>
        </w:tc>
        <w:tc>
          <w:tcPr>
            <w:tcW w:w="492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If required, equipment is replaced</w:t>
            </w:r>
            <w:r w:rsidRPr="009F4F0E">
              <w:t xml:space="preserve"> due to faulty operation or maintenance plan requirements in accordance with manufacturer specifications and site procedures</w:t>
            </w:r>
          </w:p>
        </w:tc>
      </w:tr>
      <w:tr w:rsidTr="005F5C6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2.2</w:t>
            </w:r>
          </w:p>
        </w:tc>
        <w:tc>
          <w:tcPr>
            <w:tcW w:w="492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Documented service checklists (or similar documentation) are followed</w:t>
            </w:r>
          </w:p>
        </w:tc>
      </w:tr>
      <w:tr w:rsidTr="005F5C6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2.3</w:t>
            </w:r>
          </w:p>
        </w:tc>
        <w:tc>
          <w:tcPr>
            <w:tcW w:w="492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Diagnostic testing and data from monitoring sys</w:t>
            </w:r>
            <w:r w:rsidRPr="009F4F0E">
              <w:t>tems are used to identify those components requiring maintenance</w:t>
            </w:r>
          </w:p>
        </w:tc>
      </w:tr>
      <w:tr w:rsidTr="005F5C6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2.4</w:t>
            </w:r>
          </w:p>
        </w:tc>
        <w:tc>
          <w:tcPr>
            <w:tcW w:w="492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If required equipment is dismantled for maintenance in accordance with manufacturer specifications and site procedures.</w:t>
            </w:r>
          </w:p>
        </w:tc>
      </w:tr>
      <w:tr w:rsidTr="005F5C6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2.5</w:t>
            </w:r>
          </w:p>
        </w:tc>
        <w:tc>
          <w:tcPr>
            <w:tcW w:w="492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Techniques are used to enable identification and/or re-assembly in accordance with job requirements and site procedures.</w:t>
            </w:r>
          </w:p>
        </w:tc>
      </w:tr>
      <w:tr w:rsidTr="005F5C6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2.6</w:t>
            </w:r>
          </w:p>
        </w:tc>
        <w:tc>
          <w:tcPr>
            <w:tcW w:w="492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If required, new components are obtained and inspected for compliance with manufacturer specifications.</w:t>
            </w:r>
          </w:p>
        </w:tc>
      </w:tr>
      <w:tr w:rsidTr="005F5C6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2.7</w:t>
            </w:r>
          </w:p>
        </w:tc>
        <w:tc>
          <w:tcPr>
            <w:tcW w:w="492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Equipment is test</w:t>
            </w:r>
            <w:r w:rsidRPr="009F4F0E">
              <w:t>ed, monitored and adjusted as required in accordance with manufacturer specifications and site/enterprise requirements.</w:t>
            </w:r>
          </w:p>
        </w:tc>
      </w:tr>
      <w:tr w:rsidTr="005F5C6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3</w:t>
            </w:r>
          </w:p>
        </w:tc>
        <w:tc>
          <w:tcPr>
            <w:tcW w:w="235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Complete the work</w:t>
            </w:r>
          </w:p>
        </w:tc>
        <w:tc>
          <w:tcPr>
            <w:tcW w:w="83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3.1</w:t>
            </w:r>
          </w:p>
        </w:tc>
        <w:tc>
          <w:tcPr>
            <w:tcW w:w="492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Work is completed and appropriate personnel notified in accordance with site/enterprise requirements</w:t>
            </w:r>
          </w:p>
        </w:tc>
      </w:tr>
      <w:tr w:rsidTr="005F5C6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3.2</w:t>
            </w:r>
          </w:p>
        </w:tc>
        <w:tc>
          <w:tcPr>
            <w:tcW w:w="492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Work area is cleared of waste, cleaned, restored and secured in accordance with site/enterprise procedures</w:t>
            </w:r>
          </w:p>
        </w:tc>
      </w:tr>
      <w:tr w:rsidTr="005F5C6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3.3</w:t>
            </w:r>
          </w:p>
        </w:tc>
        <w:tc>
          <w:tcPr>
            <w:tcW w:w="492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Plant, tools and equipment are maintained and stored in accordance with site/enterprise procedures</w:t>
            </w:r>
          </w:p>
        </w:tc>
      </w:tr>
      <w:tr w:rsidTr="005F5C6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3.4</w:t>
            </w:r>
          </w:p>
        </w:tc>
        <w:tc>
          <w:tcPr>
            <w:tcW w:w="4922"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Work completion details are finalise</w:t>
            </w:r>
            <w:r w:rsidRPr="009F4F0E">
              <w:t>d in accordance with site/enterprise procedures</w:t>
            </w:r>
          </w:p>
        </w:tc>
      </w:tr>
      <w:tr w:rsidTr="005F5C69">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3.5</w:t>
            </w:r>
          </w:p>
        </w:tc>
        <w:tc>
          <w:tcPr>
            <w:tcW w:w="4922"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t>Lessons learnt from the activity or experience are shared with other team members and recorded for future reference.</w:t>
            </w:r>
          </w:p>
        </w:tc>
      </w:tr>
    </w:tbl>
    <w:p w:rsidR="00000000" w:rsidRPr="009F4F0E" w:rsidP="009F4F0E">
      <w:pPr>
        <w:pStyle w:val="BodyText"/>
      </w:pPr>
    </w:p>
    <w:p w:rsidR="00000000" w:rsidRPr="009F4F0E" w:rsidP="009F4F0E">
      <w:pPr>
        <w:pStyle w:val="AllowPageBreak"/>
      </w:pPr>
    </w:p>
    <w:p w:rsidR="00000000" w:rsidRPr="009F4F0E" w:rsidP="009F4F0E">
      <w:pPr>
        <w:pStyle w:val="Heading1"/>
      </w:pPr>
      <w:bookmarkStart w:id="9" w:name="O_490961"/>
      <w:bookmarkEnd w:id="9"/>
      <w:r w:rsidRPr="009F4F0E">
        <w:t>Required Skills and Knowledge</w:t>
      </w:r>
    </w:p>
    <w:tbl>
      <w:tblPr>
        <w:tblW w:w="0" w:type="auto"/>
        <w:tblLayout w:type="fixed"/>
        <w:tblCellMar>
          <w:left w:w="62" w:type="dxa"/>
          <w:right w:w="62" w:type="dxa"/>
        </w:tblCellMar>
        <w:tblLook w:val="0000"/>
      </w:tblPr>
      <w:tblGrid>
        <w:gridCol w:w="1710"/>
        <w:gridCol w:w="6750"/>
      </w:tblGrid>
      <w:tr w:rsidTr="005F5C6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rPr>
                <w:rStyle w:val="SpecialBold"/>
              </w:rPr>
              <w:t>REQUIRED SKILLS AND KNOWLEDGE</w:t>
            </w:r>
          </w:p>
        </w:tc>
      </w:tr>
      <w:tr w:rsidTr="005F5C69">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rPr>
                <w:rStyle w:val="SpecialBold"/>
              </w:rPr>
              <w:t>8)</w:t>
            </w:r>
            <w:r w:rsidRPr="009F4F0E">
              <w:t xml:space="preserve"> This describes the essential skills and knowledge and their level, required for this unit.</w:t>
            </w:r>
          </w:p>
          <w:p w:rsidR="00000000" w:rsidP="009F4F0E">
            <w:pPr>
              <w:pStyle w:val="BodyText"/>
              <w:rPr>
                <w:lang w:val="en-NZ"/>
              </w:rPr>
            </w:pPr>
            <w:r w:rsidRPr="009F4F0E">
              <w:t>All knowledge and skills detailed in this unit should be contextualised to current industry practices and technologies.</w:t>
            </w:r>
          </w:p>
        </w:tc>
      </w:tr>
      <w:tr w:rsidTr="005F5C69">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KS01-PM443A</w:t>
            </w:r>
          </w:p>
        </w:tc>
        <w:tc>
          <w:tcPr>
            <w:tcW w:w="675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Maintain wind turbine generato</w:t>
            </w:r>
            <w:r w:rsidRPr="009F4F0E">
              <w:t>r control systems</w:t>
            </w:r>
          </w:p>
        </w:tc>
      </w:tr>
      <w:tr w:rsidTr="005F5C69">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Evidence shall show that knowledge has been acquired of maintaining wind turbine generator control systems to the extent indicated by the following aspects:</w:t>
            </w:r>
          </w:p>
        </w:tc>
      </w:tr>
      <w:tr w:rsidTr="005F5C6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t>T1.</w:t>
            </w:r>
            <w:r w:rsidRPr="009F4F0E">
              <w:tab/>
            </w:r>
            <w:r w:rsidRPr="009F4F0E">
              <w:t>Principles of programmable logic controllers (PLC), digital control systems (DCS) and similar technology</w:t>
            </w:r>
          </w:p>
          <w:p w:rsidR="00000000" w:rsidRPr="009F4F0E" w:rsidP="009F4F0E">
            <w:pPr>
              <w:pStyle w:val="BodyText"/>
            </w:pPr>
            <w:r w:rsidRPr="009F4F0E">
              <w:t>T2.</w:t>
            </w:r>
            <w:r w:rsidRPr="009F4F0E">
              <w:tab/>
              <w:t>Sensors used in wind turbine generators</w:t>
            </w:r>
          </w:p>
          <w:p w:rsidR="00000000" w:rsidRPr="009F4F0E" w:rsidP="009F4F0E">
            <w:pPr>
              <w:pStyle w:val="ListBullet2"/>
            </w:pPr>
            <w:r w:rsidRPr="009F4F0E">
              <w:t>Current transformers and current sensors</w:t>
            </w:r>
          </w:p>
          <w:p w:rsidR="00000000" w:rsidRPr="009F4F0E" w:rsidP="009F4F0E">
            <w:pPr>
              <w:pStyle w:val="ListBullet2"/>
            </w:pPr>
            <w:r w:rsidRPr="009F4F0E">
              <w:t>Voltage transformers and voltage sensors</w:t>
            </w:r>
          </w:p>
          <w:p w:rsidR="00000000" w:rsidRPr="009F4F0E" w:rsidP="009F4F0E">
            <w:pPr>
              <w:pStyle w:val="ListBullet2"/>
            </w:pPr>
            <w:r w:rsidRPr="009F4F0E">
              <w:t>Temperature sensors</w:t>
            </w:r>
          </w:p>
          <w:p w:rsidR="00000000" w:rsidRPr="009F4F0E" w:rsidP="009F4F0E">
            <w:pPr>
              <w:pStyle w:val="ListBullet2"/>
            </w:pPr>
            <w:r w:rsidRPr="009F4F0E">
              <w:t>Proximity sensors</w:t>
            </w:r>
          </w:p>
          <w:p w:rsidR="00000000" w:rsidRPr="009F4F0E" w:rsidP="009F4F0E">
            <w:pPr>
              <w:pStyle w:val="ListBullet2"/>
            </w:pPr>
            <w:r w:rsidRPr="009F4F0E">
              <w:t>Vibration sensors</w:t>
            </w:r>
          </w:p>
          <w:p w:rsidR="00000000" w:rsidRPr="009F4F0E" w:rsidP="009F4F0E">
            <w:pPr>
              <w:pStyle w:val="ListBullet2"/>
            </w:pPr>
            <w:r w:rsidRPr="009F4F0E">
              <w:t>Resolvers and encoders</w:t>
            </w:r>
          </w:p>
          <w:p w:rsidR="00000000" w:rsidRPr="009F4F0E" w:rsidP="009F4F0E">
            <w:pPr>
              <w:pStyle w:val="ListBullet2"/>
            </w:pPr>
            <w:r w:rsidRPr="009F4F0E">
              <w:t>Wind direction and velocity sensors</w:t>
            </w:r>
          </w:p>
          <w:p w:rsidR="00000000" w:rsidRPr="009F4F0E" w:rsidP="009F4F0E">
            <w:pPr>
              <w:pStyle w:val="ListBullet2"/>
            </w:pPr>
            <w:r w:rsidRPr="009F4F0E">
              <w:t>Intrusion sensors</w:t>
            </w:r>
          </w:p>
          <w:p w:rsidR="00000000" w:rsidRPr="009F4F0E" w:rsidP="009F4F0E">
            <w:pPr>
              <w:pStyle w:val="ListBullet2"/>
            </w:pPr>
            <w:r w:rsidRPr="009F4F0E">
              <w:t>Position sensors</w:t>
            </w:r>
          </w:p>
          <w:p w:rsidR="00000000" w:rsidRPr="009F4F0E" w:rsidP="009F4F0E">
            <w:pPr>
              <w:pStyle w:val="ListBullet2"/>
            </w:pPr>
            <w:r w:rsidRPr="009F4F0E">
              <w:t>Pressure sensors</w:t>
            </w:r>
          </w:p>
          <w:p w:rsidR="00000000" w:rsidRPr="009F4F0E" w:rsidP="009F4F0E">
            <w:pPr>
              <w:pStyle w:val="BodyText"/>
            </w:pPr>
            <w:r w:rsidRPr="009F4F0E">
              <w:t>T3.</w:t>
            </w:r>
            <w:r w:rsidRPr="009F4F0E">
              <w:tab/>
              <w:t>Analog and digital signals</w:t>
            </w:r>
          </w:p>
          <w:p w:rsidR="00000000" w:rsidRPr="009F4F0E" w:rsidP="009F4F0E">
            <w:pPr>
              <w:pStyle w:val="BodyText"/>
            </w:pPr>
            <w:r w:rsidRPr="009F4F0E">
              <w:t>T4.</w:t>
            </w:r>
            <w:r w:rsidRPr="009F4F0E">
              <w:tab/>
              <w:t>Overview of data communications techniques applicable to the wind generati</w:t>
            </w:r>
            <w:r w:rsidRPr="009F4F0E">
              <w:t>on industry:</w:t>
            </w:r>
          </w:p>
          <w:p w:rsidR="00000000" w:rsidRPr="009F4F0E" w:rsidP="009F4F0E">
            <w:pPr>
              <w:pStyle w:val="ListBullet2"/>
            </w:pPr>
            <w:r w:rsidRPr="009F4F0E">
              <w:t>Ethernet TCP/IP</w:t>
            </w:r>
          </w:p>
          <w:p w:rsidR="00000000" w:rsidRPr="009F4F0E" w:rsidP="009F4F0E">
            <w:pPr>
              <w:pStyle w:val="ListBullet2"/>
            </w:pPr>
            <w:r w:rsidRPr="009F4F0E">
              <w:t>Optic fibre</w:t>
            </w:r>
          </w:p>
          <w:p w:rsidR="00000000" w:rsidRPr="009F4F0E" w:rsidP="009F4F0E">
            <w:pPr>
              <w:pStyle w:val="ListBullet2"/>
            </w:pPr>
            <w:r w:rsidRPr="009F4F0E">
              <w:t xml:space="preserve">‘Fast bus’ </w:t>
            </w:r>
          </w:p>
          <w:p w:rsidR="00000000" w:rsidRPr="009F4F0E" w:rsidP="009F4F0E">
            <w:pPr>
              <w:pStyle w:val="ListBullet2"/>
            </w:pPr>
            <w:r w:rsidRPr="009F4F0E">
              <w:t>Data security techniques and protocols</w:t>
            </w:r>
          </w:p>
          <w:p w:rsidR="00000000" w:rsidRPr="009F4F0E" w:rsidP="009F4F0E">
            <w:pPr>
              <w:pStyle w:val="BodyText"/>
            </w:pPr>
            <w:r w:rsidRPr="009F4F0E">
              <w:t>T5.</w:t>
            </w:r>
            <w:r w:rsidRPr="009F4F0E">
              <w:tab/>
              <w:t>Principles of software and firmware upgrades</w:t>
            </w:r>
          </w:p>
          <w:p w:rsidR="00000000" w:rsidRPr="009F4F0E" w:rsidP="009F4F0E">
            <w:pPr>
              <w:pStyle w:val="BodyText"/>
            </w:pPr>
            <w:r w:rsidRPr="009F4F0E">
              <w:t>T6.</w:t>
            </w:r>
            <w:r w:rsidRPr="009F4F0E">
              <w:tab/>
              <w:t>Integration with SCADA, DCS and similar remote operation systems</w:t>
            </w:r>
          </w:p>
          <w:p w:rsidR="00000000" w:rsidRPr="009F4F0E" w:rsidP="009F4F0E">
            <w:pPr>
              <w:pStyle w:val="ListBullet2"/>
            </w:pPr>
            <w:r w:rsidRPr="009F4F0E">
              <w:t>Monitoring sensors using SCADA, DCS and simi</w:t>
            </w:r>
            <w:r w:rsidRPr="009F4F0E">
              <w:t>lar remote monitoring technology</w:t>
            </w:r>
          </w:p>
        </w:tc>
      </w:tr>
    </w:tbl>
    <w:p w:rsidR="00000000" w:rsidRPr="009F4F0E" w:rsidP="009F4F0E">
      <w:pPr>
        <w:pStyle w:val="BodyText"/>
      </w:pPr>
    </w:p>
    <w:p w:rsidR="00000000" w:rsidRPr="009F4F0E" w:rsidP="009F4F0E">
      <w:pPr>
        <w:pStyle w:val="AllowPageBreak"/>
      </w:pPr>
    </w:p>
    <w:p w:rsidR="00000000" w:rsidRPr="009F4F0E" w:rsidP="009F4F0E">
      <w:pPr>
        <w:pStyle w:val="Heading1"/>
      </w:pPr>
      <w:bookmarkStart w:id="10" w:name="O_490956"/>
      <w:bookmarkEnd w:id="10"/>
      <w:r w:rsidRPr="009F4F0E">
        <w:t>Evidence Guide</w:t>
      </w:r>
    </w:p>
    <w:tbl>
      <w:tblPr>
        <w:tblW w:w="0" w:type="auto"/>
        <w:tblLayout w:type="fixed"/>
        <w:tblCellMar>
          <w:left w:w="62" w:type="dxa"/>
          <w:right w:w="62" w:type="dxa"/>
        </w:tblCellMar>
        <w:tblLook w:val="0000"/>
      </w:tblPr>
      <w:tblGrid>
        <w:gridCol w:w="8460"/>
      </w:tblGrid>
      <w:tr w:rsidTr="005F5C6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rPr>
                <w:rStyle w:val="SpecialBold"/>
              </w:rPr>
              <w:t>EVIDENCE GUIDE</w:t>
            </w:r>
          </w:p>
        </w:tc>
      </w:tr>
      <w:tr w:rsidTr="005F5C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rPr>
                <w:rStyle w:val="SpecialBold"/>
              </w:rPr>
              <w:t>9)</w:t>
            </w:r>
            <w:r w:rsidRPr="009F4F0E">
              <w:t xml:space="preserve"> The Evidence Guide forms an integral part of this Unit and shall be used in conjunction with all </w:t>
            </w:r>
            <w:r w:rsidRPr="009F4F0E">
              <w:t>components parts of this unit and performed in accordance with the Assessment Guidelines of this Training Package.</w:t>
            </w:r>
          </w:p>
        </w:tc>
      </w:tr>
    </w:tbl>
    <w:p w:rsidR="00000000" w:rsidRPr="009F4F0E" w:rsidP="009F4F0E">
      <w:pPr>
        <w:pStyle w:val="BodyText"/>
      </w:pPr>
    </w:p>
    <w:tbl>
      <w:tblPr>
        <w:tblW w:w="0" w:type="auto"/>
        <w:tblLayout w:type="fixed"/>
        <w:tblCellMar>
          <w:left w:w="62" w:type="dxa"/>
          <w:right w:w="62" w:type="dxa"/>
        </w:tblCellMar>
        <w:tblLook w:val="0000"/>
      </w:tblPr>
      <w:tblGrid>
        <w:gridCol w:w="1890"/>
        <w:gridCol w:w="6570"/>
      </w:tblGrid>
      <w:tr w:rsidTr="005F5C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rPr>
                <w:rStyle w:val="SpecialBold"/>
              </w:rPr>
              <w:t>9.1)</w:t>
            </w:r>
          </w:p>
        </w:tc>
      </w:tr>
      <w:tr w:rsidTr="005F5C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t>Longitudinal competency development approaches to assessment, such as Profiling, require data to be reliably gathered in a form that can be consistently interpreted over time. This approach is best utilised in Apprenticeship programs and reduces assessment</w:t>
            </w:r>
            <w:r w:rsidRPr="009F4F0E">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9F4F0E">
              <w:t>ncy in a realistically simulated work environment. It is recognised that, in some circumstances, assessment in part or full can occur outside the workplace. However, it must be in accordance with industry and regulatory policy.</w:t>
            </w:r>
          </w:p>
          <w:p w:rsidR="00000000" w:rsidRPr="009F4F0E" w:rsidP="009F4F0E">
            <w:pPr>
              <w:pStyle w:val="BodyText"/>
            </w:pPr>
            <w:r w:rsidRPr="009F4F0E">
              <w:t>Methods chosen for a particu</w:t>
            </w:r>
            <w:r w:rsidRPr="009F4F0E">
              <w:t>lar assessment will be influenced by various factors. These include the extent of the assessment, the most effective locations for the assessment activities to take place, access to physical resources, additional safety measures that may be required and th</w:t>
            </w:r>
            <w:r w:rsidRPr="009F4F0E">
              <w:t>e critical nature of the competencies being assessed.</w:t>
            </w:r>
          </w:p>
          <w:p w:rsidR="00000000" w:rsidRPr="009F4F0E" w:rsidP="009F4F0E">
            <w:pPr>
              <w:pStyle w:val="BodyText"/>
            </w:pPr>
            <w:r w:rsidRPr="009F4F0E">
              <w:t>The critical safety nature of working with electricity, electrical equipment, gas or any other hazardous substance/material carries risk in deeming a person competent. Sources of evidence need to be ‘ri</w:t>
            </w:r>
            <w:r w:rsidRPr="009F4F0E">
              <w:t>ch’ in nature to minimise error in judgment.</w:t>
            </w:r>
          </w:p>
          <w:p w:rsidR="00000000" w:rsidRPr="009F4F0E" w:rsidP="009F4F0E">
            <w:pPr>
              <w:pStyle w:val="BodyText"/>
            </w:pPr>
            <w:r w:rsidRPr="009F4F0E">
              <w:t>Activities associated with normal everyday work have a bearing on the decision as to how much and how detailed the data gathered will contribute to its ‘richness’. Some skills are more critical to safety and ope</w:t>
            </w:r>
            <w:r w:rsidRPr="009F4F0E">
              <w:t>rational requirements while the same skills may be more or less frequently practised. These points are raised for the assessors to consider when choosing an assessment method and developing assessment instruments. Sample assessment instruments are included</w:t>
            </w:r>
            <w:r w:rsidRPr="009F4F0E">
              <w:t xml:space="preserve"> for Assessors in the Assessment Guidelines, Section 3.1 of this Training Package.</w:t>
            </w:r>
          </w:p>
        </w:tc>
      </w:tr>
    </w:tbl>
    <w:p w:rsidR="00000000" w:rsidRPr="009F4F0E" w:rsidP="009F4F0E">
      <w:pPr>
        <w:pStyle w:val="BodyText"/>
      </w:pPr>
    </w:p>
    <w:tbl>
      <w:tblPr>
        <w:tblW w:w="0" w:type="auto"/>
        <w:tblLayout w:type="fixed"/>
        <w:tblCellMar>
          <w:left w:w="62" w:type="dxa"/>
          <w:right w:w="62" w:type="dxa"/>
        </w:tblCellMar>
        <w:tblLook w:val="0000"/>
      </w:tblPr>
      <w:tblGrid>
        <w:gridCol w:w="1890"/>
        <w:gridCol w:w="450"/>
        <w:gridCol w:w="1710"/>
        <w:gridCol w:w="4410"/>
      </w:tblGrid>
      <w:tr w:rsidTr="005F5C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rPr>
                <w:rStyle w:val="SpecialBold"/>
              </w:rPr>
              <w:t>9.2)</w:t>
            </w:r>
          </w:p>
        </w:tc>
      </w:tr>
      <w:tr w:rsidTr="005F5C69">
        <w:tblPrEx>
          <w:tblW w:w="0" w:type="auto"/>
          <w:tblLayout w:type="fixed"/>
          <w:tblCellMar>
            <w:left w:w="62" w:type="dxa"/>
            <w:right w:w="62" w:type="dxa"/>
          </w:tblCellMar>
          <w:tblLook w:val="0000"/>
        </w:tblPrEx>
        <w:trPr>
          <w:trHeight w:val="26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t>Evidence for competence in this unit shall be considered holistically. Each element a</w:t>
            </w:r>
            <w:r w:rsidRPr="009F4F0E">
              <w:t>nd associated Performance Criteria shall be demonstrated:</w:t>
            </w:r>
          </w:p>
          <w:p w:rsidR="00000000" w:rsidRPr="009F4F0E" w:rsidP="009F4F0E">
            <w:pPr>
              <w:pStyle w:val="ListBullet2"/>
            </w:pPr>
            <w:r w:rsidRPr="009F4F0E">
              <w:t>On at least two (2) occasions. In accordance with the "Assessment Guidelines” for the UEP12 Training Package.</w:t>
            </w:r>
          </w:p>
          <w:p w:rsidR="00000000" w:rsidRPr="009F4F0E" w:rsidP="009F4F0E">
            <w:pPr>
              <w:pStyle w:val="BodyText"/>
            </w:pPr>
            <w:r w:rsidRPr="009F4F0E">
              <w:t>Evidence shall also comprise:</w:t>
            </w:r>
          </w:p>
          <w:p w:rsidR="00000000" w:rsidRPr="009F4F0E" w:rsidP="009F4F0E">
            <w:pPr>
              <w:pStyle w:val="ListBullet"/>
            </w:pPr>
            <w:r w:rsidRPr="009F4F0E">
              <w:t>A representative body of work performance demonstrated within the timeframe typically expected of the discipline, work function and industrial environment. In particular this shall incorporate evidence that shows a candidate is able to:</w:t>
            </w:r>
          </w:p>
          <w:p w:rsidR="00000000" w:rsidRPr="009F4F0E" w:rsidP="009F4F0E">
            <w:pPr>
              <w:pStyle w:val="ListBullet2"/>
            </w:pPr>
            <w:r w:rsidRPr="009F4F0E">
              <w:t>Implement Occupati</w:t>
            </w:r>
            <w:r w:rsidRPr="009F4F0E">
              <w:t>onal Health and Safety workplace procedures and practices including the use of risk control measures as specified in the Performance Criteria and range; and</w:t>
            </w:r>
          </w:p>
          <w:p w:rsidR="00000000" w:rsidRPr="009F4F0E" w:rsidP="009F4F0E">
            <w:pPr>
              <w:pStyle w:val="ListBullet2"/>
            </w:pPr>
            <w:r w:rsidRPr="009F4F0E">
              <w:t>Apply sustainable energy principles and practices as specified in the Performance Criteria and rang</w:t>
            </w:r>
            <w:r w:rsidRPr="009F4F0E">
              <w:t>e; and</w:t>
            </w:r>
          </w:p>
          <w:p w:rsidR="00000000" w:rsidRPr="009F4F0E" w:rsidP="009F4F0E">
            <w:pPr>
              <w:pStyle w:val="ListBullet2"/>
            </w:pPr>
            <w:r w:rsidRPr="009F4F0E">
              <w:t>Demonstrate an understanding of the required skills and knowledge as described in this unit to such an extent that the learner's performance outcome is reported in accordance with the preferred approach; namely a percentile graded result, where requ</w:t>
            </w:r>
            <w:r w:rsidRPr="009F4F0E">
              <w:t>ired by the regulated environment; and</w:t>
            </w:r>
          </w:p>
          <w:p w:rsidR="00000000" w:rsidRPr="009F4F0E" w:rsidP="009F4F0E">
            <w:pPr>
              <w:pStyle w:val="ListBullet2"/>
            </w:pPr>
            <w:r w:rsidRPr="009F4F0E">
              <w:t>Demonstrate an appropriate level of employability skills; and</w:t>
            </w:r>
          </w:p>
          <w:p w:rsidR="00000000" w:rsidRPr="009F4F0E" w:rsidP="009F4F0E">
            <w:pPr>
              <w:pStyle w:val="ListBullet2"/>
            </w:pPr>
            <w:r w:rsidRPr="009F4F0E">
              <w:t>Conduct work observing the relevant Anti Discrimination legislation, regulations, policies and workplace procedures;  and</w:t>
            </w:r>
          </w:p>
          <w:p w:rsidR="00000000" w:rsidP="009F4F0E">
            <w:pPr>
              <w:pStyle w:val="BodyText"/>
              <w:rPr>
                <w:lang w:val="en-NZ"/>
              </w:rPr>
            </w:pPr>
            <w:r w:rsidRPr="009F4F0E">
              <w:t>Demonstrated performance across a</w:t>
            </w:r>
            <w:r w:rsidRPr="009F4F0E">
              <w:t xml:space="preserve"> representative range of contexts from the prescribed items below:</w:t>
            </w:r>
          </w:p>
        </w:tc>
      </w:tr>
      <w:tr w:rsidTr="005F5C69">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A</w:t>
            </w:r>
          </w:p>
        </w:tc>
        <w:tc>
          <w:tcPr>
            <w:tcW w:w="171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All of the following</w:t>
            </w:r>
          </w:p>
        </w:tc>
        <w:tc>
          <w:tcPr>
            <w:tcW w:w="4410" w:type="dxa"/>
            <w:tcBorders>
              <w:top w:val="nil"/>
              <w:left w:val="nil"/>
              <w:bottom w:val="nil"/>
              <w:right w:val="nil"/>
            </w:tcBorders>
            <w:tcMar>
              <w:top w:w="0" w:type="dxa"/>
              <w:left w:w="62" w:type="dxa"/>
              <w:bottom w:w="0" w:type="dxa"/>
              <w:right w:w="62" w:type="dxa"/>
            </w:tcMar>
          </w:tcPr>
          <w:p w:rsidR="00000000" w:rsidRPr="009F4F0E" w:rsidP="009F4F0E">
            <w:pPr>
              <w:pStyle w:val="ListBullet"/>
            </w:pPr>
            <w:r w:rsidRPr="009F4F0E">
              <w:t>Perform a firmware upgrade</w:t>
            </w:r>
          </w:p>
          <w:p w:rsidR="00000000" w:rsidP="009F4F0E">
            <w:pPr>
              <w:pStyle w:val="ListBullet"/>
              <w:rPr>
                <w:lang w:val="en-NZ"/>
              </w:rPr>
            </w:pPr>
            <w:r w:rsidRPr="009F4F0E">
              <w:t>Perform a software re-load</w:t>
            </w:r>
          </w:p>
        </w:tc>
      </w:tr>
      <w:tr w:rsidTr="005F5C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B</w:t>
            </w:r>
          </w:p>
        </w:tc>
        <w:tc>
          <w:tcPr>
            <w:tcW w:w="171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All of the following</w:t>
            </w:r>
          </w:p>
        </w:tc>
        <w:tc>
          <w:tcPr>
            <w:tcW w:w="4410" w:type="dxa"/>
            <w:tcBorders>
              <w:top w:val="nil"/>
              <w:left w:val="nil"/>
              <w:bottom w:val="nil"/>
              <w:right w:val="nil"/>
            </w:tcBorders>
            <w:tcMar>
              <w:top w:w="0" w:type="dxa"/>
              <w:left w:w="62" w:type="dxa"/>
              <w:bottom w:w="0" w:type="dxa"/>
              <w:right w:w="62" w:type="dxa"/>
            </w:tcMar>
          </w:tcPr>
          <w:p w:rsidR="00000000" w:rsidP="009F4F0E">
            <w:pPr>
              <w:pStyle w:val="ListBullet"/>
              <w:rPr>
                <w:lang w:val="en-NZ"/>
              </w:rPr>
            </w:pPr>
            <w:r w:rsidRPr="009F4F0E">
              <w:t>Interpret fault code (and similar) data produced by monitoring systems</w:t>
            </w:r>
          </w:p>
        </w:tc>
      </w:tr>
      <w:tr w:rsidTr="005F5C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C</w:t>
            </w:r>
          </w:p>
        </w:tc>
        <w:tc>
          <w:tcPr>
            <w:tcW w:w="171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All of the following</w:t>
            </w:r>
          </w:p>
        </w:tc>
        <w:tc>
          <w:tcPr>
            <w:tcW w:w="4410" w:type="dxa"/>
            <w:tcBorders>
              <w:top w:val="nil"/>
              <w:left w:val="nil"/>
              <w:bottom w:val="nil"/>
              <w:right w:val="nil"/>
            </w:tcBorders>
            <w:tcMar>
              <w:top w:w="0" w:type="dxa"/>
              <w:left w:w="62" w:type="dxa"/>
              <w:bottom w:w="0" w:type="dxa"/>
              <w:right w:w="62" w:type="dxa"/>
            </w:tcMar>
          </w:tcPr>
          <w:p w:rsidR="00000000" w:rsidP="009F4F0E">
            <w:pPr>
              <w:pStyle w:val="ListBullet"/>
              <w:rPr>
                <w:lang w:val="en-NZ"/>
              </w:rPr>
            </w:pPr>
            <w:r w:rsidRPr="009F4F0E">
              <w:t>Connect data communications cables to control systems and equipment</w:t>
            </w:r>
          </w:p>
        </w:tc>
      </w:tr>
      <w:tr w:rsidTr="005F5C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D</w:t>
            </w:r>
          </w:p>
        </w:tc>
        <w:tc>
          <w:tcPr>
            <w:tcW w:w="171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All of the following</w:t>
            </w:r>
          </w:p>
        </w:tc>
        <w:tc>
          <w:tcPr>
            <w:tcW w:w="4410" w:type="dxa"/>
            <w:tcBorders>
              <w:top w:val="nil"/>
              <w:left w:val="nil"/>
              <w:bottom w:val="nil"/>
              <w:right w:val="nil"/>
            </w:tcBorders>
            <w:tcMar>
              <w:top w:w="0" w:type="dxa"/>
              <w:left w:w="62" w:type="dxa"/>
              <w:bottom w:w="0" w:type="dxa"/>
              <w:right w:w="62" w:type="dxa"/>
            </w:tcMar>
          </w:tcPr>
          <w:p w:rsidR="00000000" w:rsidP="009F4F0E">
            <w:pPr>
              <w:pStyle w:val="ListBullet"/>
              <w:rPr>
                <w:lang w:val="en-NZ"/>
              </w:rPr>
            </w:pPr>
            <w:r w:rsidRPr="009F4F0E">
              <w:t>Confirm correct output signals from sensors and encoders</w:t>
            </w:r>
          </w:p>
        </w:tc>
      </w:tr>
      <w:tr w:rsidTr="005F5C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E</w:t>
            </w:r>
          </w:p>
        </w:tc>
        <w:tc>
          <w:tcPr>
            <w:tcW w:w="171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All of the following</w:t>
            </w:r>
          </w:p>
        </w:tc>
        <w:tc>
          <w:tcPr>
            <w:tcW w:w="4410" w:type="dxa"/>
            <w:tcBorders>
              <w:top w:val="nil"/>
              <w:left w:val="nil"/>
              <w:bottom w:val="nil"/>
              <w:right w:val="nil"/>
            </w:tcBorders>
            <w:tcMar>
              <w:top w:w="0" w:type="dxa"/>
              <w:left w:w="62" w:type="dxa"/>
              <w:bottom w:w="0" w:type="dxa"/>
              <w:right w:w="62" w:type="dxa"/>
            </w:tcMar>
          </w:tcPr>
          <w:p w:rsidR="00000000" w:rsidRPr="009F4F0E" w:rsidP="009F4F0E">
            <w:pPr>
              <w:pStyle w:val="ListBullet"/>
            </w:pPr>
            <w:r w:rsidRPr="009F4F0E">
              <w:t>Deal with an unplanned event by drawing on essential knowledge and skills to provide appropriate solutions.</w:t>
            </w:r>
          </w:p>
        </w:tc>
      </w:tr>
    </w:tbl>
    <w:p w:rsidR="00000000" w:rsidRPr="009F4F0E" w:rsidP="009F4F0E">
      <w:pPr>
        <w:pStyle w:val="BodyText"/>
      </w:pPr>
    </w:p>
    <w:tbl>
      <w:tblPr>
        <w:tblW w:w="0" w:type="auto"/>
        <w:tblLayout w:type="fixed"/>
        <w:tblCellMar>
          <w:left w:w="62" w:type="dxa"/>
          <w:right w:w="62" w:type="dxa"/>
        </w:tblCellMar>
        <w:tblLook w:val="0000"/>
      </w:tblPr>
      <w:tblGrid>
        <w:gridCol w:w="1890"/>
        <w:gridCol w:w="6570"/>
      </w:tblGrid>
      <w:tr w:rsidTr="005F5C6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rPr>
                <w:rStyle w:val="SpecialBold"/>
              </w:rPr>
              <w:t>9.3)</w:t>
            </w:r>
          </w:p>
        </w:tc>
      </w:tr>
      <w:tr w:rsidTr="005F5C6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t>This unit should be assessed as it relates to normal work practice using procedures, information and resources typical of a workplace. This should include:</w:t>
            </w:r>
          </w:p>
          <w:p w:rsidR="00000000" w:rsidRPr="009F4F0E" w:rsidP="009F4F0E">
            <w:pPr>
              <w:pStyle w:val="ListBullet2"/>
            </w:pPr>
            <w:r w:rsidRPr="009F4F0E">
              <w:t>OHS policy and work procedures and instructions.</w:t>
            </w:r>
          </w:p>
          <w:p w:rsidR="00000000" w:rsidRPr="009F4F0E" w:rsidP="009F4F0E">
            <w:pPr>
              <w:pStyle w:val="ListBullet2"/>
            </w:pPr>
            <w:r w:rsidRPr="009F4F0E">
              <w:t>Suitable work environment, facilities, equipment a</w:t>
            </w:r>
            <w:r w:rsidRPr="009F4F0E">
              <w:t>nd materials to undertake actual work as prescribed by this unit.</w:t>
            </w:r>
          </w:p>
          <w:p w:rsidR="00000000" w:rsidRPr="009F4F0E" w:rsidP="009F4F0E">
            <w:pPr>
              <w:pStyle w:val="BodyText"/>
            </w:pPr>
            <w:r w:rsidRPr="009F4F0E">
              <w:t>These should be used in the formal learning/assessment environment.</w:t>
            </w:r>
          </w:p>
          <w:p w:rsidR="00000000" w:rsidRPr="009F4F0E" w:rsidP="009F4F0E">
            <w:pPr>
              <w:pStyle w:val="BodyText"/>
            </w:pPr>
            <w:r w:rsidRPr="009F4F0E">
              <w:t>Note:</w:t>
            </w:r>
          </w:p>
          <w:p w:rsidR="00000000" w:rsidRPr="009F4F0E" w:rsidP="009F4F0E">
            <w:pPr>
              <w:pStyle w:val="BodyText"/>
            </w:pPr>
            <w:r w:rsidRPr="009F4F0E">
              <w:t>Where simulation is considered a suitable strategy for assessment, conditions must be authentic and as far as possib</w:t>
            </w:r>
            <w:r w:rsidRPr="009F4F0E">
              <w:t>le reproduce and replicate the workplace and be consistent with the approved industry simulation policy.</w:t>
            </w:r>
          </w:p>
          <w:p w:rsidR="00000000" w:rsidRPr="009F4F0E" w:rsidP="009F4F0E">
            <w:pPr>
              <w:pStyle w:val="BodyText"/>
            </w:pPr>
            <w:r w:rsidRPr="009F4F0E">
              <w:t xml:space="preserve">The resources used for assessment should reflect current industry practices in relation to: </w:t>
            </w:r>
          </w:p>
          <w:p w:rsidR="00000000" w:rsidRPr="009F4F0E" w:rsidP="009F4F0E">
            <w:pPr>
              <w:pStyle w:val="BodyText"/>
            </w:pPr>
            <w:r w:rsidRPr="009F4F0E">
              <w:t>Maintain wind turbine generator control systems</w:t>
            </w:r>
          </w:p>
        </w:tc>
      </w:tr>
    </w:tbl>
    <w:p w:rsidR="00000000" w:rsidRPr="009F4F0E" w:rsidP="009F4F0E">
      <w:pPr>
        <w:pStyle w:val="BodyText"/>
      </w:pPr>
    </w:p>
    <w:tbl>
      <w:tblPr>
        <w:tblW w:w="0" w:type="auto"/>
        <w:tblLayout w:type="fixed"/>
        <w:tblCellMar>
          <w:left w:w="62" w:type="dxa"/>
          <w:right w:w="62" w:type="dxa"/>
        </w:tblCellMar>
        <w:tblLook w:val="0000"/>
      </w:tblPr>
      <w:tblGrid>
        <w:gridCol w:w="1890"/>
        <w:gridCol w:w="6570"/>
      </w:tblGrid>
      <w:tr w:rsidTr="005F5C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rPr>
                <w:rStyle w:val="SpecialBold"/>
              </w:rPr>
              <w:t>9.4)</w:t>
            </w:r>
          </w:p>
        </w:tc>
      </w:tr>
      <w:tr w:rsidTr="005F5C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t>This unit shall be assessed by methods given in the Assessment Guidelines, Section 1.3 of this Training Package.</w:t>
            </w:r>
          </w:p>
          <w:p w:rsidR="00000000" w:rsidRPr="009F4F0E" w:rsidP="009F4F0E">
            <w:pPr>
              <w:pStyle w:val="BodyText"/>
            </w:pPr>
            <w:r w:rsidRPr="009F4F0E">
              <w:t xml:space="preserve">Note: </w:t>
            </w:r>
          </w:p>
          <w:p w:rsidR="00000000" w:rsidRPr="009F4F0E" w:rsidP="009F4F0E">
            <w:pPr>
              <w:pStyle w:val="BodyText"/>
            </w:pPr>
            <w:r w:rsidRPr="009F4F0E">
              <w:t>Competent performance with inherent safe working practices is expected in the Industry to which this compete</w:t>
            </w:r>
            <w:r w:rsidRPr="009F4F0E">
              <w:t xml:space="preserve">ncy standard unit applies. This requires assessment in a structured environment which is primarily intended for learning/assessment and incorporates all necessary equipment and facilities for learners to develop and demonstrate the essential knowledge and </w:t>
            </w:r>
            <w:r w:rsidRPr="009F4F0E">
              <w:t>skills described in this unit.</w:t>
            </w:r>
          </w:p>
        </w:tc>
      </w:tr>
    </w:tbl>
    <w:p w:rsidR="00000000" w:rsidRPr="009F4F0E" w:rsidP="009F4F0E">
      <w:pPr>
        <w:pStyle w:val="BodyText"/>
      </w:pPr>
    </w:p>
    <w:tbl>
      <w:tblPr>
        <w:tblW w:w="0" w:type="auto"/>
        <w:tblLayout w:type="fixed"/>
        <w:tblCellMar>
          <w:left w:w="62" w:type="dxa"/>
          <w:right w:w="62" w:type="dxa"/>
        </w:tblCellMar>
        <w:tblLook w:val="0000"/>
      </w:tblPr>
      <w:tblGrid>
        <w:gridCol w:w="1890"/>
        <w:gridCol w:w="1530"/>
        <w:gridCol w:w="5040"/>
      </w:tblGrid>
      <w:tr w:rsidTr="005F5C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rPr>
                <w:rStyle w:val="SpecialBold"/>
              </w:rPr>
              <w:t>9.5)</w:t>
            </w:r>
          </w:p>
        </w:tc>
      </w:tr>
      <w:tr w:rsidTr="005F5C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For optimisation of training and assessment effort, competency development in this unit may be arranged concurrently with units:</w:t>
            </w:r>
          </w:p>
        </w:tc>
      </w:tr>
      <w:tr w:rsidTr="005F5C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UEPMNT444A</w:t>
            </w:r>
          </w:p>
        </w:tc>
        <w:tc>
          <w:tcPr>
            <w:tcW w:w="504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Maintain wind turbine generator mechanical systems</w:t>
            </w:r>
          </w:p>
        </w:tc>
      </w:tr>
      <w:tr w:rsidTr="005F5C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t>UEPMNT442A</w:t>
            </w:r>
          </w:p>
        </w:tc>
        <w:tc>
          <w:tcPr>
            <w:tcW w:w="504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t>Maintain wind turbine generator electrical systems</w:t>
            </w:r>
          </w:p>
        </w:tc>
      </w:tr>
    </w:tbl>
    <w:p w:rsidR="00000000" w:rsidRPr="009F4F0E" w:rsidP="009F4F0E">
      <w:pPr>
        <w:pStyle w:val="BodyText"/>
      </w:pPr>
    </w:p>
    <w:p w:rsidR="00000000" w:rsidRPr="009F4F0E" w:rsidP="009F4F0E">
      <w:pPr>
        <w:pStyle w:val="AllowPageBreak"/>
      </w:pPr>
    </w:p>
    <w:p w:rsidR="00000000" w:rsidRPr="009F4F0E" w:rsidP="009F4F0E">
      <w:pPr>
        <w:pStyle w:val="Heading1"/>
      </w:pPr>
      <w:bookmarkStart w:id="11" w:name="O_490960"/>
      <w:bookmarkEnd w:id="11"/>
      <w:r w:rsidRPr="009F4F0E">
        <w:t>Range Statement</w:t>
      </w:r>
    </w:p>
    <w:tbl>
      <w:tblPr>
        <w:tblW w:w="0" w:type="auto"/>
        <w:tblLayout w:type="fixed"/>
        <w:tblCellMar>
          <w:left w:w="62" w:type="dxa"/>
          <w:right w:w="62" w:type="dxa"/>
        </w:tblCellMar>
        <w:tblLook w:val="0000"/>
      </w:tblPr>
      <w:tblGrid>
        <w:gridCol w:w="8460"/>
      </w:tblGrid>
      <w:tr w:rsidTr="005F5C6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rPr>
                <w:rStyle w:val="SpecialBold"/>
              </w:rPr>
              <w:t>RANGE STATEMENT</w:t>
            </w:r>
          </w:p>
        </w:tc>
      </w:tr>
      <w:tr w:rsidTr="005F5C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rPr>
                <w:rStyle w:val="SpecialBold"/>
              </w:rPr>
              <w:t>10)</w:t>
            </w:r>
            <w:r w:rsidRPr="009F4F0E">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9F4F0E" w:rsidP="009F4F0E">
            <w:pPr>
              <w:pStyle w:val="BodyText"/>
            </w:pPr>
            <w:r w:rsidRPr="009F4F0E">
              <w:t>Climbing equipment, incl</w:t>
            </w:r>
            <w:r w:rsidRPr="009F4F0E">
              <w:t>uding personnel lifts, climb assist, elevators, ladders</w:t>
            </w:r>
          </w:p>
          <w:p w:rsidR="00000000" w:rsidRPr="009F4F0E" w:rsidP="009F4F0E">
            <w:pPr>
              <w:pStyle w:val="BodyText"/>
            </w:pPr>
            <w:r w:rsidRPr="009F4F0E">
              <w:t>Lifting apparatus includes winches and cranes</w:t>
            </w:r>
          </w:p>
          <w:p w:rsidR="00000000" w:rsidRPr="009F4F0E" w:rsidP="009F4F0E">
            <w:pPr>
              <w:pStyle w:val="BodyText"/>
            </w:pPr>
            <w:r w:rsidRPr="009F4F0E">
              <w:t>Hydraulic equipment  includes turbine braking equipment.</w:t>
            </w:r>
          </w:p>
          <w:p w:rsidR="00000000" w:rsidRPr="009F4F0E" w:rsidP="009F4F0E">
            <w:pPr>
              <w:pStyle w:val="BodyText"/>
            </w:pPr>
            <w:r w:rsidRPr="009F4F0E">
              <w:t>Maintenance may include: visual inspections, checking the tension of bolts, condition monitoring,</w:t>
            </w:r>
            <w:r w:rsidRPr="009F4F0E">
              <w:t xml:space="preserve"> testing of equipment for correct operation, software upgrades, testing and calibrating equipment, ELV wiring inspections, cleaning, adjusting software parameters, hardware upgrades.</w:t>
            </w:r>
          </w:p>
          <w:p w:rsidR="00000000" w:rsidRPr="009F4F0E" w:rsidP="009F4F0E">
            <w:pPr>
              <w:pStyle w:val="BodyText"/>
            </w:pPr>
            <w:r w:rsidRPr="009F4F0E">
              <w:t>Tools may include spanners, screwdrivers, side cutters, pliers, high torq</w:t>
            </w:r>
            <w:r w:rsidRPr="009F4F0E">
              <w:t>uing wrench</w:t>
            </w:r>
          </w:p>
          <w:p w:rsidR="00000000" w:rsidRPr="009F4F0E" w:rsidP="009F4F0E">
            <w:pPr>
              <w:pStyle w:val="BodyText"/>
            </w:pPr>
            <w:r w:rsidRPr="009F4F0E">
              <w:t>Diagrams and plans include  Electrical schematics, hydraulic schematics, low-voltage schematics</w:t>
            </w:r>
          </w:p>
          <w:p w:rsidR="00000000" w:rsidRPr="009F4F0E" w:rsidP="009F4F0E">
            <w:pPr>
              <w:pStyle w:val="BodyText"/>
            </w:pPr>
            <w:r w:rsidRPr="009F4F0E">
              <w:t>Test equipment may include multimeters, laptop computers, PC tablet, smart phones and other data acquisition tools and equipment, continuity checker</w:t>
            </w:r>
            <w:r w:rsidRPr="009F4F0E">
              <w:t>s, cable testers</w:t>
            </w:r>
          </w:p>
          <w:p w:rsidR="00000000" w:rsidRPr="009F4F0E" w:rsidP="009F4F0E">
            <w:pPr>
              <w:pStyle w:val="BodyText"/>
            </w:pPr>
            <w:r w:rsidRPr="009F4F0E">
              <w:t>Sensors include temperature, proximity, vibration, resolvers and encoders, wind direction and velocity, intrusion, voltage, current, position sensor, pressure sensors</w:t>
            </w:r>
          </w:p>
          <w:p w:rsidR="00000000" w:rsidRPr="009F4F0E" w:rsidP="009F4F0E">
            <w:pPr>
              <w:pStyle w:val="BodyText"/>
            </w:pPr>
            <w:r w:rsidRPr="009F4F0E">
              <w:t>Cleaning, including the following equipment and gear:</w:t>
            </w:r>
          </w:p>
          <w:p w:rsidR="00000000" w:rsidRPr="009F4F0E" w:rsidP="009F4F0E">
            <w:pPr>
              <w:pStyle w:val="ListBullet2"/>
            </w:pPr>
            <w:r w:rsidRPr="009F4F0E">
              <w:t>Oil spills</w:t>
            </w:r>
          </w:p>
          <w:p w:rsidR="00000000" w:rsidRPr="009F4F0E" w:rsidP="009F4F0E">
            <w:pPr>
              <w:pStyle w:val="ListBullet2"/>
            </w:pPr>
            <w:r w:rsidRPr="009F4F0E">
              <w:t>Dust</w:t>
            </w:r>
          </w:p>
          <w:p w:rsidR="00000000" w:rsidRPr="009F4F0E" w:rsidP="009F4F0E">
            <w:pPr>
              <w:pStyle w:val="ListBullet2"/>
            </w:pPr>
            <w:r w:rsidRPr="009F4F0E">
              <w:t>Salt</w:t>
            </w:r>
          </w:p>
          <w:p w:rsidR="00000000" w:rsidRPr="009F4F0E" w:rsidP="009F4F0E">
            <w:pPr>
              <w:pStyle w:val="ListBullet2"/>
            </w:pPr>
            <w:r w:rsidRPr="009F4F0E">
              <w:t>Water</w:t>
            </w:r>
          </w:p>
          <w:p w:rsidR="00000000" w:rsidRPr="009F4F0E" w:rsidP="009F4F0E">
            <w:pPr>
              <w:pStyle w:val="BodyText"/>
            </w:pPr>
            <w:r w:rsidRPr="009F4F0E">
              <w:t>Large Scale Wind Generators (WTGs) include systems having a rating of greater than 10 kW</w:t>
            </w:r>
          </w:p>
          <w:p w:rsidR="00000000" w:rsidRPr="009F4F0E" w:rsidP="009F4F0E">
            <w:pPr>
              <w:pStyle w:val="BodyText"/>
            </w:pPr>
            <w:r w:rsidRPr="009F4F0E">
              <w:t>Work completion details may include plant and maintenance records, job cards, check sheets, on device labelling updates and reporting and/or documenting equ</w:t>
            </w:r>
            <w:r w:rsidRPr="009F4F0E">
              <w:t>ipment defects.</w:t>
            </w:r>
          </w:p>
          <w:p w:rsidR="00000000" w:rsidRPr="009F4F0E" w:rsidP="009F4F0E">
            <w:pPr>
              <w:pStyle w:val="BodyText"/>
            </w:pPr>
            <w:r w:rsidRPr="009F4F0E">
              <w:t>Work site environment may be affected by nearby plant or processes and climatic conditions e.g. wind speed, chemical, heat, dust, noise, height and oil, sea spray, spills and vapours of acids and alkali, hydrogen gas.</w:t>
            </w:r>
          </w:p>
          <w:p w:rsidR="00000000" w:rsidRPr="009F4F0E" w:rsidP="009F4F0E">
            <w:pPr>
              <w:pStyle w:val="BodyText"/>
            </w:pPr>
            <w:r w:rsidRPr="009F4F0E">
              <w:t>Location of wind turbi</w:t>
            </w:r>
            <w:r w:rsidRPr="009F4F0E">
              <w:t>ne generators may be in urban, suburban, regional or rural locales and environments.</w:t>
            </w:r>
          </w:p>
          <w:p w:rsidR="00000000" w:rsidRPr="009F4F0E" w:rsidP="009F4F0E">
            <w:pPr>
              <w:pStyle w:val="BodyText"/>
            </w:pPr>
            <w:r w:rsidRPr="009F4F0E">
              <w:t>Isolations can refer to electrical/mechanical or other associated processes.</w:t>
            </w:r>
          </w:p>
          <w:p w:rsidR="00000000" w:rsidRPr="009F4F0E" w:rsidP="009F4F0E">
            <w:pPr>
              <w:pStyle w:val="BodyText"/>
            </w:pPr>
            <w:r w:rsidRPr="009F4F0E">
              <w:t xml:space="preserve">Generic terms used throughout this Vocational Standard shall be regarded as part of the Range </w:t>
            </w:r>
            <w:r w:rsidRPr="009F4F0E">
              <w:t>Statement in which competency is demonstrated. The definition of these and other terms that apply are given in the Glossaries, Section 2.1 of this Training Package.</w:t>
            </w:r>
          </w:p>
        </w:tc>
      </w:tr>
    </w:tbl>
    <w:p w:rsidR="00000000" w:rsidRPr="009F4F0E" w:rsidP="009F4F0E">
      <w:pPr>
        <w:pStyle w:val="BodyText"/>
      </w:pPr>
    </w:p>
    <w:p w:rsidR="00000000" w:rsidRPr="009F4F0E" w:rsidP="009F4F0E">
      <w:pPr>
        <w:pStyle w:val="AllowPageBreak"/>
      </w:pPr>
    </w:p>
    <w:p w:rsidR="00000000" w:rsidRPr="009F4F0E" w:rsidP="009F4F0E">
      <w:pPr>
        <w:pStyle w:val="Heading1"/>
      </w:pPr>
      <w:bookmarkStart w:id="12" w:name="O_490963"/>
      <w:bookmarkEnd w:id="12"/>
      <w:r w:rsidRPr="009F4F0E">
        <w:t>Unit Sector(s)</w:t>
      </w:r>
    </w:p>
    <w:p w:rsidR="00000000" w:rsidRPr="009F4F0E" w:rsidP="009F4F0E">
      <w:pPr>
        <w:pStyle w:val="BodyText"/>
      </w:pPr>
      <w:r w:rsidRPr="009F4F0E">
        <w:t>Not applicable.</w:t>
      </w:r>
    </w:p>
    <w:p w:rsidR="00000000" w:rsidRPr="009F4F0E" w:rsidP="009F4F0E">
      <w:pPr>
        <w:pStyle w:val="AllowPageBreak"/>
      </w:pPr>
    </w:p>
    <w:p w:rsidR="00000000" w:rsidRPr="009F4F0E" w:rsidP="009F4F0E">
      <w:pPr>
        <w:pStyle w:val="Heading1"/>
      </w:pPr>
      <w:bookmarkStart w:id="13" w:name="O_490952"/>
      <w:bookmarkEnd w:id="13"/>
      <w:r w:rsidRPr="009F4F0E">
        <w:t>Competency Field</w:t>
      </w:r>
    </w:p>
    <w:tbl>
      <w:tblPr>
        <w:tblW w:w="0" w:type="auto"/>
        <w:tblLayout w:type="fixed"/>
        <w:tblCellMar>
          <w:left w:w="62" w:type="dxa"/>
          <w:right w:w="62" w:type="dxa"/>
        </w:tblCellMar>
        <w:tblLook w:val="0000"/>
      </w:tblPr>
      <w:tblGrid>
        <w:gridCol w:w="2700"/>
        <w:gridCol w:w="5760"/>
      </w:tblGrid>
      <w:tr w:rsidTr="005F5C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F4F0E">
            <w:pPr>
              <w:pStyle w:val="BodyText"/>
              <w:rPr>
                <w:lang w:val="en-NZ"/>
              </w:rPr>
            </w:pPr>
            <w:r w:rsidRPr="009F4F0E">
              <w:rPr>
                <w:rStyle w:val="SpecialBold"/>
              </w:rPr>
              <w:t xml:space="preserve">11) </w:t>
            </w:r>
          </w:p>
        </w:tc>
      </w:tr>
      <w:tr w:rsidTr="005F5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4F0E" w:rsidP="009F4F0E">
            <w:pPr>
              <w:pStyle w:val="BodyText"/>
            </w:pPr>
            <w:r w:rsidRPr="009F4F0E">
              <w:t>Maintenance</w:t>
            </w:r>
          </w:p>
        </w:tc>
      </w:tr>
    </w:tbl>
    <w:p w:rsidR="00000000" w:rsidRPr="009F4F0E" w:rsidP="009F4F0E">
      <w:pPr>
        <w:pStyle w:val="BodyText"/>
      </w:pPr>
    </w:p>
    <w:p w:rsidR="00000000" w:rsidRPr="009F4F0E" w:rsidP="009F4F0E"/>
    <w:sectPr w:rsidSect="009F4F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0E" w:rsidRPr="005F5C69" w:rsidP="005F5C6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69" w:rsidP="009F4F0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F5C69" w:rsidP="009F4F0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5F5C69" w:rsidP="009F4F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0E" w:rsidRPr="005F5C69" w:rsidP="005F5C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69" w:rsidRPr="002D2AF8" w:rsidP="009F4F0E">
    <w:pPr>
      <w:pStyle w:val="Header"/>
      <w:framePr w:wrap="around"/>
    </w:pPr>
    <w:r>
      <w:fldChar w:fldCharType="begin"/>
    </w:r>
    <w:r>
      <w:instrText xml:space="preserve"> TITLE   \* MERGEFORMAT </w:instrText>
    </w:r>
    <w:r>
      <w:fldChar w:fldCharType="separate"/>
    </w:r>
    <w:r>
      <w:t>UEPMNT443A Maintain wind turbine generator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2013</w:t>
    </w:r>
    <w:r>
      <w:fldChar w:fldCharType="end"/>
    </w:r>
  </w:p>
  <w:p w:rsidR="005F5C69" w:rsidP="009F4F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C226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606B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5CE4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F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4F0E"/>
    <w:pPr>
      <w:spacing w:before="360" w:after="60"/>
      <w:outlineLvl w:val="0"/>
    </w:pPr>
    <w:rPr>
      <w:sz w:val="32"/>
    </w:rPr>
  </w:style>
  <w:style w:type="paragraph" w:styleId="Heading2">
    <w:name w:val="heading 2"/>
    <w:basedOn w:val="HeadingBase"/>
    <w:next w:val="BodyText"/>
    <w:link w:val="Heading2Char"/>
    <w:qFormat/>
    <w:rsid w:val="009F4F0E"/>
    <w:pPr>
      <w:keepLines/>
      <w:spacing w:before="240" w:after="120"/>
      <w:outlineLvl w:val="1"/>
    </w:pPr>
    <w:rPr>
      <w:sz w:val="28"/>
      <w:szCs w:val="40"/>
    </w:rPr>
  </w:style>
  <w:style w:type="paragraph" w:styleId="Heading3">
    <w:name w:val="heading 3"/>
    <w:basedOn w:val="HeadingBase"/>
    <w:next w:val="BodyText"/>
    <w:link w:val="Heading3Char"/>
    <w:qFormat/>
    <w:rsid w:val="009F4F0E"/>
    <w:pPr>
      <w:spacing w:before="180" w:after="120"/>
      <w:outlineLvl w:val="2"/>
    </w:pPr>
    <w:rPr>
      <w:spacing w:val="-10"/>
      <w:kern w:val="32"/>
    </w:rPr>
  </w:style>
  <w:style w:type="paragraph" w:styleId="Heading4">
    <w:name w:val="heading 4"/>
    <w:basedOn w:val="HeadingBase"/>
    <w:next w:val="BodyText"/>
    <w:link w:val="Heading4Char"/>
    <w:qFormat/>
    <w:rsid w:val="009F4F0E"/>
    <w:pPr>
      <w:spacing w:before="160" w:after="120"/>
      <w:outlineLvl w:val="3"/>
    </w:pPr>
    <w:rPr>
      <w:sz w:val="22"/>
    </w:rPr>
  </w:style>
  <w:style w:type="paragraph" w:styleId="Heading5">
    <w:name w:val="heading 5"/>
    <w:basedOn w:val="HeadingBase"/>
    <w:next w:val="Normal"/>
    <w:link w:val="Heading5Char"/>
    <w:qFormat/>
    <w:rsid w:val="009F4F0E"/>
    <w:pPr>
      <w:spacing w:before="80"/>
      <w:outlineLvl w:val="4"/>
    </w:pPr>
    <w:rPr>
      <w:color w:val="918585"/>
      <w:sz w:val="20"/>
    </w:rPr>
  </w:style>
  <w:style w:type="paragraph" w:styleId="Heading6">
    <w:name w:val="heading 6"/>
    <w:basedOn w:val="HeadingBase"/>
    <w:next w:val="Normal"/>
    <w:link w:val="Heading6Char"/>
    <w:qFormat/>
    <w:rsid w:val="009F4F0E"/>
    <w:pPr>
      <w:spacing w:before="60"/>
      <w:outlineLvl w:val="5"/>
    </w:pPr>
    <w:rPr>
      <w:color w:val="918585"/>
      <w:sz w:val="20"/>
    </w:rPr>
  </w:style>
  <w:style w:type="paragraph" w:styleId="Heading7">
    <w:name w:val="heading 7"/>
    <w:basedOn w:val="Normal"/>
    <w:next w:val="Normal"/>
    <w:link w:val="Heading7Char"/>
    <w:qFormat/>
    <w:rsid w:val="009F4F0E"/>
    <w:pPr>
      <w:ind w:left="720"/>
      <w:outlineLvl w:val="6"/>
    </w:pPr>
    <w:rPr>
      <w:i/>
    </w:rPr>
  </w:style>
  <w:style w:type="paragraph" w:styleId="Heading8">
    <w:name w:val="heading 8"/>
    <w:basedOn w:val="Normal"/>
    <w:next w:val="Normal"/>
    <w:link w:val="Heading8Char"/>
    <w:qFormat/>
    <w:rsid w:val="009F4F0E"/>
    <w:pPr>
      <w:ind w:left="720"/>
      <w:outlineLvl w:val="7"/>
    </w:pPr>
    <w:rPr>
      <w:i/>
    </w:rPr>
  </w:style>
  <w:style w:type="paragraph" w:styleId="Heading9">
    <w:name w:val="heading 9"/>
    <w:basedOn w:val="Normal"/>
    <w:next w:val="Normal"/>
    <w:link w:val="Heading9Char"/>
    <w:qFormat/>
    <w:rsid w:val="009F4F0E"/>
    <w:pPr>
      <w:ind w:left="720"/>
      <w:outlineLvl w:val="8"/>
    </w:pPr>
    <w:rPr>
      <w:i/>
    </w:rPr>
  </w:style>
  <w:style w:type="character" w:default="1" w:styleId="DefaultParagraphFont">
    <w:name w:val="Default Paragraph Font"/>
    <w:uiPriority w:val="1"/>
    <w:unhideWhenUsed/>
    <w:rsid w:val="009F4F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F0E"/>
  </w:style>
  <w:style w:type="character" w:customStyle="1" w:styleId="Heading1Char">
    <w:name w:val="Heading 1 Char"/>
    <w:basedOn w:val="DefaultParagraphFont"/>
    <w:link w:val="Heading1"/>
    <w:rsid w:val="009F4F0E"/>
    <w:rPr>
      <w:rFonts w:ascii="Times New Roman" w:eastAsia="Times New Roman" w:hAnsi="Times New Roman" w:cs="Times New Roman"/>
      <w:b/>
      <w:sz w:val="32"/>
      <w:szCs w:val="20"/>
      <w:lang w:eastAsia="en-US"/>
    </w:rPr>
  </w:style>
  <w:style w:type="paragraph" w:styleId="BodyText">
    <w:name w:val="Body Text"/>
    <w:basedOn w:val="Normal"/>
    <w:link w:val="BodyTextChar"/>
    <w:rsid w:val="009F4F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4F0E"/>
    <w:rPr>
      <w:rFonts w:ascii="Times New Roman" w:eastAsia="Times New Roman" w:hAnsi="Times New Roman" w:cs="Times New Roman"/>
      <w:sz w:val="24"/>
      <w:lang w:eastAsia="en-US"/>
    </w:rPr>
  </w:style>
  <w:style w:type="paragraph" w:styleId="ListBullet">
    <w:name w:val="List Bullet"/>
    <w:basedOn w:val="List"/>
    <w:rsid w:val="009F4F0E"/>
    <w:pPr>
      <w:numPr>
        <w:numId w:val="13"/>
      </w:numPr>
      <w:tabs>
        <w:tab w:val="clear" w:pos="340"/>
      </w:tabs>
      <w:spacing w:before="40" w:after="40"/>
    </w:pPr>
  </w:style>
  <w:style w:type="character" w:customStyle="1" w:styleId="SpecialBold">
    <w:name w:val="Special Bold"/>
    <w:basedOn w:val="DefaultParagraphFont"/>
    <w:rsid w:val="009F4F0E"/>
    <w:rPr>
      <w:b/>
      <w:spacing w:val="0"/>
    </w:rPr>
  </w:style>
  <w:style w:type="paragraph" w:styleId="ListBullet2">
    <w:name w:val="List Bullet 2"/>
    <w:basedOn w:val="List2"/>
    <w:rsid w:val="009F4F0E"/>
    <w:pPr>
      <w:numPr>
        <w:numId w:val="14"/>
      </w:numPr>
      <w:tabs>
        <w:tab w:val="clear" w:pos="680"/>
      </w:tabs>
    </w:pPr>
  </w:style>
  <w:style w:type="paragraph" w:customStyle="1" w:styleId="SuperHeading">
    <w:name w:val="SuperHeading"/>
    <w:basedOn w:val="Normal"/>
    <w:rsid w:val="009F4F0E"/>
    <w:pPr>
      <w:spacing w:before="240" w:after="120"/>
      <w:outlineLvl w:val="0"/>
    </w:pPr>
    <w:rPr>
      <w:rFonts w:ascii="Times New Roman" w:hAnsi="Times New Roman"/>
      <w:b/>
      <w:sz w:val="32"/>
    </w:rPr>
  </w:style>
  <w:style w:type="paragraph" w:customStyle="1" w:styleId="AllowPageBreak">
    <w:name w:val="AllowPageBreak"/>
    <w:rsid w:val="009F4F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4F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F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F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F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F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F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4F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4F0E"/>
    <w:rPr>
      <w:rFonts w:ascii="Courier New" w:eastAsia="Times New Roman" w:hAnsi="Courier New" w:cs="Times New Roman"/>
      <w:i/>
      <w:szCs w:val="20"/>
      <w:lang w:eastAsia="en-US"/>
    </w:rPr>
  </w:style>
  <w:style w:type="paragraph" w:customStyle="1" w:styleId="HeadingBase">
    <w:name w:val="Heading Base"/>
    <w:rsid w:val="009F4F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F0E"/>
    <w:pPr>
      <w:tabs>
        <w:tab w:val="right" w:leader="dot" w:pos="9072"/>
      </w:tabs>
      <w:ind w:left="567"/>
    </w:pPr>
    <w:rPr>
      <w:szCs w:val="22"/>
    </w:rPr>
  </w:style>
  <w:style w:type="paragraph" w:customStyle="1" w:styleId="TOCBase">
    <w:name w:val="TOC Base"/>
    <w:rsid w:val="009F4F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F0E"/>
    <w:pPr>
      <w:tabs>
        <w:tab w:val="right" w:leader="dot" w:pos="9072"/>
      </w:tabs>
      <w:spacing w:before="40" w:after="40"/>
      <w:ind w:left="284"/>
    </w:pPr>
    <w:rPr>
      <w:rFonts w:ascii="Times New Roman" w:hAnsi="Times New Roman"/>
    </w:rPr>
  </w:style>
  <w:style w:type="paragraph" w:styleId="TOC1">
    <w:name w:val="toc 1"/>
    <w:basedOn w:val="TOCBase"/>
    <w:next w:val="Normal"/>
    <w:rsid w:val="009F4F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4F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F0E"/>
    <w:rPr>
      <w:rFonts w:ascii="Times New Roman" w:eastAsia="Times New Roman" w:hAnsi="Times New Roman" w:cs="Times New Roman"/>
      <w:sz w:val="16"/>
      <w:lang w:eastAsia="en-US"/>
    </w:rPr>
  </w:style>
  <w:style w:type="paragraph" w:styleId="Title">
    <w:name w:val="Title"/>
    <w:basedOn w:val="HeadingBase"/>
    <w:link w:val="TitleChar"/>
    <w:qFormat/>
    <w:rsid w:val="009F4F0E"/>
    <w:pPr>
      <w:spacing w:before="5040"/>
      <w:jc w:val="center"/>
    </w:pPr>
    <w:rPr>
      <w:sz w:val="48"/>
      <w:szCs w:val="72"/>
      <w:lang w:val="en-US"/>
    </w:rPr>
  </w:style>
  <w:style w:type="character" w:customStyle="1" w:styleId="TitleChar">
    <w:name w:val="Title Char"/>
    <w:basedOn w:val="DefaultParagraphFont"/>
    <w:link w:val="Title"/>
    <w:rsid w:val="009F4F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F0E"/>
    <w:pPr>
      <w:tabs>
        <w:tab w:val="left" w:pos="3600"/>
        <w:tab w:val="left" w:pos="3958"/>
      </w:tabs>
    </w:pPr>
  </w:style>
  <w:style w:type="paragraph" w:styleId="List">
    <w:name w:val="List"/>
    <w:basedOn w:val="BodyText"/>
    <w:next w:val="BodyText"/>
    <w:rsid w:val="009F4F0E"/>
    <w:pPr>
      <w:tabs>
        <w:tab w:val="left" w:pos="340"/>
      </w:tabs>
      <w:spacing w:before="60" w:after="60"/>
      <w:ind w:left="340" w:hanging="340"/>
    </w:pPr>
  </w:style>
  <w:style w:type="paragraph" w:customStyle="1" w:styleId="Note">
    <w:name w:val="Note"/>
    <w:basedOn w:val="BodyText"/>
    <w:rsid w:val="009F4F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F0E"/>
    <w:pPr>
      <w:framePr w:wrap="auto" w:hAnchor="text" w:y="6049"/>
    </w:pPr>
    <w:rPr>
      <w:color w:val="000000"/>
      <w:sz w:val="40"/>
    </w:rPr>
  </w:style>
  <w:style w:type="paragraph" w:customStyle="1" w:styleId="TOCTitle">
    <w:name w:val="TOCTitle"/>
    <w:basedOn w:val="Heading1"/>
    <w:rsid w:val="009F4F0E"/>
    <w:pPr>
      <w:spacing w:after="240"/>
      <w:jc w:val="center"/>
      <w:outlineLvl w:val="9"/>
    </w:pPr>
    <w:rPr>
      <w:caps/>
    </w:rPr>
  </w:style>
  <w:style w:type="paragraph" w:customStyle="1" w:styleId="Version">
    <w:name w:val="Version"/>
    <w:rsid w:val="009F4F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4F0E"/>
    <w:pPr>
      <w:keepNext w:val="0"/>
      <w:tabs>
        <w:tab w:val="right" w:pos="4176"/>
      </w:tabs>
      <w:ind w:left="198" w:hanging="198"/>
    </w:pPr>
    <w:rPr>
      <w:rFonts w:ascii="Garamond" w:hAnsi="Garamond"/>
    </w:rPr>
  </w:style>
  <w:style w:type="paragraph" w:styleId="IndexHeading">
    <w:name w:val="index heading"/>
    <w:basedOn w:val="Normal"/>
    <w:next w:val="Index1"/>
    <w:semiHidden/>
    <w:rsid w:val="009F4F0E"/>
    <w:pPr>
      <w:spacing w:before="120" w:after="120"/>
    </w:pPr>
    <w:rPr>
      <w:rFonts w:ascii="Arial" w:hAnsi="Arial"/>
      <w:b/>
      <w:color w:val="918585"/>
      <w:sz w:val="24"/>
    </w:rPr>
  </w:style>
  <w:style w:type="paragraph" w:styleId="Header">
    <w:name w:val="header"/>
    <w:basedOn w:val="Normal"/>
    <w:link w:val="HeaderChar"/>
    <w:rsid w:val="009F4F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F0E"/>
    <w:rPr>
      <w:rFonts w:ascii="Times New Roman" w:eastAsia="Times New Roman" w:hAnsi="Times New Roman" w:cs="Times New Roman"/>
      <w:sz w:val="16"/>
      <w:szCs w:val="20"/>
      <w:lang w:val="en-GB" w:eastAsia="en-US"/>
    </w:rPr>
  </w:style>
  <w:style w:type="paragraph" w:customStyle="1" w:styleId="Chapter">
    <w:name w:val="Chapter"/>
    <w:basedOn w:val="Normal"/>
    <w:rsid w:val="009F4F0E"/>
    <w:pPr>
      <w:spacing w:before="240"/>
    </w:pPr>
    <w:rPr>
      <w:rFonts w:ascii="Times New Roman" w:hAnsi="Times New Roman"/>
      <w:smallCaps/>
      <w:spacing w:val="80"/>
      <w:sz w:val="28"/>
    </w:rPr>
  </w:style>
  <w:style w:type="paragraph" w:customStyle="1" w:styleId="InChapter">
    <w:name w:val="InChapter"/>
    <w:basedOn w:val="Heading3"/>
    <w:rsid w:val="009F4F0E"/>
    <w:pPr>
      <w:spacing w:after="240"/>
      <w:outlineLvl w:val="9"/>
    </w:pPr>
    <w:rPr>
      <w:noProof/>
    </w:rPr>
  </w:style>
  <w:style w:type="paragraph" w:styleId="Index2">
    <w:name w:val="index 2"/>
    <w:basedOn w:val="Normal"/>
    <w:next w:val="Normal"/>
    <w:semiHidden/>
    <w:rsid w:val="009F4F0E"/>
    <w:pPr>
      <w:tabs>
        <w:tab w:val="right" w:pos="4176"/>
      </w:tabs>
      <w:ind w:left="568" w:hanging="284"/>
    </w:pPr>
    <w:rPr>
      <w:rFonts w:ascii="Garamond" w:hAnsi="Garamond"/>
    </w:rPr>
  </w:style>
  <w:style w:type="paragraph" w:customStyle="1" w:styleId="Byline">
    <w:name w:val="Byline"/>
    <w:rsid w:val="009F4F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F0E"/>
    <w:pPr>
      <w:tabs>
        <w:tab w:val="clear" w:pos="3600"/>
        <w:tab w:val="clear" w:pos="3958"/>
      </w:tabs>
      <w:jc w:val="right"/>
    </w:pPr>
  </w:style>
  <w:style w:type="character" w:styleId="Emphasis">
    <w:name w:val="Emphasis"/>
    <w:basedOn w:val="DefaultParagraphFont"/>
    <w:qFormat/>
    <w:rsid w:val="009F4F0E"/>
    <w:rPr>
      <w:i/>
    </w:rPr>
  </w:style>
  <w:style w:type="paragraph" w:styleId="Caption">
    <w:name w:val="caption"/>
    <w:basedOn w:val="BodyText"/>
    <w:next w:val="Normal"/>
    <w:qFormat/>
    <w:rsid w:val="009F4F0E"/>
    <w:pPr>
      <w:framePr w:w="2268" w:hSpace="181" w:vSpace="181" w:wrap="around" w:vAnchor="text" w:hAnchor="page" w:x="1135" w:y="285" w:anchorLock="1"/>
    </w:pPr>
    <w:rPr>
      <w:i/>
    </w:rPr>
  </w:style>
  <w:style w:type="paragraph" w:customStyle="1" w:styleId="MiniTOCTitle">
    <w:name w:val="MiniTOCTitle"/>
    <w:basedOn w:val="Heading4"/>
    <w:rsid w:val="009F4F0E"/>
    <w:pPr>
      <w:spacing w:before="240"/>
      <w:outlineLvl w:val="9"/>
    </w:pPr>
    <w:rPr>
      <w:noProof/>
      <w:sz w:val="24"/>
    </w:rPr>
  </w:style>
  <w:style w:type="paragraph" w:customStyle="1" w:styleId="MiniTOCItem">
    <w:name w:val="MiniTOCItem"/>
    <w:basedOn w:val="ListBullet"/>
    <w:rsid w:val="009F4F0E"/>
    <w:pPr>
      <w:numPr>
        <w:numId w:val="0"/>
      </w:numPr>
      <w:tabs>
        <w:tab w:val="right" w:leader="dot" w:pos="6521"/>
      </w:tabs>
      <w:spacing w:before="0" w:after="0"/>
    </w:pPr>
  </w:style>
  <w:style w:type="paragraph" w:customStyle="1" w:styleId="TOFTitle">
    <w:name w:val="TOFTitle"/>
    <w:basedOn w:val="TOCTitle"/>
    <w:rsid w:val="009F4F0E"/>
  </w:style>
  <w:style w:type="paragraph" w:styleId="TableofFigures">
    <w:name w:val="table of figures"/>
    <w:basedOn w:val="Normal"/>
    <w:next w:val="Normal"/>
    <w:semiHidden/>
    <w:rsid w:val="009F4F0E"/>
    <w:pPr>
      <w:tabs>
        <w:tab w:val="right" w:leader="dot" w:pos="9072"/>
      </w:tabs>
      <w:ind w:left="970" w:hanging="403"/>
    </w:pPr>
    <w:rPr>
      <w:rFonts w:ascii="Times New Roman" w:hAnsi="Times New Roman"/>
      <w:b/>
    </w:rPr>
  </w:style>
  <w:style w:type="paragraph" w:styleId="ListNumber">
    <w:name w:val="List Number"/>
    <w:basedOn w:val="List"/>
    <w:rsid w:val="009F4F0E"/>
    <w:pPr>
      <w:numPr>
        <w:numId w:val="11"/>
      </w:numPr>
    </w:pPr>
  </w:style>
  <w:style w:type="character" w:customStyle="1" w:styleId="WingdingSymbols">
    <w:name w:val="Wingding Symbols"/>
    <w:rsid w:val="009F4F0E"/>
    <w:rPr>
      <w:rFonts w:ascii="Wingdings" w:hAnsi="Wingdings"/>
    </w:rPr>
  </w:style>
  <w:style w:type="paragraph" w:customStyle="1" w:styleId="TableHeading">
    <w:name w:val="Table Heading"/>
    <w:basedOn w:val="HeadingBase"/>
    <w:rsid w:val="009F4F0E"/>
    <w:pPr>
      <w:keepLines/>
      <w:pBdr>
        <w:bottom w:val="single" w:sz="6" w:space="1" w:color="918585"/>
      </w:pBdr>
      <w:spacing w:before="240"/>
    </w:pPr>
  </w:style>
  <w:style w:type="character" w:customStyle="1" w:styleId="HotSpot">
    <w:name w:val="HotSpot"/>
    <w:rsid w:val="009F4F0E"/>
    <w:rPr>
      <w:color w:val="0033CC"/>
      <w:u w:val="none"/>
    </w:rPr>
  </w:style>
  <w:style w:type="paragraph" w:customStyle="1" w:styleId="BodyTextRight">
    <w:name w:val="Body Text Right"/>
    <w:basedOn w:val="BodyText"/>
    <w:rsid w:val="009F4F0E"/>
    <w:pPr>
      <w:spacing w:before="0" w:after="0"/>
      <w:jc w:val="right"/>
    </w:pPr>
  </w:style>
  <w:style w:type="paragraph" w:styleId="Index3">
    <w:name w:val="index 3"/>
    <w:basedOn w:val="ListNumber2"/>
    <w:next w:val="Normal"/>
    <w:semiHidden/>
    <w:rsid w:val="009F4F0E"/>
    <w:pPr>
      <w:numPr>
        <w:numId w:val="0"/>
      </w:numPr>
      <w:tabs>
        <w:tab w:val="right" w:leader="dot" w:pos="4176"/>
      </w:tabs>
    </w:pPr>
  </w:style>
  <w:style w:type="paragraph" w:styleId="ListNumber2">
    <w:name w:val="List Number 2"/>
    <w:basedOn w:val="List2"/>
    <w:rsid w:val="009F4F0E"/>
    <w:pPr>
      <w:numPr>
        <w:numId w:val="10"/>
      </w:numPr>
      <w:tabs>
        <w:tab w:val="clear" w:pos="1060"/>
      </w:tabs>
    </w:pPr>
  </w:style>
  <w:style w:type="paragraph" w:customStyle="1" w:styleId="MarginNote">
    <w:name w:val="Margin Note"/>
    <w:basedOn w:val="BodyText"/>
    <w:rsid w:val="009F4F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F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F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4F0E"/>
    <w:rPr>
      <w:sz w:val="32"/>
    </w:rPr>
  </w:style>
  <w:style w:type="paragraph" w:customStyle="1" w:styleId="HeadingProcedure">
    <w:name w:val="Heading Procedure"/>
    <w:basedOn w:val="HeadingBase"/>
    <w:next w:val="Normal"/>
    <w:rsid w:val="009F4F0E"/>
    <w:pPr>
      <w:tabs>
        <w:tab w:val="left" w:pos="0"/>
      </w:tabs>
      <w:spacing w:before="120" w:after="60"/>
    </w:pPr>
    <w:rPr>
      <w:i/>
      <w:color w:val="918585"/>
      <w:sz w:val="22"/>
    </w:rPr>
  </w:style>
  <w:style w:type="paragraph" w:customStyle="1" w:styleId="TableBodyText">
    <w:name w:val="Table Body Text"/>
    <w:basedOn w:val="BodyText"/>
    <w:rsid w:val="009F4F0E"/>
    <w:pPr>
      <w:spacing w:before="60" w:after="60"/>
    </w:pPr>
  </w:style>
  <w:style w:type="paragraph" w:styleId="ListContinue">
    <w:name w:val="List Continue"/>
    <w:basedOn w:val="List"/>
    <w:rsid w:val="009F4F0E"/>
    <w:pPr>
      <w:ind w:firstLine="0"/>
    </w:pPr>
  </w:style>
  <w:style w:type="paragraph" w:customStyle="1" w:styleId="ListNote">
    <w:name w:val="List Note"/>
    <w:basedOn w:val="List"/>
    <w:rsid w:val="009F4F0E"/>
    <w:pPr>
      <w:pBdr>
        <w:top w:val="single" w:sz="6" w:space="2" w:color="918585"/>
        <w:bottom w:val="single" w:sz="6" w:space="2" w:color="918585"/>
      </w:pBdr>
      <w:tabs>
        <w:tab w:val="left" w:pos="1021"/>
      </w:tabs>
      <w:ind w:firstLine="0"/>
    </w:pPr>
  </w:style>
  <w:style w:type="paragraph" w:customStyle="1" w:styleId="Warning">
    <w:name w:val="Warning"/>
    <w:basedOn w:val="BodyText"/>
    <w:rsid w:val="009F4F0E"/>
    <w:pPr>
      <w:shd w:val="clear" w:color="auto" w:fill="D9D9D9"/>
      <w:tabs>
        <w:tab w:val="left" w:pos="992"/>
      </w:tabs>
      <w:ind w:left="119" w:right="119"/>
    </w:pPr>
    <w:rPr>
      <w:sz w:val="20"/>
    </w:rPr>
  </w:style>
  <w:style w:type="paragraph" w:customStyle="1" w:styleId="MarginIcons">
    <w:name w:val="Margin Icons"/>
    <w:basedOn w:val="BodyText"/>
    <w:rsid w:val="009F4F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F0E"/>
    <w:rPr>
      <w:rFonts w:ascii="Courier New" w:hAnsi="Courier New"/>
    </w:rPr>
  </w:style>
  <w:style w:type="paragraph" w:customStyle="1" w:styleId="NoteBullet">
    <w:name w:val="Note Bullet"/>
    <w:basedOn w:val="Note"/>
    <w:rsid w:val="009F4F0E"/>
    <w:pPr>
      <w:tabs>
        <w:tab w:val="clear" w:pos="680"/>
      </w:tabs>
      <w:spacing w:before="60" w:after="60"/>
    </w:pPr>
  </w:style>
  <w:style w:type="paragraph" w:customStyle="1" w:styleId="SubHeading2">
    <w:name w:val="SubHeading2"/>
    <w:basedOn w:val="HeadingBase"/>
    <w:rsid w:val="009F4F0E"/>
    <w:pPr>
      <w:spacing w:before="240" w:after="60"/>
    </w:pPr>
    <w:rPr>
      <w:sz w:val="20"/>
    </w:rPr>
  </w:style>
  <w:style w:type="paragraph" w:customStyle="1" w:styleId="SubHeading1">
    <w:name w:val="SubHeading1"/>
    <w:basedOn w:val="HeadingBase"/>
    <w:rsid w:val="009F4F0E"/>
    <w:pPr>
      <w:spacing w:before="240" w:after="60"/>
    </w:pPr>
    <w:rPr>
      <w:color w:val="918585"/>
      <w:sz w:val="22"/>
    </w:rPr>
  </w:style>
  <w:style w:type="paragraph" w:customStyle="1" w:styleId="SideHeading">
    <w:name w:val="Side Heading"/>
    <w:basedOn w:val="HeadingBase"/>
    <w:rsid w:val="009F4F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F0E"/>
    <w:pPr>
      <w:numPr>
        <w:numId w:val="12"/>
      </w:numPr>
    </w:pPr>
  </w:style>
  <w:style w:type="paragraph" w:styleId="PlainText">
    <w:name w:val="Plain Text"/>
    <w:basedOn w:val="Normal"/>
    <w:link w:val="PlainTextChar"/>
    <w:rsid w:val="009F4F0E"/>
    <w:rPr>
      <w:sz w:val="20"/>
    </w:rPr>
  </w:style>
  <w:style w:type="character" w:customStyle="1" w:styleId="PlainTextChar">
    <w:name w:val="Plain Text Char"/>
    <w:basedOn w:val="DefaultParagraphFont"/>
    <w:link w:val="PlainText"/>
    <w:rsid w:val="009F4F0E"/>
    <w:rPr>
      <w:rFonts w:ascii="Courier New" w:eastAsia="Times New Roman" w:hAnsi="Courier New" w:cs="Times New Roman"/>
      <w:sz w:val="20"/>
      <w:szCs w:val="20"/>
      <w:lang w:eastAsia="en-US"/>
    </w:rPr>
  </w:style>
  <w:style w:type="character" w:customStyle="1" w:styleId="MenuOption">
    <w:name w:val="Menu Option"/>
    <w:basedOn w:val="DefaultParagraphFont"/>
    <w:rsid w:val="009F4F0E"/>
    <w:rPr>
      <w:b/>
      <w:smallCaps/>
    </w:rPr>
  </w:style>
  <w:style w:type="paragraph" w:customStyle="1" w:styleId="TableListNumber">
    <w:name w:val="Table List Number"/>
    <w:basedOn w:val="ListNumber"/>
    <w:rsid w:val="009F4F0E"/>
    <w:pPr>
      <w:numPr>
        <w:numId w:val="0"/>
      </w:numPr>
    </w:pPr>
  </w:style>
  <w:style w:type="paragraph" w:styleId="TOC4">
    <w:name w:val="toc 4"/>
    <w:basedOn w:val="TOCBase"/>
    <w:next w:val="Normal"/>
    <w:semiHidden/>
    <w:rsid w:val="009F4F0E"/>
    <w:pPr>
      <w:tabs>
        <w:tab w:val="right" w:leader="dot" w:pos="9071"/>
      </w:tabs>
      <w:ind w:left="1701"/>
    </w:pPr>
  </w:style>
  <w:style w:type="paragraph" w:customStyle="1" w:styleId="ListAlpha">
    <w:name w:val="List Alpha"/>
    <w:basedOn w:val="List"/>
    <w:rsid w:val="009F4F0E"/>
    <w:pPr>
      <w:numPr>
        <w:numId w:val="9"/>
      </w:numPr>
    </w:pPr>
  </w:style>
  <w:style w:type="paragraph" w:customStyle="1" w:styleId="ListAlpha2">
    <w:name w:val="List Alpha 2"/>
    <w:basedOn w:val="List2"/>
    <w:rsid w:val="009F4F0E"/>
    <w:pPr>
      <w:numPr>
        <w:numId w:val="8"/>
      </w:numPr>
    </w:pPr>
  </w:style>
  <w:style w:type="paragraph" w:styleId="List2">
    <w:name w:val="List 2"/>
    <w:basedOn w:val="BodyText"/>
    <w:rsid w:val="009F4F0E"/>
    <w:pPr>
      <w:tabs>
        <w:tab w:val="left" w:pos="680"/>
      </w:tabs>
      <w:spacing w:before="60" w:after="60"/>
      <w:ind w:left="680" w:hanging="340"/>
    </w:pPr>
  </w:style>
  <w:style w:type="paragraph" w:styleId="List3">
    <w:name w:val="List 3"/>
    <w:basedOn w:val="BodyText"/>
    <w:rsid w:val="009F4F0E"/>
    <w:pPr>
      <w:tabs>
        <w:tab w:val="left" w:pos="1021"/>
      </w:tabs>
      <w:spacing w:before="60" w:after="60"/>
      <w:ind w:left="1020" w:hanging="340"/>
    </w:pPr>
  </w:style>
  <w:style w:type="paragraph" w:styleId="List4">
    <w:name w:val="List 4"/>
    <w:basedOn w:val="BodyText"/>
    <w:rsid w:val="009F4F0E"/>
    <w:pPr>
      <w:tabs>
        <w:tab w:val="left" w:pos="1361"/>
      </w:tabs>
      <w:spacing w:before="60" w:after="60"/>
      <w:ind w:left="1361" w:hanging="340"/>
    </w:pPr>
  </w:style>
  <w:style w:type="paragraph" w:styleId="List5">
    <w:name w:val="List 5"/>
    <w:basedOn w:val="BodyText"/>
    <w:rsid w:val="009F4F0E"/>
    <w:pPr>
      <w:tabs>
        <w:tab w:val="left" w:pos="1701"/>
      </w:tabs>
      <w:spacing w:before="60" w:after="60"/>
      <w:ind w:left="1701" w:hanging="340"/>
    </w:pPr>
  </w:style>
  <w:style w:type="paragraph" w:styleId="ListBullet3">
    <w:name w:val="List Bullet 3"/>
    <w:basedOn w:val="List3"/>
    <w:rsid w:val="009F4F0E"/>
    <w:pPr>
      <w:numPr>
        <w:numId w:val="15"/>
      </w:numPr>
      <w:tabs>
        <w:tab w:val="clear" w:pos="1021"/>
      </w:tabs>
      <w:ind w:left="1037" w:hanging="357"/>
    </w:pPr>
  </w:style>
  <w:style w:type="paragraph" w:styleId="ListBullet4">
    <w:name w:val="List Bullet 4"/>
    <w:basedOn w:val="List4"/>
    <w:rsid w:val="009F4F0E"/>
    <w:pPr>
      <w:numPr>
        <w:numId w:val="3"/>
      </w:numPr>
    </w:pPr>
  </w:style>
  <w:style w:type="paragraph" w:styleId="ListBullet5">
    <w:name w:val="List Bullet 5"/>
    <w:basedOn w:val="List5"/>
    <w:rsid w:val="009F4F0E"/>
    <w:pPr>
      <w:numPr>
        <w:numId w:val="4"/>
      </w:numPr>
    </w:pPr>
  </w:style>
  <w:style w:type="paragraph" w:styleId="ListContinue2">
    <w:name w:val="List Continue 2"/>
    <w:basedOn w:val="List2"/>
    <w:rsid w:val="009F4F0E"/>
    <w:pPr>
      <w:ind w:firstLine="0"/>
    </w:pPr>
  </w:style>
  <w:style w:type="paragraph" w:styleId="ListContinue3">
    <w:name w:val="List Continue 3"/>
    <w:basedOn w:val="List3"/>
    <w:rsid w:val="009F4F0E"/>
    <w:pPr>
      <w:ind w:left="1021" w:firstLine="0"/>
    </w:pPr>
  </w:style>
  <w:style w:type="paragraph" w:styleId="ListContinue4">
    <w:name w:val="List Continue 4"/>
    <w:basedOn w:val="List4"/>
    <w:rsid w:val="009F4F0E"/>
    <w:pPr>
      <w:ind w:firstLine="0"/>
    </w:pPr>
  </w:style>
  <w:style w:type="paragraph" w:styleId="ListContinue5">
    <w:name w:val="List Continue 5"/>
    <w:basedOn w:val="List5"/>
    <w:rsid w:val="009F4F0E"/>
    <w:pPr>
      <w:ind w:firstLine="0"/>
    </w:pPr>
  </w:style>
  <w:style w:type="paragraph" w:styleId="ListNumber3">
    <w:name w:val="List Number 3"/>
    <w:basedOn w:val="List3"/>
    <w:rsid w:val="009F4F0E"/>
    <w:pPr>
      <w:numPr>
        <w:numId w:val="5"/>
      </w:numPr>
    </w:pPr>
  </w:style>
  <w:style w:type="paragraph" w:styleId="ListNumber4">
    <w:name w:val="List Number 4"/>
    <w:basedOn w:val="List4"/>
    <w:rsid w:val="009F4F0E"/>
    <w:pPr>
      <w:numPr>
        <w:numId w:val="6"/>
      </w:numPr>
    </w:pPr>
  </w:style>
  <w:style w:type="paragraph" w:styleId="ListNumber5">
    <w:name w:val="List Number 5"/>
    <w:basedOn w:val="List5"/>
    <w:rsid w:val="009F4F0E"/>
    <w:pPr>
      <w:numPr>
        <w:numId w:val="7"/>
      </w:numPr>
    </w:pPr>
  </w:style>
  <w:style w:type="paragraph" w:styleId="BlockText">
    <w:name w:val="Block Text"/>
    <w:basedOn w:val="Normal"/>
    <w:rsid w:val="009F4F0E"/>
    <w:pPr>
      <w:spacing w:after="120"/>
      <w:ind w:left="1440" w:right="1440"/>
    </w:pPr>
  </w:style>
  <w:style w:type="character" w:customStyle="1" w:styleId="Subscript">
    <w:name w:val="Subscript"/>
    <w:basedOn w:val="DefaultParagraphFont"/>
    <w:rsid w:val="009F4F0E"/>
    <w:rPr>
      <w:sz w:val="16"/>
      <w:vertAlign w:val="subscript"/>
    </w:rPr>
  </w:style>
  <w:style w:type="character" w:customStyle="1" w:styleId="Superscript">
    <w:name w:val="Superscript"/>
    <w:basedOn w:val="DefaultParagraphFont"/>
    <w:rsid w:val="009F4F0E"/>
    <w:rPr>
      <w:sz w:val="16"/>
      <w:vertAlign w:val="superscript"/>
    </w:rPr>
  </w:style>
  <w:style w:type="character" w:customStyle="1" w:styleId="Symbols">
    <w:name w:val="Symbols"/>
    <w:basedOn w:val="DefaultParagraphFont"/>
    <w:rsid w:val="009F4F0E"/>
    <w:rPr>
      <w:rFonts w:ascii="Symbol" w:hAnsi="Symbol"/>
    </w:rPr>
  </w:style>
  <w:style w:type="character" w:customStyle="1" w:styleId="MenuOptions">
    <w:name w:val="Menu Options"/>
    <w:basedOn w:val="DefaultParagraphFont"/>
    <w:rsid w:val="009F4F0E"/>
    <w:rPr>
      <w:rFonts w:ascii="Arial Narrow" w:hAnsi="Arial Narrow"/>
      <w:smallCaps/>
    </w:rPr>
  </w:style>
  <w:style w:type="character" w:customStyle="1" w:styleId="Buttons">
    <w:name w:val="Buttons"/>
    <w:basedOn w:val="DefaultParagraphFont"/>
    <w:rsid w:val="009F4F0E"/>
    <w:rPr>
      <w:b/>
    </w:rPr>
  </w:style>
  <w:style w:type="character" w:customStyle="1" w:styleId="Underlined">
    <w:name w:val="Underlined"/>
    <w:basedOn w:val="DefaultParagraphFont"/>
    <w:rsid w:val="009F4F0E"/>
    <w:rPr>
      <w:u w:val="single"/>
    </w:rPr>
  </w:style>
  <w:style w:type="paragraph" w:customStyle="1" w:styleId="TableBodyTextRight">
    <w:name w:val="Table Body Text Right"/>
    <w:basedOn w:val="TableBodyText"/>
    <w:rsid w:val="009F4F0E"/>
    <w:pPr>
      <w:widowControl w:val="0"/>
      <w:autoSpaceDE w:val="0"/>
      <w:autoSpaceDN w:val="0"/>
      <w:adjustRightInd w:val="0"/>
      <w:jc w:val="right"/>
    </w:pPr>
    <w:rPr>
      <w:rFonts w:cs="Arial"/>
      <w:szCs w:val="18"/>
    </w:rPr>
  </w:style>
  <w:style w:type="paragraph" w:customStyle="1" w:styleId="CopyrightText">
    <w:name w:val="Copyright Text"/>
    <w:basedOn w:val="BodyText"/>
    <w:rsid w:val="009F4F0E"/>
    <w:rPr>
      <w:sz w:val="18"/>
    </w:rPr>
  </w:style>
  <w:style w:type="paragraph" w:customStyle="1" w:styleId="BodySmallRight">
    <w:name w:val="Body Small Right"/>
    <w:basedOn w:val="BodyTextRight"/>
    <w:rsid w:val="009F4F0E"/>
    <w:rPr>
      <w:sz w:val="18"/>
      <w:szCs w:val="18"/>
    </w:rPr>
  </w:style>
  <w:style w:type="paragraph" w:customStyle="1" w:styleId="MarginEdition">
    <w:name w:val="Margin Edition"/>
    <w:basedOn w:val="MarginNote"/>
    <w:rsid w:val="009F4F0E"/>
    <w:pPr>
      <w:spacing w:before="0" w:after="0"/>
    </w:pPr>
    <w:rPr>
      <w:rFonts w:ascii="Times New Roman" w:hAnsi="Times New Roman"/>
      <w:color w:val="999999"/>
    </w:rPr>
  </w:style>
  <w:style w:type="paragraph" w:customStyle="1" w:styleId="Spacer">
    <w:name w:val="Spacer"/>
    <w:basedOn w:val="Normal"/>
    <w:rsid w:val="009F4F0E"/>
    <w:rPr>
      <w:sz w:val="2"/>
      <w:szCs w:val="2"/>
    </w:rPr>
  </w:style>
  <w:style w:type="character" w:customStyle="1" w:styleId="Small">
    <w:name w:val="Small"/>
    <w:basedOn w:val="DefaultParagraphFont"/>
    <w:rsid w:val="009F4F0E"/>
    <w:rPr>
      <w:sz w:val="16"/>
    </w:rPr>
  </w:style>
  <w:style w:type="paragraph" w:customStyle="1" w:styleId="WideTable">
    <w:name w:val="Wide Table"/>
    <w:basedOn w:val="Normal"/>
    <w:rsid w:val="009F4F0E"/>
    <w:pPr>
      <w:ind w:left="-1418"/>
    </w:pPr>
    <w:rPr>
      <w:sz w:val="2"/>
      <w:szCs w:val="2"/>
    </w:rPr>
  </w:style>
  <w:style w:type="character" w:styleId="PageNumber">
    <w:name w:val="page number"/>
    <w:basedOn w:val="DefaultParagraphFont"/>
    <w:rsid w:val="009F4F0E"/>
  </w:style>
  <w:style w:type="paragraph" w:styleId="Quote">
    <w:name w:val="Quote"/>
    <w:basedOn w:val="Heading1"/>
    <w:link w:val="QuoteChar"/>
    <w:qFormat/>
    <w:rsid w:val="009F4F0E"/>
    <w:rPr>
      <w:b w:val="0"/>
      <w:sz w:val="72"/>
      <w:szCs w:val="72"/>
      <w:lang w:val="en-NZ"/>
    </w:rPr>
  </w:style>
  <w:style w:type="character" w:customStyle="1" w:styleId="QuoteChar">
    <w:name w:val="Quote Char"/>
    <w:basedOn w:val="DefaultParagraphFont"/>
    <w:link w:val="Quote"/>
    <w:rsid w:val="009F4F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F0E"/>
    <w:pPr>
      <w:pageBreakBefore/>
    </w:pPr>
  </w:style>
  <w:style w:type="paragraph" w:customStyle="1" w:styleId="Border">
    <w:name w:val="Border"/>
    <w:basedOn w:val="Normal"/>
    <w:qFormat/>
    <w:rsid w:val="009F4F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F0E"/>
    <w:rPr>
      <w:b/>
      <w:bCs/>
      <w:i/>
      <w:iCs/>
      <w:color w:val="auto"/>
    </w:rPr>
  </w:style>
  <w:style w:type="paragraph" w:styleId="IntenseQuote">
    <w:name w:val="Intense Quote"/>
    <w:basedOn w:val="Normal"/>
    <w:next w:val="Normal"/>
    <w:link w:val="IntenseQuoteChar"/>
    <w:uiPriority w:val="30"/>
    <w:qFormat/>
    <w:rsid w:val="009F4F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F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4F0E"/>
    <w:rPr>
      <w:smallCaps/>
      <w:color w:val="auto"/>
      <w:u w:val="single"/>
    </w:rPr>
  </w:style>
  <w:style w:type="character" w:styleId="IntenseReference">
    <w:name w:val="Intense Reference"/>
    <w:basedOn w:val="DefaultParagraphFont"/>
    <w:uiPriority w:val="32"/>
    <w:qFormat/>
    <w:rsid w:val="009F4F0E"/>
    <w:rPr>
      <w:b/>
      <w:bCs/>
      <w:smallCaps/>
      <w:color w:val="auto"/>
      <w:spacing w:val="5"/>
      <w:u w:val="single"/>
    </w:rPr>
  </w:style>
  <w:style w:type="paragraph" w:customStyle="1" w:styleId="2ColumnHeading">
    <w:name w:val="2Column Heading"/>
    <w:basedOn w:val="BodyText"/>
    <w:qFormat/>
    <w:rsid w:val="009F4F0E"/>
    <w:pPr>
      <w:spacing w:after="60"/>
      <w:ind w:left="-2268"/>
    </w:pPr>
    <w:rPr>
      <w:b/>
    </w:rPr>
  </w:style>
  <w:style w:type="paragraph" w:customStyle="1" w:styleId="Heading1TOC">
    <w:name w:val="Heading1 TOC"/>
    <w:basedOn w:val="Normal"/>
    <w:qFormat/>
    <w:rsid w:val="009F4F0E"/>
    <w:pPr>
      <w:spacing w:before="240" w:after="120"/>
    </w:pPr>
    <w:rPr>
      <w:rFonts w:ascii="Times New Roman" w:hAnsi="Times New Roman"/>
      <w:b/>
      <w:sz w:val="32"/>
    </w:rPr>
  </w:style>
  <w:style w:type="paragraph" w:customStyle="1" w:styleId="Heading2TOC">
    <w:name w:val="Heading2 TOC"/>
    <w:basedOn w:val="Normal"/>
    <w:qFormat/>
    <w:rsid w:val="009F4F0E"/>
    <w:pPr>
      <w:spacing w:before="240" w:after="60"/>
    </w:pPr>
    <w:rPr>
      <w:rFonts w:ascii="Times New Roman" w:hAnsi="Times New Roman"/>
      <w:b/>
      <w:sz w:val="28"/>
    </w:rPr>
  </w:style>
  <w:style w:type="character" w:customStyle="1" w:styleId="Underline">
    <w:name w:val="Underline"/>
    <w:basedOn w:val="DefaultParagraphFont"/>
    <w:qFormat/>
    <w:rsid w:val="009F4F0E"/>
    <w:rPr>
      <w:u w:val="single"/>
    </w:rPr>
  </w:style>
  <w:style w:type="character" w:customStyle="1" w:styleId="BoldandItalics">
    <w:name w:val="Bold and Italics"/>
    <w:qFormat/>
    <w:rsid w:val="009F4F0E"/>
    <w:rPr>
      <w:b/>
      <w:i/>
      <w:u w:val="none"/>
    </w:rPr>
  </w:style>
  <w:style w:type="paragraph" w:styleId="BalloonText">
    <w:name w:val="Balloon Text"/>
    <w:basedOn w:val="Normal"/>
    <w:link w:val="BalloonTextChar"/>
    <w:rsid w:val="009F4F0E"/>
    <w:rPr>
      <w:rFonts w:ascii="Tahoma" w:hAnsi="Tahoma" w:cs="Tahoma"/>
      <w:sz w:val="16"/>
      <w:szCs w:val="16"/>
    </w:rPr>
  </w:style>
  <w:style w:type="character" w:customStyle="1" w:styleId="BalloonTextChar">
    <w:name w:val="Balloon Text Char"/>
    <w:basedOn w:val="DefaultParagraphFont"/>
    <w:link w:val="BalloonText"/>
    <w:rsid w:val="009F4F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4F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4F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4F0E"/>
    <w:rPr>
      <w:b/>
      <w:color w:val="660033"/>
      <w:spacing w:val="0"/>
    </w:rPr>
  </w:style>
  <w:style w:type="paragraph" w:customStyle="1" w:styleId="Nameditemlist">
    <w:name w:val="Named item list"/>
    <w:basedOn w:val="BodyText"/>
    <w:qFormat/>
    <w:rsid w:val="009F4F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2047</Words>
  <Characters>12542</Characters>
  <Application>Microsoft Office Word</Application>
  <DocSecurity>0</DocSecurity>
  <Lines>496</Lines>
  <Paragraphs>213</Paragraphs>
  <ScaleCrop>false</ScaleCrop>
  <Company>Author-it Software Corporation Ltd.</Company>
  <LinksUpToDate>false</LinksUpToDate>
  <CharactersWithSpaces>14423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UEPMNT443A Maintain wind turbine generator control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2013-03-14T21:57:00Z</dcterms:created>
  <dcterms:modified xsi:type="dcterms:W3CDTF">2013-03-14T21:57:00Z</dcterms:modified>
</cp:coreProperties>
</file>