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3296" w:rsidP="00073296">
      <w:pPr>
        <w:pStyle w:val="Title"/>
      </w:pPr>
      <w:bookmarkStart w:id="0" w:name="_GoBack"/>
      <w:bookmarkEnd w:id="0"/>
      <w:r>
        <w:fldChar w:fldCharType="begin"/>
      </w:r>
      <w:r>
        <w:instrText xml:space="preserve"> TITLE   \* MERGEFORMAT </w:instrText>
      </w:r>
      <w:r>
        <w:fldChar w:fldCharType="separate"/>
      </w:r>
      <w:r>
        <w:t>UEPMNT442A Maintain wind turbine generator electrical systems</w:t>
      </w:r>
      <w:r>
        <w:fldChar w:fldCharType="end"/>
      </w:r>
    </w:p>
    <w:p w:rsidR="00073296" w:rsidP="00073296">
      <w:pPr>
        <w:pStyle w:val="Version"/>
        <w:sectPr w:rsidSect="007E47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47AF" w:rsidP="007E47AF">
      <w:pPr>
        <w:pStyle w:val="SuperHeading"/>
      </w:pPr>
      <w:r w:rsidRPr="007E47AF">
        <w:t>UEPMNT442A Maintain wind turbine generator electrical systems</w:t>
      </w:r>
    </w:p>
    <w:p w:rsidR="00000000" w:rsidRPr="007E47AF" w:rsidP="007E47AF">
      <w:pPr>
        <w:pStyle w:val="Heading1"/>
      </w:pPr>
      <w:bookmarkStart w:id="1" w:name="O_490922"/>
      <w:bookmarkEnd w:id="1"/>
      <w:r w:rsidRPr="007E47AF">
        <w:t>Modification History</w:t>
      </w:r>
    </w:p>
    <w:p w:rsidR="00000000" w:rsidRPr="007E47AF" w:rsidP="007E47AF">
      <w:pPr>
        <w:pStyle w:val="BodyText"/>
      </w:pPr>
      <w:r w:rsidRPr="007E47AF">
        <w:t>Not applicable.</w:t>
      </w:r>
    </w:p>
    <w:p w:rsidR="00000000" w:rsidRPr="007E47AF" w:rsidP="007E47AF">
      <w:pPr>
        <w:pStyle w:val="AllowPageBreak"/>
      </w:pPr>
    </w:p>
    <w:p w:rsidR="00000000" w:rsidRPr="007E47AF" w:rsidP="007E47AF">
      <w:pPr>
        <w:pStyle w:val="Heading1"/>
      </w:pPr>
      <w:bookmarkStart w:id="2" w:name="O_490920"/>
      <w:bookmarkEnd w:id="2"/>
      <w:r w:rsidRPr="007E47AF">
        <w:t>Unit Descriptor</w:t>
      </w:r>
    </w:p>
    <w:tbl>
      <w:tblPr>
        <w:tblW w:w="0" w:type="auto"/>
        <w:tblLayout w:type="fixed"/>
        <w:tblCellMar>
          <w:left w:w="62" w:type="dxa"/>
          <w:right w:w="62" w:type="dxa"/>
        </w:tblCellMar>
        <w:tblLook w:val="0000"/>
      </w:tblPr>
      <w:tblGrid>
        <w:gridCol w:w="2700"/>
        <w:gridCol w:w="5760"/>
      </w:tblGrid>
      <w:tr w:rsidTr="0007329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47AF" w:rsidP="007E47AF">
            <w:pPr>
              <w:pStyle w:val="BodyText"/>
            </w:pPr>
            <w:r w:rsidRPr="007E47A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rPr>
                <w:rStyle w:val="SpecialBold"/>
              </w:rPr>
              <w:t>1)</w:t>
            </w:r>
            <w:r w:rsidRPr="007E47AF">
              <w:t xml:space="preserve"> </w:t>
            </w:r>
            <w:r w:rsidRPr="007E47AF">
              <w:rPr>
                <w:rStyle w:val="SpecialBold"/>
              </w:rPr>
              <w:t>Scope:</w:t>
            </w:r>
          </w:p>
        </w:tc>
      </w:tr>
      <w:tr w:rsidTr="000732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E47A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rPr>
                <w:rStyle w:val="SpecialBold"/>
              </w:rPr>
              <w:t>1.1) Descriptor</w:t>
            </w:r>
          </w:p>
        </w:tc>
      </w:tr>
      <w:tr w:rsidTr="000732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47AF" w:rsidP="007E47AF">
            <w:pPr>
              <w:pStyle w:val="BodyText"/>
            </w:pPr>
            <w:r w:rsidRPr="007E47AF">
              <w:t>This unit deals with the skills and knowledge required to undertake the scheduled maintenance of the electrical systems in large scale wind turbine generators (WTGs).</w:t>
            </w:r>
          </w:p>
        </w:tc>
      </w:tr>
    </w:tbl>
    <w:p w:rsidR="00000000" w:rsidRPr="007E47AF" w:rsidP="007E47AF">
      <w:pPr>
        <w:pStyle w:val="BodyText"/>
      </w:pPr>
    </w:p>
    <w:p w:rsidR="00000000" w:rsidRPr="007E47AF" w:rsidP="007E47AF">
      <w:pPr>
        <w:pStyle w:val="AllowPageBreak"/>
      </w:pPr>
    </w:p>
    <w:p w:rsidR="00000000" w:rsidRPr="007E47AF" w:rsidP="007E47AF">
      <w:pPr>
        <w:pStyle w:val="Heading1"/>
      </w:pPr>
      <w:bookmarkStart w:id="3" w:name="O_490909"/>
      <w:bookmarkEnd w:id="3"/>
      <w:r w:rsidRPr="007E47AF">
        <w:t>Application of the Unit</w:t>
      </w:r>
    </w:p>
    <w:tbl>
      <w:tblPr>
        <w:tblW w:w="0" w:type="auto"/>
        <w:tblLayout w:type="fixed"/>
        <w:tblCellMar>
          <w:left w:w="62" w:type="dxa"/>
          <w:right w:w="62" w:type="dxa"/>
        </w:tblCellMar>
        <w:tblLook w:val="0000"/>
      </w:tblPr>
      <w:tblGrid>
        <w:gridCol w:w="2672"/>
        <w:gridCol w:w="5699"/>
      </w:tblGrid>
      <w:tr w:rsidTr="0007329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E47AF" w:rsidP="007E47AF">
            <w:pPr>
              <w:pStyle w:val="BodyText"/>
            </w:pPr>
            <w:r w:rsidRPr="007E47A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rPr>
                <w:rStyle w:val="SpecialBold"/>
              </w:rPr>
              <w:t>2)</w:t>
            </w:r>
          </w:p>
        </w:tc>
      </w:tr>
      <w:tr w:rsidTr="0007329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E47AF" w:rsidP="007E47AF">
            <w:pPr>
              <w:pStyle w:val="BodyText"/>
            </w:pPr>
            <w:r w:rsidRPr="007E47AF">
              <w:t>This unit is intended to augment formally acquired competencies. It is suitable for employment-based programs under an approved contract of training.</w:t>
            </w:r>
          </w:p>
        </w:tc>
      </w:tr>
    </w:tbl>
    <w:p w:rsidR="00000000" w:rsidRPr="007E47AF" w:rsidP="007E47AF">
      <w:pPr>
        <w:pStyle w:val="BodyText"/>
      </w:pPr>
    </w:p>
    <w:p w:rsidR="00000000" w:rsidRPr="007E47AF" w:rsidP="007E47AF">
      <w:pPr>
        <w:pStyle w:val="AllowPageBreak"/>
      </w:pPr>
    </w:p>
    <w:p w:rsidR="00000000" w:rsidRPr="007E47AF" w:rsidP="007E47AF">
      <w:pPr>
        <w:pStyle w:val="Heading1"/>
      </w:pPr>
      <w:bookmarkStart w:id="4" w:name="O_490916"/>
      <w:bookmarkEnd w:id="4"/>
      <w:r w:rsidRPr="007E47AF">
        <w:t>Licensing/Regulatory Information</w:t>
      </w:r>
    </w:p>
    <w:tbl>
      <w:tblPr>
        <w:tblW w:w="0" w:type="auto"/>
        <w:tblLayout w:type="fixed"/>
        <w:tblCellMar>
          <w:left w:w="62" w:type="dxa"/>
          <w:right w:w="62" w:type="dxa"/>
        </w:tblCellMar>
        <w:tblLook w:val="0000"/>
      </w:tblPr>
      <w:tblGrid>
        <w:gridCol w:w="2700"/>
        <w:gridCol w:w="5760"/>
      </w:tblGrid>
      <w:tr w:rsidTr="0007329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47AF" w:rsidP="007E47AF">
            <w:pPr>
              <w:pStyle w:val="BodyText"/>
            </w:pPr>
            <w:r w:rsidRPr="007E47A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rPr>
                <w:rStyle w:val="SpecialBold"/>
              </w:rPr>
              <w:t xml:space="preserve">3) </w:t>
            </w:r>
          </w:p>
        </w:tc>
      </w:tr>
      <w:tr w:rsidTr="000732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47AF" w:rsidP="007E47AF">
            <w:pPr>
              <w:pStyle w:val="BodyText"/>
            </w:pPr>
            <w:r w:rsidRPr="007E47AF">
              <w:t>The skills and knowledge des</w:t>
            </w:r>
            <w:r w:rsidRPr="007E47AF">
              <w:t xml:space="preserve">cribed in this unit may require an electrical licence to practise in the workplace. </w:t>
            </w:r>
          </w:p>
          <w:p w:rsidR="00000000" w:rsidRPr="007E47AF" w:rsidP="007E47AF">
            <w:pPr>
              <w:pStyle w:val="BodyText"/>
            </w:pPr>
            <w:r w:rsidRPr="007E47AF">
              <w:t>Practice in this unit is subject to regulations directly related to Occupational Health and Safety and where applicable contracts of training such as apprenticeships and the like.</w:t>
            </w:r>
          </w:p>
        </w:tc>
      </w:tr>
    </w:tbl>
    <w:p w:rsidR="00000000" w:rsidRPr="007E47AF" w:rsidP="007E47AF">
      <w:pPr>
        <w:pStyle w:val="BodyText"/>
      </w:pPr>
    </w:p>
    <w:p w:rsidR="00000000" w:rsidRPr="007E47AF" w:rsidP="007E47AF">
      <w:pPr>
        <w:pStyle w:val="AllowPageBreak"/>
      </w:pPr>
    </w:p>
    <w:p w:rsidR="00000000" w:rsidRPr="007E47AF" w:rsidP="007E47AF">
      <w:pPr>
        <w:pStyle w:val="Heading1"/>
      </w:pPr>
      <w:bookmarkStart w:id="5" w:name="O_490917"/>
      <w:bookmarkEnd w:id="5"/>
      <w:r w:rsidRPr="007E47AF">
        <w:t>Pre-Requisites</w:t>
      </w:r>
    </w:p>
    <w:tbl>
      <w:tblPr>
        <w:tblW w:w="0" w:type="auto"/>
        <w:tblLayout w:type="fixed"/>
        <w:tblCellMar>
          <w:left w:w="62" w:type="dxa"/>
          <w:right w:w="62" w:type="dxa"/>
        </w:tblCellMar>
        <w:tblLook w:val="0000"/>
      </w:tblPr>
      <w:tblGrid>
        <w:gridCol w:w="2700"/>
        <w:gridCol w:w="2068"/>
        <w:gridCol w:w="3696"/>
      </w:tblGrid>
      <w:tr w:rsidTr="0007329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47AF" w:rsidP="007E47AF">
            <w:pPr>
              <w:pStyle w:val="BodyText"/>
            </w:pPr>
            <w:r w:rsidRPr="007E47AF">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rPr>
                <w:rStyle w:val="SpecialBold"/>
              </w:rPr>
              <w:t xml:space="preserve">4) </w:t>
            </w:r>
          </w:p>
        </w:tc>
      </w:tr>
      <w:tr w:rsidTr="000732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E47AF" w:rsidP="007E47AF">
            <w:pPr>
              <w:pStyle w:val="BodyText"/>
            </w:pPr>
            <w:r w:rsidRPr="007E47AF">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rPr>
                <w:rStyle w:val="SpecialBold"/>
              </w:rPr>
              <w:t>4.</w:t>
            </w:r>
            <w:r w:rsidRPr="007E47AF">
              <w:rPr>
                <w:rStyle w:val="SpecialBold"/>
              </w:rPr>
              <w:t>1)</w:t>
            </w:r>
          </w:p>
        </w:tc>
      </w:tr>
      <w:tr w:rsidTr="000732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7E47AF" w:rsidP="007E47AF">
            <w:pPr>
              <w:pStyle w:val="BodyText"/>
            </w:pPr>
            <w:r w:rsidRPr="007E47AF">
              <w:t>Granting of competency in this unit shall be made only after competency in the following unit(s) has/have been confirmed.</w:t>
            </w:r>
          </w:p>
          <w:p w:rsidR="00000000" w:rsidRPr="007E47AF" w:rsidP="007E47AF">
            <w:pPr>
              <w:pStyle w:val="BodyText"/>
            </w:pPr>
            <w:r w:rsidRPr="007E47AF">
              <w:t>Where pre-requisite pathways have been identified. All competencies in the Common Unit Group must have been completed.</w:t>
            </w:r>
          </w:p>
          <w:p w:rsidR="00000000" w:rsidP="007E47AF">
            <w:pPr>
              <w:pStyle w:val="BodyText"/>
              <w:rPr>
                <w:lang w:val="en-NZ"/>
              </w:rPr>
            </w:pPr>
            <w:r w:rsidRPr="007E47AF">
              <w:t>Common Unit Group</w:t>
            </w:r>
          </w:p>
        </w:tc>
      </w:tr>
      <w:tr w:rsidTr="000732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Unit Code</w:t>
            </w:r>
            <w:r w:rsidRPr="007E47AF">
              <w:tab/>
            </w:r>
          </w:p>
        </w:tc>
        <w:tc>
          <w:tcPr>
            <w:tcW w:w="3696"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Unit Title</w:t>
            </w:r>
          </w:p>
        </w:tc>
      </w:tr>
      <w:tr w:rsidTr="000732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 xml:space="preserve">UEPMNT371A </w:t>
            </w:r>
          </w:p>
        </w:tc>
        <w:tc>
          <w:tcPr>
            <w:tcW w:w="3696"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Maintain large scale wind turbine generators</w:t>
            </w:r>
          </w:p>
        </w:tc>
      </w:tr>
      <w:tr w:rsidTr="000732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UEENEEG006A</w:t>
            </w:r>
          </w:p>
        </w:tc>
        <w:tc>
          <w:tcPr>
            <w:tcW w:w="3696"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Solve problems in single and three phase low voltage machines</w:t>
            </w:r>
          </w:p>
        </w:tc>
      </w:tr>
      <w:tr w:rsidTr="000732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UEENEEE101A</w:t>
            </w:r>
          </w:p>
        </w:tc>
        <w:tc>
          <w:tcPr>
            <w:tcW w:w="3696"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Apply Occupational Health and Safety regulations, codes and practices in the workplace</w:t>
            </w:r>
          </w:p>
        </w:tc>
      </w:tr>
      <w:tr w:rsidTr="000732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UEENEEE102A</w:t>
            </w:r>
          </w:p>
        </w:tc>
        <w:tc>
          <w:tcPr>
            <w:tcW w:w="3696"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Fabricate, dismantle, assemble of electrotechnology components</w:t>
            </w:r>
          </w:p>
        </w:tc>
      </w:tr>
      <w:tr w:rsidTr="000732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UEENEEE104A</w:t>
            </w:r>
          </w:p>
        </w:tc>
        <w:tc>
          <w:tcPr>
            <w:tcW w:w="3696"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Solve problems in d.c circuits</w:t>
            </w:r>
          </w:p>
        </w:tc>
      </w:tr>
      <w:tr w:rsidTr="000732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UEENEEE105A</w:t>
            </w:r>
          </w:p>
        </w:tc>
        <w:tc>
          <w:tcPr>
            <w:tcW w:w="3696"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 xml:space="preserve">Fix and secure electrotechnology </w:t>
            </w:r>
            <w:r w:rsidRPr="007E47AF">
              <w:t>equipment</w:t>
            </w:r>
          </w:p>
        </w:tc>
      </w:tr>
      <w:tr w:rsidTr="000732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UEENEEE107A</w:t>
            </w:r>
          </w:p>
        </w:tc>
        <w:tc>
          <w:tcPr>
            <w:tcW w:w="3696"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 xml:space="preserve">Use drawings, diagrams, schedules, standards, codes and specifications </w:t>
            </w:r>
          </w:p>
        </w:tc>
      </w:tr>
      <w:tr w:rsidTr="000732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UEENEEG101A</w:t>
            </w:r>
          </w:p>
        </w:tc>
        <w:tc>
          <w:tcPr>
            <w:tcW w:w="3696"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Solve problems in electromagnetic devices and related circuits</w:t>
            </w:r>
          </w:p>
        </w:tc>
      </w:tr>
      <w:tr w:rsidTr="000732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UEENEEG102A</w:t>
            </w:r>
          </w:p>
        </w:tc>
        <w:tc>
          <w:tcPr>
            <w:tcW w:w="3696"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Solve problems in low voltage a.c. circuit</w:t>
            </w:r>
          </w:p>
        </w:tc>
      </w:tr>
      <w:tr w:rsidTr="000732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UEENEEG106A</w:t>
            </w:r>
          </w:p>
        </w:tc>
        <w:tc>
          <w:tcPr>
            <w:tcW w:w="3696" w:type="dxa"/>
            <w:tcBorders>
              <w:top w:val="nil"/>
              <w:left w:val="nil"/>
              <w:bottom w:val="nil"/>
              <w:right w:val="nil"/>
            </w:tcBorders>
            <w:tcMar>
              <w:top w:w="0" w:type="dxa"/>
              <w:left w:w="62" w:type="dxa"/>
              <w:bottom w:w="0" w:type="dxa"/>
              <w:right w:w="62" w:type="dxa"/>
            </w:tcMar>
          </w:tcPr>
          <w:p w:rsidR="00000000" w:rsidRPr="007E47AF" w:rsidP="007E47AF">
            <w:pPr>
              <w:pStyle w:val="BodyText"/>
            </w:pPr>
            <w:r w:rsidRPr="007E47AF">
              <w:t>Terminate cables, cords and accessories for low voltage circuits</w:t>
            </w:r>
          </w:p>
        </w:tc>
      </w:tr>
    </w:tbl>
    <w:p w:rsidR="00000000" w:rsidRPr="007E47AF" w:rsidP="007E47A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7329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E47AF" w:rsidP="007E47AF">
            <w:pPr>
              <w:pStyle w:val="BodyText"/>
            </w:pPr>
            <w:r w:rsidRPr="007E47A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rPr>
                <w:rStyle w:val="SpecialBold"/>
              </w:rPr>
              <w:t xml:space="preserve">4.2) </w:t>
            </w:r>
          </w:p>
        </w:tc>
      </w:tr>
      <w:tr w:rsidTr="000732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 xml:space="preserve">Participants are best equipped to achieve this unit if they have reading, writing and numeracy skills indicated by the following levels. A </w:t>
            </w:r>
            <w:r w:rsidRPr="007E47AF">
              <w:t>description of what each level entails is provided in Section 2.3.1 Language, Literacy and Numeracy.</w:t>
            </w:r>
          </w:p>
        </w:tc>
      </w:tr>
      <w:tr w:rsidTr="000732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Reading</w:t>
            </w:r>
          </w:p>
        </w:tc>
        <w:tc>
          <w:tcPr>
            <w:tcW w:w="810"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3</w:t>
            </w:r>
          </w:p>
        </w:tc>
        <w:tc>
          <w:tcPr>
            <w:tcW w:w="990"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Writing</w:t>
            </w:r>
          </w:p>
        </w:tc>
        <w:tc>
          <w:tcPr>
            <w:tcW w:w="900"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3</w:t>
            </w:r>
          </w:p>
        </w:tc>
        <w:tc>
          <w:tcPr>
            <w:tcW w:w="1260"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Numeracy</w:t>
            </w:r>
          </w:p>
        </w:tc>
        <w:tc>
          <w:tcPr>
            <w:tcW w:w="720" w:type="dxa"/>
            <w:tcBorders>
              <w:top w:val="nil"/>
              <w:left w:val="nil"/>
              <w:bottom w:val="nil"/>
              <w:right w:val="nil"/>
            </w:tcBorders>
            <w:tcMar>
              <w:top w:w="0" w:type="dxa"/>
              <w:left w:w="62" w:type="dxa"/>
              <w:bottom w:w="0" w:type="dxa"/>
              <w:right w:w="62" w:type="dxa"/>
            </w:tcMar>
          </w:tcPr>
          <w:p w:rsidR="00000000" w:rsidRPr="007E47AF" w:rsidP="007E47AF">
            <w:pPr>
              <w:pStyle w:val="BodyText"/>
            </w:pPr>
            <w:r w:rsidRPr="007E47AF">
              <w:t>3</w:t>
            </w:r>
          </w:p>
        </w:tc>
      </w:tr>
    </w:tbl>
    <w:p w:rsidR="00000000" w:rsidRPr="007E47AF" w:rsidP="007E47AF">
      <w:pPr>
        <w:pStyle w:val="BodyText"/>
      </w:pPr>
    </w:p>
    <w:p w:rsidR="00000000" w:rsidRPr="007E47AF" w:rsidP="007E47AF">
      <w:pPr>
        <w:pStyle w:val="AllowPageBreak"/>
      </w:pPr>
    </w:p>
    <w:p w:rsidR="00000000" w:rsidRPr="007E47AF" w:rsidP="007E47AF">
      <w:pPr>
        <w:pStyle w:val="Heading1"/>
      </w:pPr>
      <w:bookmarkStart w:id="6" w:name="O_490913"/>
      <w:bookmarkEnd w:id="6"/>
      <w:r w:rsidRPr="007E47AF">
        <w:t>Employability Skills Information</w:t>
      </w:r>
    </w:p>
    <w:tbl>
      <w:tblPr>
        <w:tblW w:w="0" w:type="auto"/>
        <w:tblLayout w:type="fixed"/>
        <w:tblCellMar>
          <w:left w:w="62" w:type="dxa"/>
          <w:right w:w="62" w:type="dxa"/>
        </w:tblCellMar>
        <w:tblLook w:val="0000"/>
      </w:tblPr>
      <w:tblGrid>
        <w:gridCol w:w="2700"/>
        <w:gridCol w:w="5760"/>
      </w:tblGrid>
      <w:tr w:rsidTr="0007329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47AF" w:rsidP="007E47AF">
            <w:pPr>
              <w:pStyle w:val="BodyText"/>
            </w:pPr>
            <w:r w:rsidRPr="007E47A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rPr>
                <w:rStyle w:val="SpecialBold"/>
              </w:rPr>
              <w:t xml:space="preserve">5) </w:t>
            </w:r>
          </w:p>
        </w:tc>
      </w:tr>
      <w:tr w:rsidTr="000732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47AF" w:rsidP="007E47AF">
            <w:pPr>
              <w:pStyle w:val="BodyText"/>
            </w:pPr>
            <w:r w:rsidRPr="007E47AF">
              <w:t>This unit contains Employability Skills.</w:t>
            </w:r>
          </w:p>
          <w:p w:rsidR="00000000" w:rsidRPr="007E47AF" w:rsidP="007E47AF">
            <w:pPr>
              <w:pStyle w:val="BodyText"/>
            </w:pPr>
            <w:r w:rsidRPr="007E47AF">
              <w:t>The required outcomes described in this unit of competency contain applicable facets of Employability Skills. The Employability Skills Summary of the qualification in which this unit of competency is packaged will a</w:t>
            </w:r>
            <w:r w:rsidRPr="007E47AF">
              <w:t>ssist in identifying Employability Skill requirements.</w:t>
            </w:r>
          </w:p>
        </w:tc>
      </w:tr>
    </w:tbl>
    <w:p w:rsidR="00000000" w:rsidRPr="007E47AF" w:rsidP="007E47AF">
      <w:pPr>
        <w:pStyle w:val="BodyText"/>
      </w:pPr>
    </w:p>
    <w:p w:rsidR="00000000" w:rsidRPr="007E47AF" w:rsidP="007E47AF">
      <w:pPr>
        <w:pStyle w:val="AllowPageBreak"/>
      </w:pPr>
    </w:p>
    <w:p w:rsidR="00000000" w:rsidRPr="007E47AF" w:rsidP="007E47AF">
      <w:pPr>
        <w:pStyle w:val="Heading1"/>
      </w:pPr>
      <w:bookmarkStart w:id="7" w:name="O_490912"/>
      <w:bookmarkEnd w:id="7"/>
      <w:r w:rsidRPr="007E47AF">
        <w:t>Elements and Performance Criteria Pre-Content</w:t>
      </w:r>
    </w:p>
    <w:tbl>
      <w:tblPr>
        <w:tblW w:w="0" w:type="auto"/>
        <w:tblLayout w:type="fixed"/>
        <w:tblCellMar>
          <w:left w:w="62" w:type="dxa"/>
          <w:right w:w="62" w:type="dxa"/>
        </w:tblCellMar>
        <w:tblLook w:val="0000"/>
      </w:tblPr>
      <w:tblGrid>
        <w:gridCol w:w="2700"/>
        <w:gridCol w:w="5760"/>
      </w:tblGrid>
      <w:tr w:rsidTr="000732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rPr>
                <w:rStyle w:val="SpecialBold"/>
              </w:rPr>
              <w:t>6)</w:t>
            </w:r>
            <w:r w:rsidRPr="007E47A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E47AF" w:rsidP="007E47AF">
            <w:pPr>
              <w:pStyle w:val="BodyText"/>
            </w:pPr>
            <w:r w:rsidRPr="007E47AF">
              <w:t>Performance Criteria describe the required performance needed to demonstrate achievement of the element. Assessment of performance is to be consistent with the Evidence Guide.</w:t>
            </w:r>
          </w:p>
        </w:tc>
      </w:tr>
    </w:tbl>
    <w:p w:rsidR="00000000" w:rsidRPr="007E47AF" w:rsidP="007E47AF">
      <w:pPr>
        <w:pStyle w:val="BodyText"/>
      </w:pPr>
    </w:p>
    <w:p w:rsidR="00000000" w:rsidRPr="007E47AF" w:rsidP="007E47AF">
      <w:pPr>
        <w:pStyle w:val="AllowPageBreak"/>
      </w:pPr>
    </w:p>
    <w:p w:rsidR="00000000" w:rsidRPr="007E47AF" w:rsidP="007E47AF">
      <w:pPr>
        <w:pStyle w:val="Heading1"/>
      </w:pPr>
      <w:bookmarkStart w:id="8" w:name="O_490911"/>
      <w:bookmarkEnd w:id="8"/>
      <w:r w:rsidRPr="007E47AF">
        <w:t>Elements and Performance Criteria</w:t>
      </w:r>
    </w:p>
    <w:tbl>
      <w:tblPr>
        <w:tblW w:w="0" w:type="auto"/>
        <w:tblLayout w:type="fixed"/>
        <w:tblCellMar>
          <w:left w:w="62" w:type="dxa"/>
          <w:right w:w="62" w:type="dxa"/>
        </w:tblCellMar>
        <w:tblLook w:val="0000"/>
      </w:tblPr>
      <w:tblGrid>
        <w:gridCol w:w="342"/>
        <w:gridCol w:w="2358"/>
        <w:gridCol w:w="838"/>
        <w:gridCol w:w="4922"/>
      </w:tblGrid>
      <w:tr w:rsidTr="0007329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E47AF" w:rsidP="007E47AF">
            <w:pPr>
              <w:pStyle w:val="BodyText"/>
            </w:pPr>
            <w:r w:rsidRPr="007E47A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rPr>
                <w:rStyle w:val="SpecialBold"/>
              </w:rPr>
              <w:t>PERFORMANCE CRITER</w:t>
            </w:r>
            <w:r w:rsidRPr="007E47AF">
              <w:rPr>
                <w:rStyle w:val="SpecialBold"/>
              </w:rPr>
              <w:t>IA</w:t>
            </w:r>
          </w:p>
        </w:tc>
      </w:tr>
      <w:tr w:rsidTr="0007329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7E47AF" w:rsidP="007E47AF">
            <w:pPr>
              <w:pStyle w:val="BodyText"/>
            </w:pPr>
            <w:r w:rsidRPr="007E47AF">
              <w:t>1</w:t>
            </w:r>
          </w:p>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Plan and prepare for the work</w:t>
            </w:r>
          </w:p>
        </w:tc>
        <w:tc>
          <w:tcPr>
            <w:tcW w:w="838"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1.1</w:t>
            </w:r>
          </w:p>
        </w:tc>
        <w:tc>
          <w:tcPr>
            <w:tcW w:w="4922"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Work requirements are identified from request/work orders or equivalent and clarified/confirmed with appropriate parties or by site inspection</w:t>
            </w:r>
          </w:p>
        </w:tc>
      </w:tr>
      <w:tr w:rsidTr="0007329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1.2</w:t>
            </w:r>
          </w:p>
        </w:tc>
        <w:tc>
          <w:tcPr>
            <w:tcW w:w="4922"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 xml:space="preserve">Occupational Health and Safety standards, statutory requirements, relevant Australian standards, codes of practice, manufacturer specifications, environmental requirements and enterprise procedures are identified, applied and monitored throughout the work </w:t>
            </w:r>
            <w:r w:rsidRPr="007E47AF">
              <w:t>procedure.</w:t>
            </w:r>
          </w:p>
        </w:tc>
      </w:tr>
      <w:tr w:rsidTr="0007329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1.3</w:t>
            </w:r>
          </w:p>
        </w:tc>
        <w:tc>
          <w:tcPr>
            <w:tcW w:w="4922"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Resources required to satisfy the work plan are identified, obtained and inspected for compliance with the job specifications</w:t>
            </w:r>
          </w:p>
        </w:tc>
      </w:tr>
      <w:tr w:rsidTr="0007329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1.4</w:t>
            </w:r>
          </w:p>
        </w:tc>
        <w:tc>
          <w:tcPr>
            <w:tcW w:w="4922"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Relevant plans, drawings and texts are selected and interpreted in accordance with the work plan</w:t>
            </w:r>
          </w:p>
        </w:tc>
      </w:tr>
      <w:tr w:rsidTr="0007329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1.5</w:t>
            </w:r>
          </w:p>
        </w:tc>
        <w:tc>
          <w:tcPr>
            <w:tcW w:w="4922"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Work is planned in detail including sequencing and prioritising and considerations made, where appropriate, for the maintenance of plant security and capacity in accordance with system/site requirements</w:t>
            </w:r>
          </w:p>
        </w:tc>
      </w:tr>
      <w:tr w:rsidTr="0007329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1.6</w:t>
            </w:r>
          </w:p>
        </w:tc>
        <w:tc>
          <w:tcPr>
            <w:tcW w:w="4922"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 xml:space="preserve">Coordination requirements, including requests </w:t>
            </w:r>
            <w:r w:rsidRPr="007E47AF">
              <w:t>for isolations where appropriate, are resolved with others involved, affected or required by the work</w:t>
            </w:r>
          </w:p>
        </w:tc>
      </w:tr>
      <w:tr w:rsidTr="0007329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1.7</w:t>
            </w:r>
          </w:p>
        </w:tc>
        <w:tc>
          <w:tcPr>
            <w:tcW w:w="4922"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Work area is prepared in accordance with work requirements and site procedures</w:t>
            </w:r>
          </w:p>
        </w:tc>
      </w:tr>
      <w:tr w:rsidTr="0007329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1.8</w:t>
            </w:r>
          </w:p>
        </w:tc>
        <w:tc>
          <w:tcPr>
            <w:tcW w:w="4922"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 xml:space="preserve">Where appropriate, the teams and individuals roles and responsibilities within the team are identified and, where required, assist in the provision of on-the-job training </w:t>
            </w:r>
          </w:p>
        </w:tc>
      </w:tr>
      <w:tr w:rsidTr="0007329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2</w:t>
            </w:r>
          </w:p>
        </w:tc>
        <w:tc>
          <w:tcPr>
            <w:tcW w:w="2358"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Conduct maintenance on WTG electrical systems</w:t>
            </w:r>
          </w:p>
        </w:tc>
        <w:tc>
          <w:tcPr>
            <w:tcW w:w="838"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2.1</w:t>
            </w:r>
          </w:p>
        </w:tc>
        <w:tc>
          <w:tcPr>
            <w:tcW w:w="4922"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If required, equipment is repla</w:t>
            </w:r>
            <w:r w:rsidRPr="007E47AF">
              <w:t>ced due to faulty operation or maintenance plan requirements in accordance with manufacturer specifications and site procedures</w:t>
            </w:r>
          </w:p>
        </w:tc>
      </w:tr>
      <w:tr w:rsidTr="0007329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2.2</w:t>
            </w:r>
          </w:p>
        </w:tc>
        <w:tc>
          <w:tcPr>
            <w:tcW w:w="4922"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Documented service checklists (or similar documentation) are followed</w:t>
            </w:r>
          </w:p>
        </w:tc>
      </w:tr>
      <w:tr w:rsidTr="0007329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2.3</w:t>
            </w:r>
          </w:p>
        </w:tc>
        <w:tc>
          <w:tcPr>
            <w:tcW w:w="4922"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 xml:space="preserve">Diagnostic testing and data from monitoring </w:t>
            </w:r>
            <w:r w:rsidRPr="007E47AF">
              <w:t>systems is used to identify those components requiring maintenance</w:t>
            </w:r>
          </w:p>
        </w:tc>
      </w:tr>
      <w:tr w:rsidTr="0007329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2.4</w:t>
            </w:r>
          </w:p>
        </w:tc>
        <w:tc>
          <w:tcPr>
            <w:tcW w:w="4922"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If required equipment is dismantled for maintenance in accordance with manufacturer specifications and site procedures.</w:t>
            </w:r>
          </w:p>
        </w:tc>
      </w:tr>
      <w:tr w:rsidTr="0007329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2.5</w:t>
            </w:r>
          </w:p>
        </w:tc>
        <w:tc>
          <w:tcPr>
            <w:tcW w:w="4922"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Techniques are used to enable identification and/or re-assembly in accordance with job requirements and site procedures.</w:t>
            </w:r>
          </w:p>
        </w:tc>
      </w:tr>
      <w:tr w:rsidTr="0007329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2.6</w:t>
            </w:r>
          </w:p>
        </w:tc>
        <w:tc>
          <w:tcPr>
            <w:tcW w:w="4922"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If required, new components are obtained and inspected for compliance with manufacturer specifications.</w:t>
            </w:r>
          </w:p>
        </w:tc>
      </w:tr>
      <w:tr w:rsidTr="0007329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2.7</w:t>
            </w:r>
          </w:p>
        </w:tc>
        <w:tc>
          <w:tcPr>
            <w:tcW w:w="4922"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Equipment is test</w:t>
            </w:r>
            <w:r w:rsidRPr="007E47AF">
              <w:t>ed, monitored and adjusted as required in accordance with manufacturer specifications and site/enterprise requirements.</w:t>
            </w:r>
          </w:p>
        </w:tc>
      </w:tr>
      <w:tr w:rsidTr="0007329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3</w:t>
            </w:r>
          </w:p>
        </w:tc>
        <w:tc>
          <w:tcPr>
            <w:tcW w:w="2358"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Complete the work</w:t>
            </w:r>
          </w:p>
        </w:tc>
        <w:tc>
          <w:tcPr>
            <w:tcW w:w="838"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3.1</w:t>
            </w:r>
          </w:p>
        </w:tc>
        <w:tc>
          <w:tcPr>
            <w:tcW w:w="4922"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Work is completed and appropriate personnel notified in accordance with site/enterprise requirements</w:t>
            </w:r>
          </w:p>
        </w:tc>
      </w:tr>
      <w:tr w:rsidTr="0007329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3.2</w:t>
            </w:r>
          </w:p>
        </w:tc>
        <w:tc>
          <w:tcPr>
            <w:tcW w:w="4922"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Work area is cleared of waste, cleaned, restored and secured in accordance with site/enterprise procedures</w:t>
            </w:r>
          </w:p>
        </w:tc>
      </w:tr>
      <w:tr w:rsidTr="0007329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3.3</w:t>
            </w:r>
          </w:p>
        </w:tc>
        <w:tc>
          <w:tcPr>
            <w:tcW w:w="4922"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Plant, tools and equipment are maintained and stored in accordance with site/enterprise procedures</w:t>
            </w:r>
          </w:p>
        </w:tc>
      </w:tr>
      <w:tr w:rsidTr="0007329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3.4</w:t>
            </w:r>
          </w:p>
        </w:tc>
        <w:tc>
          <w:tcPr>
            <w:tcW w:w="4922"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Work completion details are finalise</w:t>
            </w:r>
            <w:r w:rsidRPr="007E47AF">
              <w:t>d in accordance with site/enterprise procedures</w:t>
            </w:r>
          </w:p>
        </w:tc>
      </w:tr>
      <w:tr w:rsidTr="00073296">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3.5</w:t>
            </w:r>
          </w:p>
        </w:tc>
        <w:tc>
          <w:tcPr>
            <w:tcW w:w="4922" w:type="dxa"/>
            <w:tcBorders>
              <w:top w:val="nil"/>
              <w:left w:val="nil"/>
              <w:bottom w:val="nil"/>
              <w:right w:val="nil"/>
            </w:tcBorders>
            <w:tcMar>
              <w:top w:w="0" w:type="dxa"/>
              <w:left w:w="62" w:type="dxa"/>
              <w:bottom w:w="0" w:type="dxa"/>
              <w:right w:w="62" w:type="dxa"/>
            </w:tcMar>
          </w:tcPr>
          <w:p w:rsidR="00000000" w:rsidRPr="007E47AF" w:rsidP="007E47AF">
            <w:pPr>
              <w:pStyle w:val="BodyText"/>
            </w:pPr>
            <w:r w:rsidRPr="007E47AF">
              <w:t>Lessons learnt from the activity or experience are shared with other team members and recorded for future reference.</w:t>
            </w:r>
          </w:p>
        </w:tc>
      </w:tr>
    </w:tbl>
    <w:p w:rsidR="00000000" w:rsidRPr="007E47AF" w:rsidP="007E47AF">
      <w:pPr>
        <w:pStyle w:val="BodyText"/>
      </w:pPr>
    </w:p>
    <w:p w:rsidR="00000000" w:rsidRPr="007E47AF" w:rsidP="007E47AF">
      <w:pPr>
        <w:pStyle w:val="AllowPageBreak"/>
      </w:pPr>
    </w:p>
    <w:p w:rsidR="00000000" w:rsidRPr="007E47AF" w:rsidP="007E47AF">
      <w:pPr>
        <w:pStyle w:val="Heading1"/>
      </w:pPr>
      <w:bookmarkStart w:id="9" w:name="O_490919"/>
      <w:bookmarkEnd w:id="9"/>
      <w:r w:rsidRPr="007E47AF">
        <w:t>Required Skills and Knowledge</w:t>
      </w:r>
    </w:p>
    <w:tbl>
      <w:tblPr>
        <w:tblW w:w="0" w:type="auto"/>
        <w:tblLayout w:type="fixed"/>
        <w:tblCellMar>
          <w:left w:w="62" w:type="dxa"/>
          <w:right w:w="62" w:type="dxa"/>
        </w:tblCellMar>
        <w:tblLook w:val="0000"/>
      </w:tblPr>
      <w:tblGrid>
        <w:gridCol w:w="1710"/>
        <w:gridCol w:w="6750"/>
      </w:tblGrid>
      <w:tr w:rsidTr="0007329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rPr>
                <w:rStyle w:val="SpecialBold"/>
              </w:rPr>
              <w:t>REQUIRED SKILLS AND KNOWLEDGE</w:t>
            </w:r>
          </w:p>
        </w:tc>
      </w:tr>
      <w:tr w:rsidTr="00073296">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7E47AF" w:rsidP="007E47AF">
            <w:pPr>
              <w:pStyle w:val="BodyText"/>
            </w:pPr>
            <w:r w:rsidRPr="007E47AF">
              <w:rPr>
                <w:rStyle w:val="SpecialBold"/>
              </w:rPr>
              <w:t>8)</w:t>
            </w:r>
            <w:r w:rsidRPr="007E47AF">
              <w:t xml:space="preserve"> This describes the essential skills and knowledge and their level, required for this unit.</w:t>
            </w:r>
          </w:p>
          <w:p w:rsidR="00000000" w:rsidP="007E47AF">
            <w:pPr>
              <w:pStyle w:val="BodyText"/>
              <w:rPr>
                <w:lang w:val="en-NZ"/>
              </w:rPr>
            </w:pPr>
            <w:r w:rsidRPr="007E47AF">
              <w:t>All knowledge and skills detailed in this unit should be contextualised to current industry practices and technologies.</w:t>
            </w:r>
          </w:p>
        </w:tc>
      </w:tr>
      <w:tr w:rsidTr="00073296">
        <w:tblPrEx>
          <w:tblW w:w="0" w:type="auto"/>
          <w:tblLayout w:type="fixed"/>
          <w:tblCellMar>
            <w:left w:w="62" w:type="dxa"/>
            <w:right w:w="62" w:type="dxa"/>
          </w:tblCellMar>
          <w:tblLook w:val="0000"/>
        </w:tblPrEx>
        <w:trPr>
          <w:trHeight w:val="226"/>
        </w:trPr>
        <w:tc>
          <w:tcPr>
            <w:tcW w:w="1710"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KS01-PM442A</w:t>
            </w:r>
          </w:p>
        </w:tc>
        <w:tc>
          <w:tcPr>
            <w:tcW w:w="6750"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Maintain wind turbine generato</w:t>
            </w:r>
            <w:r w:rsidRPr="007E47AF">
              <w:t>r electrical systems</w:t>
            </w:r>
          </w:p>
        </w:tc>
      </w:tr>
      <w:tr w:rsidTr="00073296">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Evidence shall show that knowledge has been acquired of maintaining wind turbine generator electrical systems to the extent indicated by the following aspects:</w:t>
            </w:r>
          </w:p>
        </w:tc>
      </w:tr>
      <w:tr w:rsidTr="0007329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E47AF" w:rsidP="007E47AF">
            <w:pPr>
              <w:pStyle w:val="BodyText"/>
            </w:pPr>
            <w:r w:rsidRPr="007E47AF">
              <w:t>T1.</w:t>
            </w:r>
            <w:r w:rsidRPr="007E47AF">
              <w:tab/>
              <w:t>Slip ring maintenance</w:t>
            </w:r>
          </w:p>
          <w:p w:rsidR="00000000" w:rsidRPr="007E47AF" w:rsidP="007E47AF">
            <w:pPr>
              <w:pStyle w:val="ListBullet2"/>
            </w:pPr>
            <w:r w:rsidRPr="007E47AF">
              <w:t>AC slip rings</w:t>
            </w:r>
          </w:p>
          <w:p w:rsidR="00000000" w:rsidRPr="007E47AF" w:rsidP="007E47AF">
            <w:pPr>
              <w:pStyle w:val="ListBullet2"/>
            </w:pPr>
            <w:r w:rsidRPr="007E47AF">
              <w:t>DC slip rings</w:t>
            </w:r>
          </w:p>
          <w:p w:rsidR="00000000" w:rsidRPr="007E47AF" w:rsidP="007E47AF">
            <w:pPr>
              <w:pStyle w:val="BodyText"/>
            </w:pPr>
            <w:r w:rsidRPr="007E47AF">
              <w:t>T2.</w:t>
            </w:r>
            <w:r w:rsidRPr="007E47AF">
              <w:tab/>
            </w:r>
            <w:r w:rsidRPr="007E47AF">
              <w:t>LV DC systems used in WTGs</w:t>
            </w:r>
          </w:p>
          <w:p w:rsidR="00000000" w:rsidRPr="007E47AF" w:rsidP="007E47AF">
            <w:pPr>
              <w:pStyle w:val="ListBullet2"/>
            </w:pPr>
            <w:r w:rsidRPr="007E47AF">
              <w:t>Isolation</w:t>
            </w:r>
          </w:p>
          <w:p w:rsidR="00000000" w:rsidRPr="007E47AF" w:rsidP="007E47AF">
            <w:pPr>
              <w:pStyle w:val="ListBullet2"/>
            </w:pPr>
            <w:r w:rsidRPr="007E47AF">
              <w:t>DC battery banks</w:t>
            </w:r>
          </w:p>
          <w:p w:rsidR="00000000" w:rsidRPr="007E47AF" w:rsidP="007E47AF">
            <w:pPr>
              <w:pStyle w:val="ListBullet3"/>
            </w:pPr>
            <w:r w:rsidRPr="007E47AF">
              <w:t>Types of rechargeable batteries</w:t>
            </w:r>
          </w:p>
          <w:p w:rsidR="00000000" w:rsidRPr="007E47AF" w:rsidP="007E47AF">
            <w:pPr>
              <w:pStyle w:val="ListBullet3"/>
            </w:pPr>
            <w:r w:rsidRPr="007E47AF">
              <w:t>Battery chargers</w:t>
            </w:r>
          </w:p>
          <w:p w:rsidR="00000000" w:rsidRPr="007E47AF" w:rsidP="007E47AF">
            <w:pPr>
              <w:pStyle w:val="ListBullet3"/>
            </w:pPr>
            <w:r w:rsidRPr="007E47AF">
              <w:t>Safety around standby power supply systems</w:t>
            </w:r>
          </w:p>
          <w:p w:rsidR="00000000" w:rsidRPr="007E47AF" w:rsidP="007E47AF">
            <w:pPr>
              <w:pStyle w:val="ListBullet3"/>
            </w:pPr>
            <w:r w:rsidRPr="007E47AF">
              <w:t>Battery testing</w:t>
            </w:r>
          </w:p>
          <w:p w:rsidR="00000000" w:rsidRPr="007E47AF" w:rsidP="007E47AF">
            <w:pPr>
              <w:pStyle w:val="ListBullet3"/>
            </w:pPr>
            <w:r w:rsidRPr="007E47AF">
              <w:t>Replacement of batteries</w:t>
            </w:r>
          </w:p>
          <w:p w:rsidR="00000000" w:rsidRPr="007E47AF" w:rsidP="007E47AF">
            <w:pPr>
              <w:pStyle w:val="BodyText"/>
            </w:pPr>
            <w:r w:rsidRPr="007E47AF">
              <w:t>T3.</w:t>
            </w:r>
            <w:r w:rsidRPr="007E47AF">
              <w:tab/>
              <w:t>Techniques for recognising wiring failure or potential failure</w:t>
            </w:r>
          </w:p>
          <w:p w:rsidR="00000000" w:rsidRPr="007E47AF" w:rsidP="007E47AF">
            <w:pPr>
              <w:pStyle w:val="BodyText"/>
            </w:pPr>
            <w:r w:rsidRPr="007E47AF">
              <w:t>T4.</w:t>
            </w:r>
            <w:r w:rsidRPr="007E47AF">
              <w:tab/>
              <w:t>Using multimeters for typical measurements in the WTG</w:t>
            </w:r>
          </w:p>
          <w:p w:rsidR="00000000" w:rsidRPr="007E47AF" w:rsidP="007E47AF">
            <w:pPr>
              <w:pStyle w:val="BodyText"/>
            </w:pPr>
            <w:r w:rsidRPr="007E47AF">
              <w:t>T5.</w:t>
            </w:r>
            <w:r w:rsidRPr="007E47AF">
              <w:tab/>
              <w:t>Overview of electrical generation in WTG</w:t>
            </w:r>
          </w:p>
          <w:p w:rsidR="00000000" w:rsidRPr="007E47AF" w:rsidP="007E47AF">
            <w:pPr>
              <w:pStyle w:val="ListBullet2"/>
            </w:pPr>
            <w:r w:rsidRPr="007E47AF">
              <w:t>DC/AC and AC/DC conversion technologies</w:t>
            </w:r>
          </w:p>
          <w:p w:rsidR="00000000" w:rsidRPr="007E47AF" w:rsidP="007E47AF">
            <w:pPr>
              <w:pStyle w:val="ListBullet2"/>
            </w:pPr>
            <w:r w:rsidRPr="007E47AF">
              <w:t>Power factor correction techniques</w:t>
            </w:r>
          </w:p>
          <w:p w:rsidR="00000000" w:rsidRPr="007E47AF" w:rsidP="007E47AF">
            <w:pPr>
              <w:pStyle w:val="ListBullet2"/>
            </w:pPr>
            <w:r w:rsidRPr="007E47AF">
              <w:t>Power factor correction capacitors</w:t>
            </w:r>
          </w:p>
          <w:p w:rsidR="00000000" w:rsidRPr="007E47AF" w:rsidP="007E47AF">
            <w:pPr>
              <w:pStyle w:val="ListBullet3"/>
            </w:pPr>
            <w:r w:rsidRPr="007E47AF">
              <w:t>Recognising signs of imminent failure</w:t>
            </w:r>
          </w:p>
          <w:p w:rsidR="00000000" w:rsidRPr="007E47AF" w:rsidP="007E47AF">
            <w:pPr>
              <w:pStyle w:val="ListBullet3"/>
            </w:pPr>
            <w:r w:rsidRPr="007E47AF">
              <w:t xml:space="preserve">Capacitor safety </w:t>
            </w:r>
          </w:p>
          <w:p w:rsidR="00000000" w:rsidRPr="007E47AF" w:rsidP="007E47AF">
            <w:pPr>
              <w:pStyle w:val="ListBullet2"/>
            </w:pPr>
            <w:r w:rsidRPr="007E47AF">
              <w:t>Resistor box</w:t>
            </w:r>
          </w:p>
          <w:p w:rsidR="00000000" w:rsidRPr="007E47AF" w:rsidP="007E47AF">
            <w:pPr>
              <w:pStyle w:val="BodyText"/>
            </w:pPr>
            <w:r w:rsidRPr="007E47AF">
              <w:t>T6.</w:t>
            </w:r>
            <w:r w:rsidRPr="007E47AF">
              <w:tab/>
              <w:t>Power transformer principles</w:t>
            </w:r>
          </w:p>
          <w:p w:rsidR="00000000" w:rsidRPr="007E47AF" w:rsidP="007E47AF">
            <w:pPr>
              <w:pStyle w:val="ListBullet2"/>
            </w:pPr>
            <w:r w:rsidRPr="007E47AF">
              <w:t>Oil sampling</w:t>
            </w:r>
          </w:p>
          <w:p w:rsidR="00000000" w:rsidRPr="007E47AF" w:rsidP="007E47AF">
            <w:pPr>
              <w:pStyle w:val="ListBullet2"/>
            </w:pPr>
            <w:r w:rsidRPr="007E47AF">
              <w:t>Breathers</w:t>
            </w:r>
          </w:p>
          <w:p w:rsidR="00000000" w:rsidRPr="007E47AF" w:rsidP="007E47AF">
            <w:pPr>
              <w:pStyle w:val="BodyText"/>
            </w:pPr>
            <w:r w:rsidRPr="007E47AF">
              <w:t>T7.</w:t>
            </w:r>
            <w:r w:rsidRPr="007E47AF">
              <w:tab/>
              <w:t>Ring mains units (RMUs)</w:t>
            </w:r>
          </w:p>
          <w:p w:rsidR="00000000" w:rsidRPr="007E47AF" w:rsidP="007E47AF">
            <w:pPr>
              <w:pStyle w:val="BodyText"/>
            </w:pPr>
          </w:p>
        </w:tc>
      </w:tr>
    </w:tbl>
    <w:p w:rsidR="00000000" w:rsidRPr="007E47AF" w:rsidP="007E47AF">
      <w:pPr>
        <w:pStyle w:val="BodyText"/>
      </w:pPr>
    </w:p>
    <w:p w:rsidR="00000000" w:rsidRPr="007E47AF" w:rsidP="007E47AF">
      <w:pPr>
        <w:pStyle w:val="AllowPageBreak"/>
      </w:pPr>
    </w:p>
    <w:p w:rsidR="00000000" w:rsidRPr="007E47AF" w:rsidP="007E47AF">
      <w:pPr>
        <w:pStyle w:val="Heading1"/>
      </w:pPr>
      <w:bookmarkStart w:id="10" w:name="O_490914"/>
      <w:bookmarkEnd w:id="10"/>
      <w:r w:rsidRPr="007E47AF">
        <w:t>Evidence Guide</w:t>
      </w:r>
    </w:p>
    <w:tbl>
      <w:tblPr>
        <w:tblW w:w="0" w:type="auto"/>
        <w:tblLayout w:type="fixed"/>
        <w:tblCellMar>
          <w:left w:w="62" w:type="dxa"/>
          <w:right w:w="62" w:type="dxa"/>
        </w:tblCellMar>
        <w:tblLook w:val="0000"/>
      </w:tblPr>
      <w:tblGrid>
        <w:gridCol w:w="8460"/>
      </w:tblGrid>
      <w:tr w:rsidTr="0007329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rPr>
                <w:rStyle w:val="SpecialBold"/>
              </w:rPr>
              <w:t>EVIDENCE GUIDE</w:t>
            </w:r>
          </w:p>
        </w:tc>
      </w:tr>
      <w:tr w:rsidTr="0007329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E47AF" w:rsidP="007E47AF">
            <w:pPr>
              <w:pStyle w:val="BodyText"/>
            </w:pPr>
            <w:r w:rsidRPr="007E47AF">
              <w:rPr>
                <w:rStyle w:val="SpecialBold"/>
              </w:rPr>
              <w:t>9)</w:t>
            </w:r>
            <w:r w:rsidRPr="007E47AF">
              <w:t xml:space="preserve"> The Evidence Guide forms an integral part of this Unit and shall be used in conjunction with all components parts of this unit and performed in accordance with the Assessment Guidelines of this Training Package.</w:t>
            </w:r>
          </w:p>
        </w:tc>
      </w:tr>
    </w:tbl>
    <w:p w:rsidR="00000000" w:rsidRPr="007E47AF" w:rsidP="007E47AF">
      <w:pPr>
        <w:pStyle w:val="BodyText"/>
      </w:pPr>
    </w:p>
    <w:tbl>
      <w:tblPr>
        <w:tblW w:w="0" w:type="auto"/>
        <w:tblLayout w:type="fixed"/>
        <w:tblCellMar>
          <w:left w:w="62" w:type="dxa"/>
          <w:right w:w="62" w:type="dxa"/>
        </w:tblCellMar>
        <w:tblLook w:val="0000"/>
      </w:tblPr>
      <w:tblGrid>
        <w:gridCol w:w="1890"/>
        <w:gridCol w:w="6570"/>
      </w:tblGrid>
      <w:tr w:rsidTr="0007329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E47AF" w:rsidP="007E47AF">
            <w:pPr>
              <w:pStyle w:val="BodyText"/>
            </w:pPr>
            <w:r w:rsidRPr="007E47A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rPr>
                <w:rStyle w:val="SpecialBold"/>
              </w:rPr>
              <w:t>9.1)</w:t>
            </w:r>
          </w:p>
        </w:tc>
      </w:tr>
      <w:tr w:rsidTr="0007329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E47AF" w:rsidP="007E47AF">
            <w:pPr>
              <w:pStyle w:val="BodyText"/>
            </w:pPr>
            <w:r w:rsidRPr="007E47AF">
              <w:t>Longitudinal competency development approaches to assessment, such as Profiling, require data to be reliably gathered in a form that can be consistently interpreted over time. This approach is best utilised in Apprenticeship programs and reduces assessment</w:t>
            </w:r>
            <w:r w:rsidRPr="007E47AF">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7E47AF">
              <w:t>ncy in a realistically simulated work environment. It is recognised that, in some circumstances, assessment in part or full can occur outside the workplace. However, it must be in accordance with industry and regulatory policy.</w:t>
            </w:r>
          </w:p>
          <w:p w:rsidR="00000000" w:rsidRPr="007E47AF" w:rsidP="007E47AF">
            <w:pPr>
              <w:pStyle w:val="BodyText"/>
            </w:pPr>
            <w:r w:rsidRPr="007E47AF">
              <w:t>Methods chosen for a particu</w:t>
            </w:r>
            <w:r w:rsidRPr="007E47AF">
              <w:t>lar assessment will be influenced by various factors. These include the extent of the assessment, the most effective locations for the assessment activities to take place, access to physical resources, additional safety measures that may be required and th</w:t>
            </w:r>
            <w:r w:rsidRPr="007E47AF">
              <w:t>e critical nature of the competencies being assessed.</w:t>
            </w:r>
          </w:p>
          <w:p w:rsidR="00000000" w:rsidRPr="007E47AF" w:rsidP="007E47AF">
            <w:pPr>
              <w:pStyle w:val="BodyText"/>
            </w:pPr>
            <w:r w:rsidRPr="007E47AF">
              <w:t>The critical safety nature of working with electricity, electrical equipment, gas or any other hazardous substance/material carries risk in deeming a person competent. Sources of evidence need to be ‘ri</w:t>
            </w:r>
            <w:r w:rsidRPr="007E47AF">
              <w:t>ch’ in nature to minimise error in judgment.</w:t>
            </w:r>
          </w:p>
          <w:p w:rsidR="00000000" w:rsidRPr="007E47AF" w:rsidP="007E47AF">
            <w:pPr>
              <w:pStyle w:val="BodyText"/>
            </w:pPr>
            <w:r w:rsidRPr="007E47AF">
              <w:t>Activities associated with normal everyday work have a bearing on the decision as to how much and how detailed the data gathered will contribute to its ‘richness’. Some skills are more critical to safety and ope</w:t>
            </w:r>
            <w:r w:rsidRPr="007E47AF">
              <w:t>rational requirements while the same skills may be more or less frequently practised. These points are raised for the assessors to consider when choosing an assessment method and developing assessment instruments. Sample assessment instruments are included</w:t>
            </w:r>
            <w:r w:rsidRPr="007E47AF">
              <w:t xml:space="preserve"> for Assessors in the Assessment Guidelines, Section 3.1 of this Training Package.</w:t>
            </w:r>
          </w:p>
        </w:tc>
      </w:tr>
    </w:tbl>
    <w:p w:rsidR="00000000" w:rsidRPr="007E47AF" w:rsidP="007E47AF">
      <w:pPr>
        <w:pStyle w:val="BodyText"/>
      </w:pPr>
    </w:p>
    <w:tbl>
      <w:tblPr>
        <w:tblW w:w="0" w:type="auto"/>
        <w:tblLayout w:type="fixed"/>
        <w:tblCellMar>
          <w:left w:w="62" w:type="dxa"/>
          <w:right w:w="62" w:type="dxa"/>
        </w:tblCellMar>
        <w:tblLook w:val="0000"/>
      </w:tblPr>
      <w:tblGrid>
        <w:gridCol w:w="1890"/>
        <w:gridCol w:w="360"/>
        <w:gridCol w:w="1710"/>
        <w:gridCol w:w="4500"/>
      </w:tblGrid>
      <w:tr w:rsidTr="0007329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E47AF" w:rsidP="007E47AF">
            <w:pPr>
              <w:pStyle w:val="BodyText"/>
            </w:pPr>
            <w:r w:rsidRPr="007E47AF">
              <w:rPr>
                <w:rStyle w:val="SpecialBold"/>
              </w:rPr>
              <w:t>Critical aspects of evidence required to demonstrate competency in this unit</w:t>
            </w:r>
          </w:p>
        </w:tc>
        <w:tc>
          <w:tcPr>
            <w:tcW w:w="6570" w:type="dxa"/>
            <w:gridSpan w:val="3"/>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rPr>
                <w:rStyle w:val="SpecialBold"/>
              </w:rPr>
              <w:t>9.2)</w:t>
            </w:r>
          </w:p>
        </w:tc>
      </w:tr>
      <w:tr w:rsidTr="0007329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7E47AF" w:rsidP="007E47AF">
            <w:pPr>
              <w:pStyle w:val="BodyText"/>
            </w:pPr>
            <w:r w:rsidRPr="007E47AF">
              <w:t>Evidence for competence in this unit shall be considered holistically. Each element a</w:t>
            </w:r>
            <w:r w:rsidRPr="007E47AF">
              <w:t>nd associated Performance Criteria shall be demonstrated:</w:t>
            </w:r>
          </w:p>
          <w:p w:rsidR="00000000" w:rsidRPr="007E47AF" w:rsidP="007E47AF">
            <w:pPr>
              <w:pStyle w:val="ListBullet2"/>
            </w:pPr>
            <w:r w:rsidRPr="007E47AF">
              <w:t>On at least two (2) occasions, In accordance with the "Assessment Guidelines” for the UEP12 Training Package.</w:t>
            </w:r>
          </w:p>
          <w:p w:rsidR="00000000" w:rsidRPr="007E47AF" w:rsidP="007E47AF">
            <w:pPr>
              <w:pStyle w:val="BodyText"/>
            </w:pPr>
            <w:r w:rsidRPr="007E47AF">
              <w:t>Evidence shall also comprise:</w:t>
            </w:r>
          </w:p>
          <w:p w:rsidR="00000000" w:rsidRPr="007E47AF" w:rsidP="007E47AF">
            <w:pPr>
              <w:pStyle w:val="ListBullet"/>
            </w:pPr>
            <w:r w:rsidRPr="007E47AF">
              <w:t>A representative body of work performance demonstrated within the timeframe typically expected of the discipline, work function and industrial environment. In particular this shall incorporate evidence that shows a candidate is able to:</w:t>
            </w:r>
          </w:p>
          <w:p w:rsidR="00000000" w:rsidRPr="007E47AF" w:rsidP="007E47AF">
            <w:pPr>
              <w:pStyle w:val="ListBullet2"/>
            </w:pPr>
            <w:r w:rsidRPr="007E47AF">
              <w:t>Implement Occupati</w:t>
            </w:r>
            <w:r w:rsidRPr="007E47AF">
              <w:t>onal Health and Safety workplace procedures and practices including the use of risk control measures as specified in the Performance Criteria and range; and</w:t>
            </w:r>
          </w:p>
          <w:p w:rsidR="00000000" w:rsidRPr="007E47AF" w:rsidP="007E47AF">
            <w:pPr>
              <w:pStyle w:val="ListBullet2"/>
            </w:pPr>
            <w:r w:rsidRPr="007E47AF">
              <w:t>Apply sustainable energy principles and practices as specified in the Performance Criteria and rang</w:t>
            </w:r>
            <w:r w:rsidRPr="007E47AF">
              <w:t>e; and</w:t>
            </w:r>
          </w:p>
          <w:p w:rsidR="00000000" w:rsidRPr="007E47AF" w:rsidP="007E47AF">
            <w:pPr>
              <w:pStyle w:val="ListBullet2"/>
            </w:pPr>
            <w:r w:rsidRPr="007E47AF">
              <w:t>Demonstrate an understanding of the required skills and knowledge as described in this unit to such an extent that the learner's performance outcome is reported in accordance with the preferred approach; namely a percentile graded result, where requ</w:t>
            </w:r>
            <w:r w:rsidRPr="007E47AF">
              <w:t>ired by the regulated environment; and</w:t>
            </w:r>
          </w:p>
          <w:p w:rsidR="00000000" w:rsidRPr="007E47AF" w:rsidP="007E47AF">
            <w:pPr>
              <w:pStyle w:val="ListBullet2"/>
            </w:pPr>
            <w:r w:rsidRPr="007E47AF">
              <w:t>Demonstrate an appropriate level of employability skills; and</w:t>
            </w:r>
          </w:p>
          <w:p w:rsidR="00000000" w:rsidRPr="007E47AF" w:rsidP="007E47AF">
            <w:pPr>
              <w:pStyle w:val="ListBullet2"/>
            </w:pPr>
            <w:r w:rsidRPr="007E47AF">
              <w:t>Conduct work observing the relevant Anti Discrimination legislation, regulations, policies and workplace procedures;  and</w:t>
            </w:r>
          </w:p>
          <w:p w:rsidR="00000000" w:rsidP="007E47AF">
            <w:pPr>
              <w:pStyle w:val="BodyText"/>
              <w:rPr>
                <w:lang w:val="en-NZ"/>
              </w:rPr>
            </w:pPr>
            <w:r w:rsidRPr="007E47AF">
              <w:t>Demonstrated performance across a</w:t>
            </w:r>
            <w:r w:rsidRPr="007E47AF">
              <w:t xml:space="preserve"> representative range of contexts from the prescribed items below:</w:t>
            </w:r>
          </w:p>
        </w:tc>
      </w:tr>
      <w:tr w:rsidTr="00073296">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A</w:t>
            </w:r>
          </w:p>
        </w:tc>
        <w:tc>
          <w:tcPr>
            <w:tcW w:w="1710"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All of the following</w:t>
            </w:r>
          </w:p>
        </w:tc>
        <w:tc>
          <w:tcPr>
            <w:tcW w:w="4500" w:type="dxa"/>
            <w:tcBorders>
              <w:top w:val="nil"/>
              <w:left w:val="nil"/>
              <w:bottom w:val="nil"/>
              <w:right w:val="nil"/>
            </w:tcBorders>
            <w:tcMar>
              <w:top w:w="0" w:type="dxa"/>
              <w:left w:w="62" w:type="dxa"/>
              <w:bottom w:w="0" w:type="dxa"/>
              <w:right w:w="62" w:type="dxa"/>
            </w:tcMar>
          </w:tcPr>
          <w:p w:rsidR="00000000" w:rsidRPr="007E47AF" w:rsidP="007E47AF">
            <w:pPr>
              <w:pStyle w:val="ListBullet"/>
            </w:pPr>
            <w:r w:rsidRPr="007E47AF">
              <w:t xml:space="preserve">Measure electrical output of generator (voltage and current) using remote monitoring equipment </w:t>
            </w:r>
          </w:p>
          <w:p w:rsidR="00000000" w:rsidP="007E47AF">
            <w:pPr>
              <w:pStyle w:val="ListBullet"/>
              <w:rPr>
                <w:lang w:val="en-NZ"/>
              </w:rPr>
            </w:pPr>
            <w:r w:rsidRPr="007E47AF">
              <w:t>Use a multimeter to measure ELV and LV voltages</w:t>
            </w:r>
          </w:p>
        </w:tc>
      </w:tr>
      <w:tr w:rsidTr="0007329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B</w:t>
            </w:r>
          </w:p>
        </w:tc>
        <w:tc>
          <w:tcPr>
            <w:tcW w:w="1710"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All of the following</w:t>
            </w:r>
          </w:p>
        </w:tc>
        <w:tc>
          <w:tcPr>
            <w:tcW w:w="4500" w:type="dxa"/>
            <w:tcBorders>
              <w:top w:val="nil"/>
              <w:left w:val="nil"/>
              <w:bottom w:val="nil"/>
              <w:right w:val="nil"/>
            </w:tcBorders>
            <w:tcMar>
              <w:top w:w="0" w:type="dxa"/>
              <w:left w:w="62" w:type="dxa"/>
              <w:bottom w:w="0" w:type="dxa"/>
              <w:right w:w="62" w:type="dxa"/>
            </w:tcMar>
          </w:tcPr>
          <w:p w:rsidR="00000000" w:rsidRPr="007E47AF" w:rsidP="007E47AF">
            <w:pPr>
              <w:pStyle w:val="ListBullet"/>
            </w:pPr>
            <w:r w:rsidRPr="007E47AF">
              <w:t>Measure specific gravity of battery electrolytes</w:t>
            </w:r>
          </w:p>
          <w:p w:rsidR="00000000" w:rsidRPr="007E47AF" w:rsidP="007E47AF">
            <w:pPr>
              <w:pStyle w:val="ListBullet"/>
            </w:pPr>
            <w:r w:rsidRPr="007E47AF">
              <w:t>Top-up the electrolyte of wet-cell batteries</w:t>
            </w:r>
          </w:p>
          <w:p w:rsidR="00000000" w:rsidRPr="007E47AF" w:rsidP="007E47AF">
            <w:pPr>
              <w:pStyle w:val="ListBullet"/>
            </w:pPr>
            <w:r w:rsidRPr="007E47AF">
              <w:t>Measure battery cell voltages</w:t>
            </w:r>
          </w:p>
          <w:p w:rsidR="00000000" w:rsidRPr="007E47AF" w:rsidP="007E47AF">
            <w:pPr>
              <w:pStyle w:val="ListBullet"/>
            </w:pPr>
            <w:r w:rsidRPr="007E47AF">
              <w:t>Measure battery charger and battery bank outputs</w:t>
            </w:r>
          </w:p>
          <w:p w:rsidR="00000000" w:rsidRPr="007E47AF" w:rsidP="007E47AF">
            <w:pPr>
              <w:pStyle w:val="ListBullet"/>
            </w:pPr>
            <w:r w:rsidRPr="007E47AF">
              <w:t>Inspect battery cell terminations and remove corrosion</w:t>
            </w:r>
          </w:p>
          <w:p w:rsidR="00000000" w:rsidP="007E47AF">
            <w:pPr>
              <w:pStyle w:val="ListBullet"/>
              <w:rPr>
                <w:lang w:val="en-NZ"/>
              </w:rPr>
            </w:pPr>
            <w:r w:rsidRPr="007E47AF">
              <w:t>Confir</w:t>
            </w:r>
            <w:r w:rsidRPr="007E47AF">
              <w:t>m correct operation of Uninterruptible Power Supplies (UPS)</w:t>
            </w:r>
          </w:p>
        </w:tc>
      </w:tr>
      <w:tr w:rsidTr="0007329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C</w:t>
            </w:r>
          </w:p>
        </w:tc>
        <w:tc>
          <w:tcPr>
            <w:tcW w:w="1710"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All of the following</w:t>
            </w:r>
          </w:p>
        </w:tc>
        <w:tc>
          <w:tcPr>
            <w:tcW w:w="4500" w:type="dxa"/>
            <w:tcBorders>
              <w:top w:val="nil"/>
              <w:left w:val="nil"/>
              <w:bottom w:val="nil"/>
              <w:right w:val="nil"/>
            </w:tcBorders>
            <w:tcMar>
              <w:top w:w="0" w:type="dxa"/>
              <w:left w:w="62" w:type="dxa"/>
              <w:bottom w:w="0" w:type="dxa"/>
              <w:right w:w="62" w:type="dxa"/>
            </w:tcMar>
          </w:tcPr>
          <w:p w:rsidR="00000000" w:rsidRPr="007E47AF" w:rsidP="007E47AF">
            <w:pPr>
              <w:pStyle w:val="ListBullet"/>
            </w:pPr>
            <w:r w:rsidRPr="007E47AF">
              <w:t>Inspect and record the status of power factor correction capacitors, ELV and LV wiring, resistor box, and circuit breakers/fuses</w:t>
            </w:r>
          </w:p>
          <w:p w:rsidR="00000000" w:rsidP="007E47AF">
            <w:pPr>
              <w:pStyle w:val="ListBullet"/>
              <w:rPr>
                <w:lang w:val="en-NZ"/>
              </w:rPr>
            </w:pPr>
            <w:r w:rsidRPr="007E47AF">
              <w:t>Inspect slip rings for signs of damage an</w:t>
            </w:r>
            <w:r w:rsidRPr="007E47AF">
              <w:t>d wear and report using enterprise procedures</w:t>
            </w:r>
          </w:p>
        </w:tc>
      </w:tr>
      <w:tr w:rsidTr="0007329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D</w:t>
            </w:r>
          </w:p>
        </w:tc>
        <w:tc>
          <w:tcPr>
            <w:tcW w:w="1710"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All of the following</w:t>
            </w:r>
          </w:p>
        </w:tc>
        <w:tc>
          <w:tcPr>
            <w:tcW w:w="4500" w:type="dxa"/>
            <w:tcBorders>
              <w:top w:val="nil"/>
              <w:left w:val="nil"/>
              <w:bottom w:val="nil"/>
              <w:right w:val="nil"/>
            </w:tcBorders>
            <w:tcMar>
              <w:top w:w="0" w:type="dxa"/>
              <w:left w:w="62" w:type="dxa"/>
              <w:bottom w:w="0" w:type="dxa"/>
              <w:right w:w="62" w:type="dxa"/>
            </w:tcMar>
          </w:tcPr>
          <w:p w:rsidR="00000000" w:rsidP="007E47AF">
            <w:pPr>
              <w:pStyle w:val="ListBullet"/>
              <w:rPr>
                <w:lang w:val="en-NZ"/>
              </w:rPr>
            </w:pPr>
            <w:r w:rsidRPr="007E47AF">
              <w:t>Perform electrical isolation of AC and DC buses and equipment outputs/inputs</w:t>
            </w:r>
          </w:p>
        </w:tc>
      </w:tr>
      <w:tr w:rsidTr="0007329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E</w:t>
            </w:r>
          </w:p>
        </w:tc>
        <w:tc>
          <w:tcPr>
            <w:tcW w:w="1710"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All of the following</w:t>
            </w:r>
          </w:p>
        </w:tc>
        <w:tc>
          <w:tcPr>
            <w:tcW w:w="4500" w:type="dxa"/>
            <w:tcBorders>
              <w:top w:val="nil"/>
              <w:left w:val="nil"/>
              <w:bottom w:val="nil"/>
              <w:right w:val="nil"/>
            </w:tcBorders>
            <w:tcMar>
              <w:top w:w="0" w:type="dxa"/>
              <w:left w:w="62" w:type="dxa"/>
              <w:bottom w:w="0" w:type="dxa"/>
              <w:right w:w="62" w:type="dxa"/>
            </w:tcMar>
          </w:tcPr>
          <w:p w:rsidR="00000000" w:rsidRPr="007E47AF" w:rsidP="007E47AF">
            <w:pPr>
              <w:pStyle w:val="ListBullet"/>
            </w:pPr>
            <w:r w:rsidRPr="007E47AF">
              <w:t xml:space="preserve">Check external condition of power transformer </w:t>
            </w:r>
          </w:p>
          <w:p w:rsidR="00000000" w:rsidRPr="007E47AF" w:rsidP="007E47AF">
            <w:pPr>
              <w:pStyle w:val="ListBullet"/>
            </w:pPr>
            <w:r w:rsidRPr="007E47AF">
              <w:t>Check condition of power transformer breather</w:t>
            </w:r>
          </w:p>
          <w:p w:rsidR="00000000" w:rsidP="007E47AF">
            <w:pPr>
              <w:pStyle w:val="ListBullet"/>
              <w:rPr>
                <w:lang w:val="en-NZ"/>
              </w:rPr>
            </w:pPr>
            <w:r w:rsidRPr="007E47AF">
              <w:t>Sample power transformer oil</w:t>
            </w:r>
          </w:p>
        </w:tc>
      </w:tr>
      <w:tr w:rsidTr="0007329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F</w:t>
            </w:r>
          </w:p>
        </w:tc>
        <w:tc>
          <w:tcPr>
            <w:tcW w:w="1710"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All of the following</w:t>
            </w:r>
          </w:p>
        </w:tc>
        <w:tc>
          <w:tcPr>
            <w:tcW w:w="4500" w:type="dxa"/>
            <w:tcBorders>
              <w:top w:val="nil"/>
              <w:left w:val="nil"/>
              <w:bottom w:val="nil"/>
              <w:right w:val="nil"/>
            </w:tcBorders>
            <w:tcMar>
              <w:top w:w="0" w:type="dxa"/>
              <w:left w:w="62" w:type="dxa"/>
              <w:bottom w:w="0" w:type="dxa"/>
              <w:right w:w="62" w:type="dxa"/>
            </w:tcMar>
          </w:tcPr>
          <w:p w:rsidR="00000000" w:rsidRPr="007E47AF" w:rsidP="007E47AF">
            <w:pPr>
              <w:pStyle w:val="ListBullet"/>
            </w:pPr>
            <w:r w:rsidRPr="007E47AF">
              <w:t>Deal with an unplanned event by drawing on essential knowledge and skills to provide appropriate solutions.</w:t>
            </w:r>
          </w:p>
        </w:tc>
      </w:tr>
    </w:tbl>
    <w:p w:rsidR="00000000" w:rsidRPr="007E47AF" w:rsidP="007E47AF">
      <w:pPr>
        <w:pStyle w:val="BodyText"/>
      </w:pPr>
    </w:p>
    <w:tbl>
      <w:tblPr>
        <w:tblW w:w="0" w:type="auto"/>
        <w:tblLayout w:type="fixed"/>
        <w:tblCellMar>
          <w:left w:w="62" w:type="dxa"/>
          <w:right w:w="62" w:type="dxa"/>
        </w:tblCellMar>
        <w:tblLook w:val="0000"/>
      </w:tblPr>
      <w:tblGrid>
        <w:gridCol w:w="1890"/>
        <w:gridCol w:w="6570"/>
      </w:tblGrid>
      <w:tr w:rsidTr="0007329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E47AF" w:rsidP="007E47AF">
            <w:pPr>
              <w:pStyle w:val="BodyText"/>
            </w:pPr>
            <w:r w:rsidRPr="007E47A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rPr>
                <w:rStyle w:val="SpecialBold"/>
              </w:rPr>
              <w:t>9.3)</w:t>
            </w:r>
          </w:p>
        </w:tc>
      </w:tr>
      <w:tr w:rsidTr="0007329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E47AF" w:rsidP="007E47AF">
            <w:pPr>
              <w:pStyle w:val="BodyText"/>
            </w:pPr>
            <w:r w:rsidRPr="007E47AF">
              <w:t>This unit should be assessed as it relates to normal work practice using procedures, information and resources typical of a workplace. This should include:</w:t>
            </w:r>
          </w:p>
          <w:p w:rsidR="00000000" w:rsidRPr="007E47AF" w:rsidP="007E47AF">
            <w:pPr>
              <w:pStyle w:val="ListBullet2"/>
            </w:pPr>
            <w:r w:rsidRPr="007E47AF">
              <w:t>OHS policy and work procedures and instructions.</w:t>
            </w:r>
          </w:p>
          <w:p w:rsidR="00000000" w:rsidRPr="007E47AF" w:rsidP="007E47AF">
            <w:pPr>
              <w:pStyle w:val="ListBullet2"/>
            </w:pPr>
            <w:r w:rsidRPr="007E47AF">
              <w:t>Suitable work environment, facilities, equipment and materials to undertake actual work as prescribed by this unit.</w:t>
            </w:r>
          </w:p>
          <w:p w:rsidR="00000000" w:rsidRPr="007E47AF" w:rsidP="007E47AF">
            <w:pPr>
              <w:pStyle w:val="BodyText"/>
            </w:pPr>
            <w:r w:rsidRPr="007E47AF">
              <w:t>These should be used in the formal learning/assessment environment.</w:t>
            </w:r>
          </w:p>
          <w:p w:rsidR="00000000" w:rsidRPr="007E47AF" w:rsidP="007E47AF">
            <w:pPr>
              <w:pStyle w:val="BodyText"/>
            </w:pPr>
            <w:r w:rsidRPr="007E47AF">
              <w:t>Note:</w:t>
            </w:r>
          </w:p>
          <w:p w:rsidR="00000000" w:rsidRPr="007E47AF" w:rsidP="007E47AF">
            <w:pPr>
              <w:pStyle w:val="BodyText"/>
            </w:pPr>
            <w:r w:rsidRPr="007E47AF">
              <w:t xml:space="preserve">Where simulation </w:t>
            </w:r>
            <w:r w:rsidRPr="007E47AF">
              <w:t>is considered a suitable strategy for assessment, conditions must be authentic and as far as possible reproduce and replicate the workplace and be consistent with the approved industry simulation policy.</w:t>
            </w:r>
          </w:p>
          <w:p w:rsidR="00000000" w:rsidRPr="007E47AF" w:rsidP="007E47AF">
            <w:pPr>
              <w:pStyle w:val="BodyText"/>
            </w:pPr>
            <w:r w:rsidRPr="007E47AF">
              <w:t>The resources used for assessment should reflect cur</w:t>
            </w:r>
            <w:r w:rsidRPr="007E47AF">
              <w:t xml:space="preserve">rent industry practices in relation to: </w:t>
            </w:r>
          </w:p>
          <w:p w:rsidR="00000000" w:rsidRPr="007E47AF" w:rsidP="007E47AF">
            <w:pPr>
              <w:pStyle w:val="BodyText"/>
            </w:pPr>
            <w:r w:rsidRPr="007E47AF">
              <w:t>Maintain wind turbine generator electrical systems</w:t>
            </w:r>
          </w:p>
        </w:tc>
      </w:tr>
    </w:tbl>
    <w:p w:rsidR="00000000" w:rsidRPr="007E47AF" w:rsidP="007E47AF">
      <w:pPr>
        <w:pStyle w:val="BodyText"/>
      </w:pPr>
    </w:p>
    <w:tbl>
      <w:tblPr>
        <w:tblW w:w="0" w:type="auto"/>
        <w:tblLayout w:type="fixed"/>
        <w:tblCellMar>
          <w:left w:w="62" w:type="dxa"/>
          <w:right w:w="62" w:type="dxa"/>
        </w:tblCellMar>
        <w:tblLook w:val="0000"/>
      </w:tblPr>
      <w:tblGrid>
        <w:gridCol w:w="1890"/>
        <w:gridCol w:w="6570"/>
      </w:tblGrid>
      <w:tr w:rsidTr="0007329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E47AF" w:rsidP="007E47AF">
            <w:pPr>
              <w:pStyle w:val="BodyText"/>
            </w:pPr>
            <w:r w:rsidRPr="007E47A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rPr>
                <w:rStyle w:val="SpecialBold"/>
              </w:rPr>
              <w:t>9.4)</w:t>
            </w:r>
          </w:p>
        </w:tc>
      </w:tr>
      <w:tr w:rsidTr="0007329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E47AF" w:rsidP="007E47AF">
            <w:pPr>
              <w:pStyle w:val="BodyText"/>
            </w:pPr>
            <w:r w:rsidRPr="007E47AF">
              <w:t>This unit shall be assessed by methods given in the Assessment Guidelines, Section 1.3 of this Training Package.</w:t>
            </w:r>
          </w:p>
          <w:p w:rsidR="00000000" w:rsidRPr="007E47AF" w:rsidP="007E47AF">
            <w:pPr>
              <w:pStyle w:val="BodyText"/>
            </w:pPr>
            <w:r w:rsidRPr="007E47AF">
              <w:t xml:space="preserve">Note: </w:t>
            </w:r>
          </w:p>
          <w:p w:rsidR="00000000" w:rsidRPr="007E47AF" w:rsidP="007E47AF">
            <w:pPr>
              <w:pStyle w:val="BodyText"/>
            </w:pPr>
            <w:r w:rsidRPr="007E47AF">
              <w:t>Competent performance with inherent safe working practices is expected in the Industry to which this competency standard unit applies. This requires assessment in a structured environment which is primarily intended for learning/assessment and incorporates</w:t>
            </w:r>
            <w:r w:rsidRPr="007E47AF">
              <w:t xml:space="preserve"> all necessary equipment and facilities for learners to develop and demonstrate the essential knowledge and skills described in this unit.</w:t>
            </w:r>
          </w:p>
        </w:tc>
      </w:tr>
    </w:tbl>
    <w:p w:rsidR="00000000" w:rsidRPr="007E47AF" w:rsidP="007E47AF">
      <w:pPr>
        <w:pStyle w:val="BodyText"/>
      </w:pPr>
    </w:p>
    <w:tbl>
      <w:tblPr>
        <w:tblW w:w="0" w:type="auto"/>
        <w:tblLayout w:type="fixed"/>
        <w:tblCellMar>
          <w:left w:w="62" w:type="dxa"/>
          <w:right w:w="62" w:type="dxa"/>
        </w:tblCellMar>
        <w:tblLook w:val="0000"/>
      </w:tblPr>
      <w:tblGrid>
        <w:gridCol w:w="1890"/>
        <w:gridCol w:w="1530"/>
        <w:gridCol w:w="5040"/>
      </w:tblGrid>
      <w:tr w:rsidTr="0007329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E47AF" w:rsidP="007E47AF">
            <w:pPr>
              <w:pStyle w:val="BodyText"/>
            </w:pPr>
            <w:r w:rsidRPr="007E47AF">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rPr>
                <w:rStyle w:val="SpecialBold"/>
              </w:rPr>
              <w:t>9.5)</w:t>
            </w:r>
          </w:p>
        </w:tc>
      </w:tr>
      <w:tr w:rsidTr="00073296">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For optimisation of training and assessment effort,</w:t>
            </w:r>
            <w:r w:rsidRPr="007E47AF">
              <w:t xml:space="preserve"> competency development in this unit may be arranged concurrently with units:</w:t>
            </w:r>
          </w:p>
        </w:tc>
      </w:tr>
      <w:tr w:rsidTr="0007329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UEPMNT444A</w:t>
            </w:r>
          </w:p>
        </w:tc>
        <w:tc>
          <w:tcPr>
            <w:tcW w:w="5040"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Maintain wind turbine generator mechanical systems</w:t>
            </w:r>
          </w:p>
        </w:tc>
      </w:tr>
      <w:tr w:rsidTr="0007329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t>UEPMNT443A</w:t>
            </w:r>
          </w:p>
        </w:tc>
        <w:tc>
          <w:tcPr>
            <w:tcW w:w="5040" w:type="dxa"/>
            <w:tcBorders>
              <w:top w:val="nil"/>
              <w:left w:val="nil"/>
              <w:bottom w:val="nil"/>
              <w:right w:val="nil"/>
            </w:tcBorders>
            <w:tcMar>
              <w:top w:w="0" w:type="dxa"/>
              <w:left w:w="62" w:type="dxa"/>
              <w:bottom w:w="0" w:type="dxa"/>
              <w:right w:w="62" w:type="dxa"/>
            </w:tcMar>
          </w:tcPr>
          <w:p w:rsidR="00000000" w:rsidRPr="007E47AF" w:rsidP="007E47AF">
            <w:pPr>
              <w:pStyle w:val="BodyText"/>
            </w:pPr>
            <w:r w:rsidRPr="007E47AF">
              <w:t>Maintain wind turbine generator control systems</w:t>
            </w:r>
          </w:p>
        </w:tc>
      </w:tr>
    </w:tbl>
    <w:p w:rsidR="00000000" w:rsidRPr="007E47AF" w:rsidP="007E47AF">
      <w:pPr>
        <w:pStyle w:val="BodyText"/>
      </w:pPr>
    </w:p>
    <w:p w:rsidR="00000000" w:rsidRPr="007E47AF" w:rsidP="007E47AF">
      <w:pPr>
        <w:pStyle w:val="AllowPageBreak"/>
      </w:pPr>
    </w:p>
    <w:p w:rsidR="00000000" w:rsidRPr="007E47AF" w:rsidP="007E47AF">
      <w:pPr>
        <w:pStyle w:val="Heading1"/>
      </w:pPr>
      <w:bookmarkStart w:id="11" w:name="O_490918"/>
      <w:bookmarkEnd w:id="11"/>
      <w:r w:rsidRPr="007E47AF">
        <w:t>Range Statement</w:t>
      </w:r>
    </w:p>
    <w:tbl>
      <w:tblPr>
        <w:tblW w:w="0" w:type="auto"/>
        <w:tblLayout w:type="fixed"/>
        <w:tblCellMar>
          <w:left w:w="62" w:type="dxa"/>
          <w:right w:w="62" w:type="dxa"/>
        </w:tblCellMar>
        <w:tblLook w:val="0000"/>
      </w:tblPr>
      <w:tblGrid>
        <w:gridCol w:w="8460"/>
      </w:tblGrid>
      <w:tr w:rsidTr="0007329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rPr>
                <w:rStyle w:val="SpecialBold"/>
              </w:rPr>
              <w:t>RANGE STATEMENT</w:t>
            </w:r>
          </w:p>
        </w:tc>
      </w:tr>
      <w:tr w:rsidTr="0007329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E47AF" w:rsidP="007E47AF">
            <w:pPr>
              <w:pStyle w:val="BodyText"/>
            </w:pPr>
            <w:r w:rsidRPr="007E47AF">
              <w:rPr>
                <w:rStyle w:val="SpecialBold"/>
              </w:rPr>
              <w:t>10)</w:t>
            </w:r>
            <w:r w:rsidRPr="007E47AF">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7E47AF" w:rsidP="007E47AF">
            <w:pPr>
              <w:pStyle w:val="BodyText"/>
            </w:pPr>
            <w:r w:rsidRPr="007E47AF">
              <w:t>Climbing equipment, i</w:t>
            </w:r>
            <w:r w:rsidRPr="007E47AF">
              <w:t>ncluding personnel lifts, climb assist, elevators, ladders</w:t>
            </w:r>
          </w:p>
          <w:p w:rsidR="00000000" w:rsidRPr="007E47AF" w:rsidP="007E47AF">
            <w:pPr>
              <w:pStyle w:val="BodyText"/>
            </w:pPr>
            <w:r w:rsidRPr="007E47AF">
              <w:t>Lifting Apparatus includes winches and cranes</w:t>
            </w:r>
          </w:p>
          <w:p w:rsidR="00000000" w:rsidRPr="007E47AF" w:rsidP="007E47AF">
            <w:pPr>
              <w:pStyle w:val="BodyText"/>
            </w:pPr>
            <w:r w:rsidRPr="007E47AF">
              <w:t>Maintenance may include: visual and olfactory inspections, replacement of electrical components, checking the tension of bolts, servicing and split rin</w:t>
            </w:r>
            <w:r w:rsidRPr="007E47AF">
              <w:t>gs, condition monitoring, battery checking, checking terminations</w:t>
            </w:r>
          </w:p>
          <w:p w:rsidR="00000000" w:rsidRPr="007E47AF" w:rsidP="007E47AF">
            <w:pPr>
              <w:pStyle w:val="BodyText"/>
            </w:pPr>
            <w:r w:rsidRPr="007E47AF">
              <w:t>Tools may include spanners, screwdrivers, side cutters, pliers</w:t>
            </w:r>
          </w:p>
          <w:p w:rsidR="00000000" w:rsidRPr="007E47AF" w:rsidP="007E47AF">
            <w:pPr>
              <w:pStyle w:val="BodyText"/>
            </w:pPr>
            <w:r w:rsidRPr="007E47AF">
              <w:t>Cleaning equipment may inlcude: slip ring cleaner, moisture displacement sprays</w:t>
            </w:r>
          </w:p>
          <w:p w:rsidR="00000000" w:rsidRPr="007E47AF" w:rsidP="007E47AF">
            <w:pPr>
              <w:pStyle w:val="BodyText"/>
            </w:pPr>
            <w:r w:rsidRPr="007E47AF">
              <w:t>Test equipment may include multimeters, battery</w:t>
            </w:r>
            <w:r w:rsidRPr="007E47AF">
              <w:t xml:space="preserve"> tester</w:t>
            </w:r>
          </w:p>
          <w:p w:rsidR="00000000" w:rsidRPr="007E47AF" w:rsidP="007E47AF">
            <w:pPr>
              <w:pStyle w:val="BodyText"/>
            </w:pPr>
            <w:r w:rsidRPr="007E47AF">
              <w:t>Electrical systems include generator, high voltage wiring, transformer, convertor/inverter</w:t>
            </w:r>
          </w:p>
          <w:p w:rsidR="00000000" w:rsidRPr="007E47AF" w:rsidP="007E47AF">
            <w:pPr>
              <w:pStyle w:val="BodyText"/>
            </w:pPr>
            <w:r w:rsidRPr="007E47AF">
              <w:t>Large Scale Wind Generators (WTGs) include systems having a rating of greater than 10 kW</w:t>
            </w:r>
          </w:p>
          <w:p w:rsidR="00000000" w:rsidRPr="007E47AF" w:rsidP="007E47AF">
            <w:pPr>
              <w:pStyle w:val="BodyText"/>
            </w:pPr>
            <w:r w:rsidRPr="007E47AF">
              <w:t>Work completion details may include plant and maintenance records, j</w:t>
            </w:r>
            <w:r w:rsidRPr="007E47AF">
              <w:t>ob cards, check sheets, on device labelling updates and reporting and/or documenting equipment defects.</w:t>
            </w:r>
          </w:p>
          <w:p w:rsidR="00000000" w:rsidRPr="007E47AF" w:rsidP="007E47AF">
            <w:pPr>
              <w:pStyle w:val="BodyText"/>
            </w:pPr>
            <w:r w:rsidRPr="007E47AF">
              <w:t>Work site environment may be affected by nearby plant or processes and climatic conditions e.g. wind speed, chemical, heat, dust, noise, height and oil.</w:t>
            </w:r>
          </w:p>
          <w:p w:rsidR="00000000" w:rsidRPr="007E47AF" w:rsidP="007E47AF">
            <w:pPr>
              <w:pStyle w:val="BodyText"/>
            </w:pPr>
            <w:r w:rsidRPr="007E47AF">
              <w:t>Location of wind turbine generators may be in urban, suburban, regional or rural locales and environments.</w:t>
            </w:r>
          </w:p>
          <w:p w:rsidR="00000000" w:rsidRPr="007E47AF" w:rsidP="007E47AF">
            <w:pPr>
              <w:pStyle w:val="BodyText"/>
            </w:pPr>
            <w:r w:rsidRPr="007E47AF">
              <w:t>Isolations can refer to electrical/mechanical or other associated processes.</w:t>
            </w:r>
          </w:p>
          <w:p w:rsidR="00000000" w:rsidRPr="007E47AF" w:rsidP="007E47AF">
            <w:pPr>
              <w:pStyle w:val="BodyText"/>
            </w:pPr>
            <w:r w:rsidRPr="007E47AF">
              <w:t>Generic terms used throughout this Vocational Standard shall be regarde</w:t>
            </w:r>
            <w:r w:rsidRPr="007E47AF">
              <w:t>d as part of the Range Statement in which competency is demonstrated. The definition of these and other terms that apply are given in the Glossaries, Section 2.1 of this Training Package.</w:t>
            </w:r>
          </w:p>
        </w:tc>
      </w:tr>
    </w:tbl>
    <w:p w:rsidR="00000000" w:rsidRPr="007E47AF" w:rsidP="007E47AF">
      <w:pPr>
        <w:pStyle w:val="BodyText"/>
      </w:pPr>
    </w:p>
    <w:p w:rsidR="00000000" w:rsidRPr="007E47AF" w:rsidP="007E47AF">
      <w:pPr>
        <w:pStyle w:val="AllowPageBreak"/>
      </w:pPr>
    </w:p>
    <w:p w:rsidR="00000000" w:rsidRPr="007E47AF" w:rsidP="007E47AF">
      <w:pPr>
        <w:pStyle w:val="Heading1"/>
      </w:pPr>
      <w:bookmarkStart w:id="12" w:name="O_490921"/>
      <w:bookmarkEnd w:id="12"/>
      <w:r w:rsidRPr="007E47AF">
        <w:t>Unit Sector(s)</w:t>
      </w:r>
    </w:p>
    <w:p w:rsidR="00000000" w:rsidRPr="007E47AF" w:rsidP="007E47AF">
      <w:pPr>
        <w:pStyle w:val="BodyText"/>
      </w:pPr>
      <w:r w:rsidRPr="007E47AF">
        <w:t>Not applicable.</w:t>
      </w:r>
    </w:p>
    <w:p w:rsidR="00000000" w:rsidRPr="007E47AF" w:rsidP="007E47AF">
      <w:pPr>
        <w:pStyle w:val="AllowPageBreak"/>
      </w:pPr>
    </w:p>
    <w:p w:rsidR="00000000" w:rsidRPr="007E47AF" w:rsidP="007E47AF">
      <w:pPr>
        <w:pStyle w:val="Heading1"/>
      </w:pPr>
      <w:bookmarkStart w:id="13" w:name="O_490910"/>
      <w:bookmarkEnd w:id="13"/>
      <w:r w:rsidRPr="007E47AF">
        <w:t>Competency Field</w:t>
      </w:r>
    </w:p>
    <w:tbl>
      <w:tblPr>
        <w:tblW w:w="0" w:type="auto"/>
        <w:tblLayout w:type="fixed"/>
        <w:tblCellMar>
          <w:left w:w="62" w:type="dxa"/>
          <w:right w:w="62" w:type="dxa"/>
        </w:tblCellMar>
        <w:tblLook w:val="0000"/>
      </w:tblPr>
      <w:tblGrid>
        <w:gridCol w:w="2700"/>
        <w:gridCol w:w="5760"/>
      </w:tblGrid>
      <w:tr w:rsidTr="0007329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47AF" w:rsidP="007E47AF">
            <w:pPr>
              <w:pStyle w:val="BodyText"/>
            </w:pPr>
            <w:r w:rsidRPr="007E47A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E47AF">
            <w:pPr>
              <w:pStyle w:val="BodyText"/>
              <w:rPr>
                <w:lang w:val="en-NZ"/>
              </w:rPr>
            </w:pPr>
            <w:r w:rsidRPr="007E47AF">
              <w:rPr>
                <w:rStyle w:val="SpecialBold"/>
              </w:rPr>
              <w:t xml:space="preserve">11) </w:t>
            </w:r>
          </w:p>
        </w:tc>
      </w:tr>
      <w:tr w:rsidTr="000732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47AF" w:rsidP="007E47AF">
            <w:pPr>
              <w:pStyle w:val="BodyText"/>
            </w:pPr>
            <w:r w:rsidRPr="007E47AF">
              <w:t>Maintenance</w:t>
            </w:r>
          </w:p>
        </w:tc>
      </w:tr>
    </w:tbl>
    <w:p w:rsidR="00000000" w:rsidRPr="007E47AF" w:rsidP="007E47AF">
      <w:pPr>
        <w:pStyle w:val="BodyText"/>
      </w:pPr>
    </w:p>
    <w:p w:rsidR="00000000" w:rsidRPr="007E47AF" w:rsidP="007E47AF"/>
    <w:sectPr w:rsidSect="007E47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7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7AF" w:rsidRPr="00073296" w:rsidP="0007329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7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296" w:rsidP="007E47A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73296" w:rsidP="007E47A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073296" w:rsidP="007E47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7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7AF" w:rsidRPr="00073296" w:rsidP="0007329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7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296" w:rsidRPr="002D2AF8" w:rsidP="007E47AF">
    <w:pPr>
      <w:pStyle w:val="Header"/>
      <w:framePr w:wrap="around"/>
    </w:pPr>
    <w:r>
      <w:fldChar w:fldCharType="begin"/>
    </w:r>
    <w:r>
      <w:instrText xml:space="preserve"> TITLE   \* MERGEFORMAT </w:instrText>
    </w:r>
    <w:r>
      <w:fldChar w:fldCharType="separate"/>
    </w:r>
    <w:r>
      <w:t>UEPMNT442A Maintain wind turbine generator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March 2013</w:t>
    </w:r>
    <w:r>
      <w:fldChar w:fldCharType="end"/>
    </w:r>
  </w:p>
  <w:p w:rsidR="00073296" w:rsidP="007E47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0E60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B2A2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3038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7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47AF"/>
    <w:pPr>
      <w:spacing w:before="360" w:after="60"/>
      <w:outlineLvl w:val="0"/>
    </w:pPr>
    <w:rPr>
      <w:sz w:val="32"/>
    </w:rPr>
  </w:style>
  <w:style w:type="paragraph" w:styleId="Heading2">
    <w:name w:val="heading 2"/>
    <w:basedOn w:val="HeadingBase"/>
    <w:next w:val="BodyText"/>
    <w:link w:val="Heading2Char"/>
    <w:qFormat/>
    <w:rsid w:val="007E47AF"/>
    <w:pPr>
      <w:keepLines/>
      <w:spacing w:before="240" w:after="120"/>
      <w:outlineLvl w:val="1"/>
    </w:pPr>
    <w:rPr>
      <w:sz w:val="28"/>
      <w:szCs w:val="40"/>
    </w:rPr>
  </w:style>
  <w:style w:type="paragraph" w:styleId="Heading3">
    <w:name w:val="heading 3"/>
    <w:basedOn w:val="HeadingBase"/>
    <w:next w:val="BodyText"/>
    <w:link w:val="Heading3Char"/>
    <w:qFormat/>
    <w:rsid w:val="007E47AF"/>
    <w:pPr>
      <w:spacing w:before="180" w:after="120"/>
      <w:outlineLvl w:val="2"/>
    </w:pPr>
    <w:rPr>
      <w:spacing w:val="-10"/>
      <w:kern w:val="32"/>
    </w:rPr>
  </w:style>
  <w:style w:type="paragraph" w:styleId="Heading4">
    <w:name w:val="heading 4"/>
    <w:basedOn w:val="HeadingBase"/>
    <w:next w:val="BodyText"/>
    <w:link w:val="Heading4Char"/>
    <w:qFormat/>
    <w:rsid w:val="007E47AF"/>
    <w:pPr>
      <w:spacing w:before="160" w:after="120"/>
      <w:outlineLvl w:val="3"/>
    </w:pPr>
    <w:rPr>
      <w:sz w:val="22"/>
    </w:rPr>
  </w:style>
  <w:style w:type="paragraph" w:styleId="Heading5">
    <w:name w:val="heading 5"/>
    <w:basedOn w:val="HeadingBase"/>
    <w:next w:val="Normal"/>
    <w:link w:val="Heading5Char"/>
    <w:qFormat/>
    <w:rsid w:val="007E47AF"/>
    <w:pPr>
      <w:spacing w:before="80"/>
      <w:outlineLvl w:val="4"/>
    </w:pPr>
    <w:rPr>
      <w:color w:val="918585"/>
      <w:sz w:val="20"/>
    </w:rPr>
  </w:style>
  <w:style w:type="paragraph" w:styleId="Heading6">
    <w:name w:val="heading 6"/>
    <w:basedOn w:val="HeadingBase"/>
    <w:next w:val="Normal"/>
    <w:link w:val="Heading6Char"/>
    <w:qFormat/>
    <w:rsid w:val="007E47AF"/>
    <w:pPr>
      <w:spacing w:before="60"/>
      <w:outlineLvl w:val="5"/>
    </w:pPr>
    <w:rPr>
      <w:color w:val="918585"/>
      <w:sz w:val="20"/>
    </w:rPr>
  </w:style>
  <w:style w:type="paragraph" w:styleId="Heading7">
    <w:name w:val="heading 7"/>
    <w:basedOn w:val="Normal"/>
    <w:next w:val="Normal"/>
    <w:link w:val="Heading7Char"/>
    <w:qFormat/>
    <w:rsid w:val="007E47AF"/>
    <w:pPr>
      <w:ind w:left="720"/>
      <w:outlineLvl w:val="6"/>
    </w:pPr>
    <w:rPr>
      <w:i/>
    </w:rPr>
  </w:style>
  <w:style w:type="paragraph" w:styleId="Heading8">
    <w:name w:val="heading 8"/>
    <w:basedOn w:val="Normal"/>
    <w:next w:val="Normal"/>
    <w:link w:val="Heading8Char"/>
    <w:qFormat/>
    <w:rsid w:val="007E47AF"/>
    <w:pPr>
      <w:ind w:left="720"/>
      <w:outlineLvl w:val="7"/>
    </w:pPr>
    <w:rPr>
      <w:i/>
    </w:rPr>
  </w:style>
  <w:style w:type="paragraph" w:styleId="Heading9">
    <w:name w:val="heading 9"/>
    <w:basedOn w:val="Normal"/>
    <w:next w:val="Normal"/>
    <w:link w:val="Heading9Char"/>
    <w:qFormat/>
    <w:rsid w:val="007E47AF"/>
    <w:pPr>
      <w:ind w:left="720"/>
      <w:outlineLvl w:val="8"/>
    </w:pPr>
    <w:rPr>
      <w:i/>
    </w:rPr>
  </w:style>
  <w:style w:type="character" w:default="1" w:styleId="DefaultParagraphFont">
    <w:name w:val="Default Paragraph Font"/>
    <w:uiPriority w:val="1"/>
    <w:unhideWhenUsed/>
    <w:rsid w:val="007E47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47AF"/>
  </w:style>
  <w:style w:type="character" w:customStyle="1" w:styleId="Heading1Char">
    <w:name w:val="Heading 1 Char"/>
    <w:basedOn w:val="DefaultParagraphFont"/>
    <w:link w:val="Heading1"/>
    <w:rsid w:val="007E47AF"/>
    <w:rPr>
      <w:rFonts w:ascii="Times New Roman" w:eastAsia="Times New Roman" w:hAnsi="Times New Roman" w:cs="Times New Roman"/>
      <w:b/>
      <w:sz w:val="32"/>
      <w:szCs w:val="20"/>
      <w:lang w:eastAsia="en-US"/>
    </w:rPr>
  </w:style>
  <w:style w:type="paragraph" w:styleId="BodyText">
    <w:name w:val="Body Text"/>
    <w:basedOn w:val="Normal"/>
    <w:link w:val="BodyTextChar"/>
    <w:rsid w:val="007E47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47AF"/>
    <w:rPr>
      <w:rFonts w:ascii="Times New Roman" w:eastAsia="Times New Roman" w:hAnsi="Times New Roman" w:cs="Times New Roman"/>
      <w:sz w:val="24"/>
      <w:lang w:eastAsia="en-US"/>
    </w:rPr>
  </w:style>
  <w:style w:type="paragraph" w:styleId="ListBullet">
    <w:name w:val="List Bullet"/>
    <w:basedOn w:val="List"/>
    <w:rsid w:val="007E47AF"/>
    <w:pPr>
      <w:numPr>
        <w:numId w:val="14"/>
      </w:numPr>
      <w:tabs>
        <w:tab w:val="clear" w:pos="340"/>
      </w:tabs>
      <w:spacing w:before="40" w:after="40"/>
    </w:pPr>
  </w:style>
  <w:style w:type="character" w:customStyle="1" w:styleId="SpecialBold">
    <w:name w:val="Special Bold"/>
    <w:basedOn w:val="DefaultParagraphFont"/>
    <w:rsid w:val="007E47AF"/>
    <w:rPr>
      <w:b/>
      <w:spacing w:val="0"/>
    </w:rPr>
  </w:style>
  <w:style w:type="paragraph" w:styleId="ListBullet2">
    <w:name w:val="List Bullet 2"/>
    <w:basedOn w:val="List2"/>
    <w:rsid w:val="007E47AF"/>
    <w:pPr>
      <w:numPr>
        <w:numId w:val="15"/>
      </w:numPr>
      <w:tabs>
        <w:tab w:val="clear" w:pos="680"/>
      </w:tabs>
    </w:pPr>
  </w:style>
  <w:style w:type="paragraph" w:customStyle="1" w:styleId="SuperHeading">
    <w:name w:val="SuperHeading"/>
    <w:basedOn w:val="Normal"/>
    <w:rsid w:val="007E47AF"/>
    <w:pPr>
      <w:spacing w:before="240" w:after="120"/>
      <w:outlineLvl w:val="0"/>
    </w:pPr>
    <w:rPr>
      <w:rFonts w:ascii="Times New Roman" w:hAnsi="Times New Roman"/>
      <w:b/>
      <w:sz w:val="32"/>
    </w:rPr>
  </w:style>
  <w:style w:type="paragraph" w:customStyle="1" w:styleId="AllowPageBreak">
    <w:name w:val="AllowPageBreak"/>
    <w:rsid w:val="007E47A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E47AF"/>
    <w:pPr>
      <w:numPr>
        <w:numId w:val="3"/>
      </w:numPr>
      <w:tabs>
        <w:tab w:val="clear" w:pos="1021"/>
      </w:tabs>
      <w:ind w:left="1037" w:hanging="357"/>
    </w:pPr>
  </w:style>
  <w:style w:type="character" w:customStyle="1" w:styleId="Heading2Char">
    <w:name w:val="Heading 2 Char"/>
    <w:basedOn w:val="DefaultParagraphFont"/>
    <w:link w:val="Heading2"/>
    <w:rsid w:val="007E47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47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47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47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47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47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47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47AF"/>
    <w:rPr>
      <w:rFonts w:ascii="Courier New" w:eastAsia="Times New Roman" w:hAnsi="Courier New" w:cs="Times New Roman"/>
      <w:i/>
      <w:szCs w:val="20"/>
      <w:lang w:eastAsia="en-US"/>
    </w:rPr>
  </w:style>
  <w:style w:type="paragraph" w:customStyle="1" w:styleId="HeadingBase">
    <w:name w:val="Heading Base"/>
    <w:rsid w:val="007E47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47AF"/>
    <w:pPr>
      <w:tabs>
        <w:tab w:val="right" w:leader="dot" w:pos="9072"/>
      </w:tabs>
      <w:ind w:left="567"/>
    </w:pPr>
    <w:rPr>
      <w:szCs w:val="22"/>
    </w:rPr>
  </w:style>
  <w:style w:type="paragraph" w:customStyle="1" w:styleId="TOCBase">
    <w:name w:val="TOC Base"/>
    <w:rsid w:val="007E47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47AF"/>
    <w:pPr>
      <w:tabs>
        <w:tab w:val="right" w:leader="dot" w:pos="9072"/>
      </w:tabs>
      <w:spacing w:before="40" w:after="40"/>
      <w:ind w:left="284"/>
    </w:pPr>
    <w:rPr>
      <w:rFonts w:ascii="Times New Roman" w:hAnsi="Times New Roman"/>
    </w:rPr>
  </w:style>
  <w:style w:type="paragraph" w:styleId="TOC1">
    <w:name w:val="toc 1"/>
    <w:basedOn w:val="TOCBase"/>
    <w:next w:val="Normal"/>
    <w:rsid w:val="007E47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47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47AF"/>
    <w:rPr>
      <w:rFonts w:ascii="Times New Roman" w:eastAsia="Times New Roman" w:hAnsi="Times New Roman" w:cs="Times New Roman"/>
      <w:sz w:val="16"/>
      <w:lang w:eastAsia="en-US"/>
    </w:rPr>
  </w:style>
  <w:style w:type="paragraph" w:styleId="Title">
    <w:name w:val="Title"/>
    <w:basedOn w:val="HeadingBase"/>
    <w:link w:val="TitleChar"/>
    <w:qFormat/>
    <w:rsid w:val="007E47AF"/>
    <w:pPr>
      <w:spacing w:before="5040"/>
      <w:jc w:val="center"/>
    </w:pPr>
    <w:rPr>
      <w:sz w:val="48"/>
      <w:szCs w:val="72"/>
      <w:lang w:val="en-US"/>
    </w:rPr>
  </w:style>
  <w:style w:type="character" w:customStyle="1" w:styleId="TitleChar">
    <w:name w:val="Title Char"/>
    <w:basedOn w:val="DefaultParagraphFont"/>
    <w:link w:val="Title"/>
    <w:rsid w:val="007E47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47AF"/>
    <w:pPr>
      <w:tabs>
        <w:tab w:val="left" w:pos="3600"/>
        <w:tab w:val="left" w:pos="3958"/>
      </w:tabs>
    </w:pPr>
  </w:style>
  <w:style w:type="paragraph" w:styleId="List">
    <w:name w:val="List"/>
    <w:basedOn w:val="BodyText"/>
    <w:next w:val="BodyText"/>
    <w:rsid w:val="007E47AF"/>
    <w:pPr>
      <w:tabs>
        <w:tab w:val="left" w:pos="340"/>
      </w:tabs>
      <w:spacing w:before="60" w:after="60"/>
      <w:ind w:left="340" w:hanging="340"/>
    </w:pPr>
  </w:style>
  <w:style w:type="paragraph" w:customStyle="1" w:styleId="Note">
    <w:name w:val="Note"/>
    <w:basedOn w:val="BodyText"/>
    <w:rsid w:val="007E47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47AF"/>
    <w:pPr>
      <w:framePr w:wrap="auto" w:hAnchor="text" w:y="6049"/>
    </w:pPr>
    <w:rPr>
      <w:color w:val="000000"/>
      <w:sz w:val="40"/>
    </w:rPr>
  </w:style>
  <w:style w:type="paragraph" w:customStyle="1" w:styleId="TOCTitle">
    <w:name w:val="TOCTitle"/>
    <w:basedOn w:val="Heading1"/>
    <w:rsid w:val="007E47AF"/>
    <w:pPr>
      <w:spacing w:after="240"/>
      <w:jc w:val="center"/>
      <w:outlineLvl w:val="9"/>
    </w:pPr>
    <w:rPr>
      <w:caps/>
    </w:rPr>
  </w:style>
  <w:style w:type="paragraph" w:customStyle="1" w:styleId="Version">
    <w:name w:val="Version"/>
    <w:rsid w:val="007E47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47AF"/>
    <w:pPr>
      <w:keepNext w:val="0"/>
      <w:tabs>
        <w:tab w:val="right" w:pos="4176"/>
      </w:tabs>
      <w:ind w:left="198" w:hanging="198"/>
    </w:pPr>
    <w:rPr>
      <w:rFonts w:ascii="Garamond" w:hAnsi="Garamond"/>
    </w:rPr>
  </w:style>
  <w:style w:type="paragraph" w:styleId="IndexHeading">
    <w:name w:val="index heading"/>
    <w:basedOn w:val="Normal"/>
    <w:next w:val="Index1"/>
    <w:semiHidden/>
    <w:rsid w:val="007E47AF"/>
    <w:pPr>
      <w:spacing w:before="120" w:after="120"/>
    </w:pPr>
    <w:rPr>
      <w:rFonts w:ascii="Arial" w:hAnsi="Arial"/>
      <w:b/>
      <w:color w:val="918585"/>
      <w:sz w:val="24"/>
    </w:rPr>
  </w:style>
  <w:style w:type="paragraph" w:styleId="Header">
    <w:name w:val="header"/>
    <w:basedOn w:val="Normal"/>
    <w:link w:val="HeaderChar"/>
    <w:rsid w:val="007E47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47AF"/>
    <w:rPr>
      <w:rFonts w:ascii="Times New Roman" w:eastAsia="Times New Roman" w:hAnsi="Times New Roman" w:cs="Times New Roman"/>
      <w:sz w:val="16"/>
      <w:szCs w:val="20"/>
      <w:lang w:val="en-GB" w:eastAsia="en-US"/>
    </w:rPr>
  </w:style>
  <w:style w:type="paragraph" w:customStyle="1" w:styleId="Chapter">
    <w:name w:val="Chapter"/>
    <w:basedOn w:val="Normal"/>
    <w:rsid w:val="007E47AF"/>
    <w:pPr>
      <w:spacing w:before="240"/>
    </w:pPr>
    <w:rPr>
      <w:rFonts w:ascii="Times New Roman" w:hAnsi="Times New Roman"/>
      <w:smallCaps/>
      <w:spacing w:val="80"/>
      <w:sz w:val="28"/>
    </w:rPr>
  </w:style>
  <w:style w:type="paragraph" w:customStyle="1" w:styleId="InChapter">
    <w:name w:val="InChapter"/>
    <w:basedOn w:val="Heading3"/>
    <w:rsid w:val="007E47AF"/>
    <w:pPr>
      <w:spacing w:after="240"/>
      <w:outlineLvl w:val="9"/>
    </w:pPr>
    <w:rPr>
      <w:noProof/>
    </w:rPr>
  </w:style>
  <w:style w:type="paragraph" w:styleId="Index2">
    <w:name w:val="index 2"/>
    <w:basedOn w:val="Normal"/>
    <w:next w:val="Normal"/>
    <w:semiHidden/>
    <w:rsid w:val="007E47AF"/>
    <w:pPr>
      <w:tabs>
        <w:tab w:val="right" w:pos="4176"/>
      </w:tabs>
      <w:ind w:left="568" w:hanging="284"/>
    </w:pPr>
    <w:rPr>
      <w:rFonts w:ascii="Garamond" w:hAnsi="Garamond"/>
    </w:rPr>
  </w:style>
  <w:style w:type="paragraph" w:customStyle="1" w:styleId="Byline">
    <w:name w:val="Byline"/>
    <w:rsid w:val="007E47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47AF"/>
    <w:pPr>
      <w:tabs>
        <w:tab w:val="clear" w:pos="3600"/>
        <w:tab w:val="clear" w:pos="3958"/>
      </w:tabs>
      <w:jc w:val="right"/>
    </w:pPr>
  </w:style>
  <w:style w:type="character" w:styleId="Emphasis">
    <w:name w:val="Emphasis"/>
    <w:basedOn w:val="DefaultParagraphFont"/>
    <w:qFormat/>
    <w:rsid w:val="007E47AF"/>
    <w:rPr>
      <w:i/>
    </w:rPr>
  </w:style>
  <w:style w:type="paragraph" w:styleId="Caption">
    <w:name w:val="caption"/>
    <w:basedOn w:val="BodyText"/>
    <w:next w:val="Normal"/>
    <w:qFormat/>
    <w:rsid w:val="007E47AF"/>
    <w:pPr>
      <w:framePr w:w="2268" w:hSpace="181" w:vSpace="181" w:wrap="around" w:vAnchor="text" w:hAnchor="page" w:x="1135" w:y="285" w:anchorLock="1"/>
    </w:pPr>
    <w:rPr>
      <w:i/>
    </w:rPr>
  </w:style>
  <w:style w:type="paragraph" w:customStyle="1" w:styleId="MiniTOCTitle">
    <w:name w:val="MiniTOCTitle"/>
    <w:basedOn w:val="Heading4"/>
    <w:rsid w:val="007E47AF"/>
    <w:pPr>
      <w:spacing w:before="240"/>
      <w:outlineLvl w:val="9"/>
    </w:pPr>
    <w:rPr>
      <w:noProof/>
      <w:sz w:val="24"/>
    </w:rPr>
  </w:style>
  <w:style w:type="paragraph" w:customStyle="1" w:styleId="MiniTOCItem">
    <w:name w:val="MiniTOCItem"/>
    <w:basedOn w:val="ListBullet"/>
    <w:rsid w:val="007E47AF"/>
    <w:pPr>
      <w:numPr>
        <w:numId w:val="0"/>
      </w:numPr>
      <w:tabs>
        <w:tab w:val="right" w:leader="dot" w:pos="6521"/>
      </w:tabs>
      <w:spacing w:before="0" w:after="0"/>
    </w:pPr>
  </w:style>
  <w:style w:type="paragraph" w:customStyle="1" w:styleId="TOFTitle">
    <w:name w:val="TOFTitle"/>
    <w:basedOn w:val="TOCTitle"/>
    <w:rsid w:val="007E47AF"/>
  </w:style>
  <w:style w:type="paragraph" w:styleId="TableofFigures">
    <w:name w:val="table of figures"/>
    <w:basedOn w:val="Normal"/>
    <w:next w:val="Normal"/>
    <w:semiHidden/>
    <w:rsid w:val="007E47AF"/>
    <w:pPr>
      <w:tabs>
        <w:tab w:val="right" w:leader="dot" w:pos="9072"/>
      </w:tabs>
      <w:ind w:left="970" w:hanging="403"/>
    </w:pPr>
    <w:rPr>
      <w:rFonts w:ascii="Times New Roman" w:hAnsi="Times New Roman"/>
      <w:b/>
    </w:rPr>
  </w:style>
  <w:style w:type="paragraph" w:styleId="ListNumber">
    <w:name w:val="List Number"/>
    <w:basedOn w:val="List"/>
    <w:rsid w:val="007E47AF"/>
    <w:pPr>
      <w:numPr>
        <w:numId w:val="12"/>
      </w:numPr>
    </w:pPr>
  </w:style>
  <w:style w:type="character" w:customStyle="1" w:styleId="WingdingSymbols">
    <w:name w:val="Wingding Symbols"/>
    <w:rsid w:val="007E47AF"/>
    <w:rPr>
      <w:rFonts w:ascii="Wingdings" w:hAnsi="Wingdings"/>
    </w:rPr>
  </w:style>
  <w:style w:type="paragraph" w:customStyle="1" w:styleId="TableHeading">
    <w:name w:val="Table Heading"/>
    <w:basedOn w:val="HeadingBase"/>
    <w:rsid w:val="007E47AF"/>
    <w:pPr>
      <w:keepLines/>
      <w:pBdr>
        <w:bottom w:val="single" w:sz="6" w:space="1" w:color="918585"/>
      </w:pBdr>
      <w:spacing w:before="240"/>
    </w:pPr>
  </w:style>
  <w:style w:type="character" w:customStyle="1" w:styleId="HotSpot">
    <w:name w:val="HotSpot"/>
    <w:rsid w:val="007E47AF"/>
    <w:rPr>
      <w:color w:val="0033CC"/>
      <w:u w:val="none"/>
    </w:rPr>
  </w:style>
  <w:style w:type="paragraph" w:customStyle="1" w:styleId="BodyTextRight">
    <w:name w:val="Body Text Right"/>
    <w:basedOn w:val="BodyText"/>
    <w:rsid w:val="007E47AF"/>
    <w:pPr>
      <w:spacing w:before="0" w:after="0"/>
      <w:jc w:val="right"/>
    </w:pPr>
  </w:style>
  <w:style w:type="paragraph" w:styleId="Index3">
    <w:name w:val="index 3"/>
    <w:basedOn w:val="ListNumber2"/>
    <w:next w:val="Normal"/>
    <w:semiHidden/>
    <w:rsid w:val="007E47AF"/>
    <w:pPr>
      <w:numPr>
        <w:numId w:val="0"/>
      </w:numPr>
      <w:tabs>
        <w:tab w:val="right" w:leader="dot" w:pos="4176"/>
      </w:tabs>
    </w:pPr>
  </w:style>
  <w:style w:type="paragraph" w:styleId="ListNumber2">
    <w:name w:val="List Number 2"/>
    <w:basedOn w:val="List2"/>
    <w:rsid w:val="007E47AF"/>
    <w:pPr>
      <w:numPr>
        <w:numId w:val="11"/>
      </w:numPr>
      <w:tabs>
        <w:tab w:val="clear" w:pos="1060"/>
      </w:tabs>
    </w:pPr>
  </w:style>
  <w:style w:type="paragraph" w:customStyle="1" w:styleId="MarginNote">
    <w:name w:val="Margin Note"/>
    <w:basedOn w:val="BodyText"/>
    <w:rsid w:val="007E47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47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47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47AF"/>
    <w:rPr>
      <w:sz w:val="32"/>
    </w:rPr>
  </w:style>
  <w:style w:type="paragraph" w:customStyle="1" w:styleId="HeadingProcedure">
    <w:name w:val="Heading Procedure"/>
    <w:basedOn w:val="HeadingBase"/>
    <w:next w:val="Normal"/>
    <w:rsid w:val="007E47AF"/>
    <w:pPr>
      <w:tabs>
        <w:tab w:val="left" w:pos="0"/>
      </w:tabs>
      <w:spacing w:before="120" w:after="60"/>
    </w:pPr>
    <w:rPr>
      <w:i/>
      <w:color w:val="918585"/>
      <w:sz w:val="22"/>
    </w:rPr>
  </w:style>
  <w:style w:type="paragraph" w:customStyle="1" w:styleId="TableBodyText">
    <w:name w:val="Table Body Text"/>
    <w:basedOn w:val="BodyText"/>
    <w:rsid w:val="007E47AF"/>
    <w:pPr>
      <w:spacing w:before="60" w:after="60"/>
    </w:pPr>
  </w:style>
  <w:style w:type="paragraph" w:styleId="ListContinue">
    <w:name w:val="List Continue"/>
    <w:basedOn w:val="List"/>
    <w:rsid w:val="007E47AF"/>
    <w:pPr>
      <w:ind w:firstLine="0"/>
    </w:pPr>
  </w:style>
  <w:style w:type="paragraph" w:customStyle="1" w:styleId="ListNote">
    <w:name w:val="List Note"/>
    <w:basedOn w:val="List"/>
    <w:rsid w:val="007E47AF"/>
    <w:pPr>
      <w:pBdr>
        <w:top w:val="single" w:sz="6" w:space="2" w:color="918585"/>
        <w:bottom w:val="single" w:sz="6" w:space="2" w:color="918585"/>
      </w:pBdr>
      <w:tabs>
        <w:tab w:val="left" w:pos="1021"/>
      </w:tabs>
      <w:ind w:firstLine="0"/>
    </w:pPr>
  </w:style>
  <w:style w:type="paragraph" w:customStyle="1" w:styleId="Warning">
    <w:name w:val="Warning"/>
    <w:basedOn w:val="BodyText"/>
    <w:rsid w:val="007E47AF"/>
    <w:pPr>
      <w:shd w:val="clear" w:color="auto" w:fill="D9D9D9"/>
      <w:tabs>
        <w:tab w:val="left" w:pos="992"/>
      </w:tabs>
      <w:ind w:left="119" w:right="119"/>
    </w:pPr>
    <w:rPr>
      <w:sz w:val="20"/>
    </w:rPr>
  </w:style>
  <w:style w:type="paragraph" w:customStyle="1" w:styleId="MarginIcons">
    <w:name w:val="Margin Icons"/>
    <w:basedOn w:val="BodyText"/>
    <w:rsid w:val="007E47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47AF"/>
    <w:rPr>
      <w:rFonts w:ascii="Courier New" w:hAnsi="Courier New"/>
    </w:rPr>
  </w:style>
  <w:style w:type="paragraph" w:customStyle="1" w:styleId="NoteBullet">
    <w:name w:val="Note Bullet"/>
    <w:basedOn w:val="Note"/>
    <w:rsid w:val="007E47AF"/>
    <w:pPr>
      <w:tabs>
        <w:tab w:val="clear" w:pos="680"/>
      </w:tabs>
      <w:spacing w:before="60" w:after="60"/>
    </w:pPr>
  </w:style>
  <w:style w:type="paragraph" w:customStyle="1" w:styleId="SubHeading2">
    <w:name w:val="SubHeading2"/>
    <w:basedOn w:val="HeadingBase"/>
    <w:rsid w:val="007E47AF"/>
    <w:pPr>
      <w:spacing w:before="240" w:after="60"/>
    </w:pPr>
    <w:rPr>
      <w:sz w:val="20"/>
    </w:rPr>
  </w:style>
  <w:style w:type="paragraph" w:customStyle="1" w:styleId="SubHeading1">
    <w:name w:val="SubHeading1"/>
    <w:basedOn w:val="HeadingBase"/>
    <w:rsid w:val="007E47AF"/>
    <w:pPr>
      <w:spacing w:before="240" w:after="60"/>
    </w:pPr>
    <w:rPr>
      <w:color w:val="918585"/>
      <w:sz w:val="22"/>
    </w:rPr>
  </w:style>
  <w:style w:type="paragraph" w:customStyle="1" w:styleId="SideHeading">
    <w:name w:val="Side Heading"/>
    <w:basedOn w:val="HeadingBase"/>
    <w:rsid w:val="007E47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47AF"/>
    <w:pPr>
      <w:numPr>
        <w:numId w:val="13"/>
      </w:numPr>
    </w:pPr>
  </w:style>
  <w:style w:type="paragraph" w:styleId="PlainText">
    <w:name w:val="Plain Text"/>
    <w:basedOn w:val="Normal"/>
    <w:link w:val="PlainTextChar"/>
    <w:rsid w:val="007E47AF"/>
    <w:rPr>
      <w:sz w:val="20"/>
    </w:rPr>
  </w:style>
  <w:style w:type="character" w:customStyle="1" w:styleId="PlainTextChar">
    <w:name w:val="Plain Text Char"/>
    <w:basedOn w:val="DefaultParagraphFont"/>
    <w:link w:val="PlainText"/>
    <w:rsid w:val="007E47AF"/>
    <w:rPr>
      <w:rFonts w:ascii="Courier New" w:eastAsia="Times New Roman" w:hAnsi="Courier New" w:cs="Times New Roman"/>
      <w:sz w:val="20"/>
      <w:szCs w:val="20"/>
      <w:lang w:eastAsia="en-US"/>
    </w:rPr>
  </w:style>
  <w:style w:type="character" w:customStyle="1" w:styleId="MenuOption">
    <w:name w:val="Menu Option"/>
    <w:basedOn w:val="DefaultParagraphFont"/>
    <w:rsid w:val="007E47AF"/>
    <w:rPr>
      <w:b/>
      <w:smallCaps/>
    </w:rPr>
  </w:style>
  <w:style w:type="paragraph" w:customStyle="1" w:styleId="TableListNumber">
    <w:name w:val="Table List Number"/>
    <w:basedOn w:val="ListNumber"/>
    <w:rsid w:val="007E47AF"/>
    <w:pPr>
      <w:numPr>
        <w:numId w:val="0"/>
      </w:numPr>
    </w:pPr>
  </w:style>
  <w:style w:type="paragraph" w:styleId="TOC4">
    <w:name w:val="toc 4"/>
    <w:basedOn w:val="TOCBase"/>
    <w:next w:val="Normal"/>
    <w:semiHidden/>
    <w:rsid w:val="007E47AF"/>
    <w:pPr>
      <w:tabs>
        <w:tab w:val="right" w:leader="dot" w:pos="9071"/>
      </w:tabs>
      <w:ind w:left="1701"/>
    </w:pPr>
  </w:style>
  <w:style w:type="paragraph" w:customStyle="1" w:styleId="ListAlpha">
    <w:name w:val="List Alpha"/>
    <w:basedOn w:val="List"/>
    <w:rsid w:val="007E47AF"/>
    <w:pPr>
      <w:numPr>
        <w:numId w:val="10"/>
      </w:numPr>
    </w:pPr>
  </w:style>
  <w:style w:type="paragraph" w:customStyle="1" w:styleId="ListAlpha2">
    <w:name w:val="List Alpha 2"/>
    <w:basedOn w:val="List2"/>
    <w:rsid w:val="007E47AF"/>
    <w:pPr>
      <w:numPr>
        <w:numId w:val="9"/>
      </w:numPr>
    </w:pPr>
  </w:style>
  <w:style w:type="paragraph" w:styleId="List2">
    <w:name w:val="List 2"/>
    <w:basedOn w:val="BodyText"/>
    <w:rsid w:val="007E47AF"/>
    <w:pPr>
      <w:tabs>
        <w:tab w:val="left" w:pos="680"/>
      </w:tabs>
      <w:spacing w:before="60" w:after="60"/>
      <w:ind w:left="680" w:hanging="340"/>
    </w:pPr>
  </w:style>
  <w:style w:type="paragraph" w:styleId="List3">
    <w:name w:val="List 3"/>
    <w:basedOn w:val="BodyText"/>
    <w:rsid w:val="007E47AF"/>
    <w:pPr>
      <w:tabs>
        <w:tab w:val="left" w:pos="1021"/>
      </w:tabs>
      <w:spacing w:before="60" w:after="60"/>
      <w:ind w:left="1020" w:hanging="340"/>
    </w:pPr>
  </w:style>
  <w:style w:type="paragraph" w:styleId="List4">
    <w:name w:val="List 4"/>
    <w:basedOn w:val="BodyText"/>
    <w:rsid w:val="007E47AF"/>
    <w:pPr>
      <w:tabs>
        <w:tab w:val="left" w:pos="1361"/>
      </w:tabs>
      <w:spacing w:before="60" w:after="60"/>
      <w:ind w:left="1361" w:hanging="340"/>
    </w:pPr>
  </w:style>
  <w:style w:type="paragraph" w:styleId="List5">
    <w:name w:val="List 5"/>
    <w:basedOn w:val="BodyText"/>
    <w:rsid w:val="007E47AF"/>
    <w:pPr>
      <w:tabs>
        <w:tab w:val="left" w:pos="1701"/>
      </w:tabs>
      <w:spacing w:before="60" w:after="60"/>
      <w:ind w:left="1701" w:hanging="340"/>
    </w:pPr>
  </w:style>
  <w:style w:type="paragraph" w:styleId="ListBullet4">
    <w:name w:val="List Bullet 4"/>
    <w:basedOn w:val="List4"/>
    <w:rsid w:val="007E47AF"/>
    <w:pPr>
      <w:numPr>
        <w:numId w:val="4"/>
      </w:numPr>
    </w:pPr>
  </w:style>
  <w:style w:type="paragraph" w:styleId="ListBullet5">
    <w:name w:val="List Bullet 5"/>
    <w:basedOn w:val="List5"/>
    <w:rsid w:val="007E47AF"/>
    <w:pPr>
      <w:numPr>
        <w:numId w:val="5"/>
      </w:numPr>
    </w:pPr>
  </w:style>
  <w:style w:type="paragraph" w:styleId="ListContinue2">
    <w:name w:val="List Continue 2"/>
    <w:basedOn w:val="List2"/>
    <w:rsid w:val="007E47AF"/>
    <w:pPr>
      <w:ind w:firstLine="0"/>
    </w:pPr>
  </w:style>
  <w:style w:type="paragraph" w:styleId="ListContinue3">
    <w:name w:val="List Continue 3"/>
    <w:basedOn w:val="List3"/>
    <w:rsid w:val="007E47AF"/>
    <w:pPr>
      <w:ind w:left="1021" w:firstLine="0"/>
    </w:pPr>
  </w:style>
  <w:style w:type="paragraph" w:styleId="ListContinue4">
    <w:name w:val="List Continue 4"/>
    <w:basedOn w:val="List4"/>
    <w:rsid w:val="007E47AF"/>
    <w:pPr>
      <w:ind w:firstLine="0"/>
    </w:pPr>
  </w:style>
  <w:style w:type="paragraph" w:styleId="ListContinue5">
    <w:name w:val="List Continue 5"/>
    <w:basedOn w:val="List5"/>
    <w:rsid w:val="007E47AF"/>
    <w:pPr>
      <w:ind w:firstLine="0"/>
    </w:pPr>
  </w:style>
  <w:style w:type="paragraph" w:styleId="ListNumber3">
    <w:name w:val="List Number 3"/>
    <w:basedOn w:val="List3"/>
    <w:rsid w:val="007E47AF"/>
    <w:pPr>
      <w:numPr>
        <w:numId w:val="6"/>
      </w:numPr>
    </w:pPr>
  </w:style>
  <w:style w:type="paragraph" w:styleId="ListNumber4">
    <w:name w:val="List Number 4"/>
    <w:basedOn w:val="List4"/>
    <w:rsid w:val="007E47AF"/>
    <w:pPr>
      <w:numPr>
        <w:numId w:val="7"/>
      </w:numPr>
    </w:pPr>
  </w:style>
  <w:style w:type="paragraph" w:styleId="ListNumber5">
    <w:name w:val="List Number 5"/>
    <w:basedOn w:val="List5"/>
    <w:rsid w:val="007E47AF"/>
    <w:pPr>
      <w:numPr>
        <w:numId w:val="8"/>
      </w:numPr>
    </w:pPr>
  </w:style>
  <w:style w:type="paragraph" w:styleId="BlockText">
    <w:name w:val="Block Text"/>
    <w:basedOn w:val="Normal"/>
    <w:rsid w:val="007E47AF"/>
    <w:pPr>
      <w:spacing w:after="120"/>
      <w:ind w:left="1440" w:right="1440"/>
    </w:pPr>
  </w:style>
  <w:style w:type="character" w:customStyle="1" w:styleId="Subscript">
    <w:name w:val="Subscript"/>
    <w:basedOn w:val="DefaultParagraphFont"/>
    <w:rsid w:val="007E47AF"/>
    <w:rPr>
      <w:sz w:val="16"/>
      <w:vertAlign w:val="subscript"/>
    </w:rPr>
  </w:style>
  <w:style w:type="character" w:customStyle="1" w:styleId="Superscript">
    <w:name w:val="Superscript"/>
    <w:basedOn w:val="DefaultParagraphFont"/>
    <w:rsid w:val="007E47AF"/>
    <w:rPr>
      <w:sz w:val="16"/>
      <w:vertAlign w:val="superscript"/>
    </w:rPr>
  </w:style>
  <w:style w:type="character" w:customStyle="1" w:styleId="Symbols">
    <w:name w:val="Symbols"/>
    <w:basedOn w:val="DefaultParagraphFont"/>
    <w:rsid w:val="007E47AF"/>
    <w:rPr>
      <w:rFonts w:ascii="Symbol" w:hAnsi="Symbol"/>
    </w:rPr>
  </w:style>
  <w:style w:type="character" w:customStyle="1" w:styleId="MenuOptions">
    <w:name w:val="Menu Options"/>
    <w:basedOn w:val="DefaultParagraphFont"/>
    <w:rsid w:val="007E47AF"/>
    <w:rPr>
      <w:rFonts w:ascii="Arial Narrow" w:hAnsi="Arial Narrow"/>
      <w:smallCaps/>
    </w:rPr>
  </w:style>
  <w:style w:type="character" w:customStyle="1" w:styleId="Buttons">
    <w:name w:val="Buttons"/>
    <w:basedOn w:val="DefaultParagraphFont"/>
    <w:rsid w:val="007E47AF"/>
    <w:rPr>
      <w:b/>
    </w:rPr>
  </w:style>
  <w:style w:type="character" w:customStyle="1" w:styleId="Underlined">
    <w:name w:val="Underlined"/>
    <w:basedOn w:val="DefaultParagraphFont"/>
    <w:rsid w:val="007E47AF"/>
    <w:rPr>
      <w:u w:val="single"/>
    </w:rPr>
  </w:style>
  <w:style w:type="paragraph" w:customStyle="1" w:styleId="TableBodyTextRight">
    <w:name w:val="Table Body Text Right"/>
    <w:basedOn w:val="TableBodyText"/>
    <w:rsid w:val="007E47AF"/>
    <w:pPr>
      <w:widowControl w:val="0"/>
      <w:autoSpaceDE w:val="0"/>
      <w:autoSpaceDN w:val="0"/>
      <w:adjustRightInd w:val="0"/>
      <w:jc w:val="right"/>
    </w:pPr>
    <w:rPr>
      <w:rFonts w:cs="Arial"/>
      <w:szCs w:val="18"/>
    </w:rPr>
  </w:style>
  <w:style w:type="paragraph" w:customStyle="1" w:styleId="CopyrightText">
    <w:name w:val="Copyright Text"/>
    <w:basedOn w:val="BodyText"/>
    <w:rsid w:val="007E47AF"/>
    <w:rPr>
      <w:sz w:val="18"/>
    </w:rPr>
  </w:style>
  <w:style w:type="paragraph" w:customStyle="1" w:styleId="BodySmallRight">
    <w:name w:val="Body Small Right"/>
    <w:basedOn w:val="BodyTextRight"/>
    <w:rsid w:val="007E47AF"/>
    <w:rPr>
      <w:sz w:val="18"/>
      <w:szCs w:val="18"/>
    </w:rPr>
  </w:style>
  <w:style w:type="paragraph" w:customStyle="1" w:styleId="MarginEdition">
    <w:name w:val="Margin Edition"/>
    <w:basedOn w:val="MarginNote"/>
    <w:rsid w:val="007E47AF"/>
    <w:pPr>
      <w:spacing w:before="0" w:after="0"/>
    </w:pPr>
    <w:rPr>
      <w:rFonts w:ascii="Times New Roman" w:hAnsi="Times New Roman"/>
      <w:color w:val="999999"/>
    </w:rPr>
  </w:style>
  <w:style w:type="paragraph" w:customStyle="1" w:styleId="Spacer">
    <w:name w:val="Spacer"/>
    <w:basedOn w:val="Normal"/>
    <w:rsid w:val="007E47AF"/>
    <w:rPr>
      <w:sz w:val="2"/>
      <w:szCs w:val="2"/>
    </w:rPr>
  </w:style>
  <w:style w:type="character" w:customStyle="1" w:styleId="Small">
    <w:name w:val="Small"/>
    <w:basedOn w:val="DefaultParagraphFont"/>
    <w:rsid w:val="007E47AF"/>
    <w:rPr>
      <w:sz w:val="16"/>
    </w:rPr>
  </w:style>
  <w:style w:type="paragraph" w:customStyle="1" w:styleId="WideTable">
    <w:name w:val="Wide Table"/>
    <w:basedOn w:val="Normal"/>
    <w:rsid w:val="007E47AF"/>
    <w:pPr>
      <w:ind w:left="-1418"/>
    </w:pPr>
    <w:rPr>
      <w:sz w:val="2"/>
      <w:szCs w:val="2"/>
    </w:rPr>
  </w:style>
  <w:style w:type="character" w:styleId="PageNumber">
    <w:name w:val="page number"/>
    <w:basedOn w:val="DefaultParagraphFont"/>
    <w:rsid w:val="007E47AF"/>
  </w:style>
  <w:style w:type="paragraph" w:styleId="Quote">
    <w:name w:val="Quote"/>
    <w:basedOn w:val="Heading1"/>
    <w:link w:val="QuoteChar"/>
    <w:qFormat/>
    <w:rsid w:val="007E47AF"/>
    <w:rPr>
      <w:b w:val="0"/>
      <w:sz w:val="72"/>
      <w:szCs w:val="72"/>
      <w:lang w:val="en-NZ"/>
    </w:rPr>
  </w:style>
  <w:style w:type="character" w:customStyle="1" w:styleId="QuoteChar">
    <w:name w:val="Quote Char"/>
    <w:basedOn w:val="DefaultParagraphFont"/>
    <w:link w:val="Quote"/>
    <w:rsid w:val="007E47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47AF"/>
    <w:pPr>
      <w:pageBreakBefore/>
    </w:pPr>
  </w:style>
  <w:style w:type="paragraph" w:customStyle="1" w:styleId="Border">
    <w:name w:val="Border"/>
    <w:basedOn w:val="Normal"/>
    <w:qFormat/>
    <w:rsid w:val="007E47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47AF"/>
    <w:rPr>
      <w:b/>
      <w:bCs/>
      <w:i/>
      <w:iCs/>
      <w:color w:val="auto"/>
    </w:rPr>
  </w:style>
  <w:style w:type="paragraph" w:styleId="IntenseQuote">
    <w:name w:val="Intense Quote"/>
    <w:basedOn w:val="Normal"/>
    <w:next w:val="Normal"/>
    <w:link w:val="IntenseQuoteChar"/>
    <w:uiPriority w:val="30"/>
    <w:qFormat/>
    <w:rsid w:val="007E47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47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47AF"/>
    <w:rPr>
      <w:smallCaps/>
      <w:color w:val="auto"/>
      <w:u w:val="single"/>
    </w:rPr>
  </w:style>
  <w:style w:type="character" w:styleId="IntenseReference">
    <w:name w:val="Intense Reference"/>
    <w:basedOn w:val="DefaultParagraphFont"/>
    <w:uiPriority w:val="32"/>
    <w:qFormat/>
    <w:rsid w:val="007E47AF"/>
    <w:rPr>
      <w:b/>
      <w:bCs/>
      <w:smallCaps/>
      <w:color w:val="auto"/>
      <w:spacing w:val="5"/>
      <w:u w:val="single"/>
    </w:rPr>
  </w:style>
  <w:style w:type="paragraph" w:customStyle="1" w:styleId="2ColumnHeading">
    <w:name w:val="2Column Heading"/>
    <w:basedOn w:val="BodyText"/>
    <w:qFormat/>
    <w:rsid w:val="007E47AF"/>
    <w:pPr>
      <w:spacing w:after="60"/>
      <w:ind w:left="-2268"/>
    </w:pPr>
    <w:rPr>
      <w:b/>
    </w:rPr>
  </w:style>
  <w:style w:type="paragraph" w:customStyle="1" w:styleId="Heading1TOC">
    <w:name w:val="Heading1 TOC"/>
    <w:basedOn w:val="Normal"/>
    <w:qFormat/>
    <w:rsid w:val="007E47AF"/>
    <w:pPr>
      <w:spacing w:before="240" w:after="120"/>
    </w:pPr>
    <w:rPr>
      <w:rFonts w:ascii="Times New Roman" w:hAnsi="Times New Roman"/>
      <w:b/>
      <w:sz w:val="32"/>
    </w:rPr>
  </w:style>
  <w:style w:type="paragraph" w:customStyle="1" w:styleId="Heading2TOC">
    <w:name w:val="Heading2 TOC"/>
    <w:basedOn w:val="Normal"/>
    <w:qFormat/>
    <w:rsid w:val="007E47AF"/>
    <w:pPr>
      <w:spacing w:before="240" w:after="60"/>
    </w:pPr>
    <w:rPr>
      <w:rFonts w:ascii="Times New Roman" w:hAnsi="Times New Roman"/>
      <w:b/>
      <w:sz w:val="28"/>
    </w:rPr>
  </w:style>
  <w:style w:type="character" w:customStyle="1" w:styleId="Underline">
    <w:name w:val="Underline"/>
    <w:basedOn w:val="DefaultParagraphFont"/>
    <w:qFormat/>
    <w:rsid w:val="007E47AF"/>
    <w:rPr>
      <w:u w:val="single"/>
    </w:rPr>
  </w:style>
  <w:style w:type="character" w:customStyle="1" w:styleId="BoldandItalics">
    <w:name w:val="Bold and Italics"/>
    <w:qFormat/>
    <w:rsid w:val="007E47AF"/>
    <w:rPr>
      <w:b/>
      <w:i/>
      <w:u w:val="none"/>
    </w:rPr>
  </w:style>
  <w:style w:type="paragraph" w:styleId="BalloonText">
    <w:name w:val="Balloon Text"/>
    <w:basedOn w:val="Normal"/>
    <w:link w:val="BalloonTextChar"/>
    <w:rsid w:val="007E47AF"/>
    <w:rPr>
      <w:rFonts w:ascii="Tahoma" w:hAnsi="Tahoma" w:cs="Tahoma"/>
      <w:sz w:val="16"/>
      <w:szCs w:val="16"/>
    </w:rPr>
  </w:style>
  <w:style w:type="character" w:customStyle="1" w:styleId="BalloonTextChar">
    <w:name w:val="Balloon Text Char"/>
    <w:basedOn w:val="DefaultParagraphFont"/>
    <w:link w:val="BalloonText"/>
    <w:rsid w:val="007E47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47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47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47AF"/>
    <w:rPr>
      <w:b/>
      <w:color w:val="660033"/>
      <w:spacing w:val="0"/>
    </w:rPr>
  </w:style>
  <w:style w:type="paragraph" w:customStyle="1" w:styleId="Nameditemlist">
    <w:name w:val="Named item list"/>
    <w:basedOn w:val="BodyText"/>
    <w:qFormat/>
    <w:rsid w:val="007E47A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2128</Words>
  <Characters>13038</Characters>
  <Application>Microsoft Office Word</Application>
  <DocSecurity>0</DocSecurity>
  <Lines>543</Lines>
  <Paragraphs>238</Paragraphs>
  <ScaleCrop>false</ScaleCrop>
  <Company>Author-it Software Corporation Ltd.</Company>
  <LinksUpToDate>false</LinksUpToDate>
  <CharactersWithSpaces>14984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UEPMNT442A Maintain wind turbine generator electrical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2013-03-14T22:43:00Z</dcterms:created>
  <dcterms:modified xsi:type="dcterms:W3CDTF">2013-03-14T22:43:00Z</dcterms:modified>
</cp:coreProperties>
</file>