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2DF" w:rsidP="007262DF">
      <w:pPr>
        <w:pStyle w:val="Title"/>
      </w:pPr>
      <w:bookmarkStart w:id="0" w:name="_GoBack"/>
      <w:bookmarkEnd w:id="0"/>
      <w:r>
        <w:fldChar w:fldCharType="begin"/>
      </w:r>
      <w:r>
        <w:instrText xml:space="preserve"> TITLE   \* MERGEFORMAT </w:instrText>
      </w:r>
      <w:r>
        <w:fldChar w:fldCharType="separate"/>
      </w:r>
      <w:r>
        <w:t>UEPMNT429B Modify electronic instrumentation equipment</w:t>
      </w:r>
      <w:r>
        <w:fldChar w:fldCharType="end"/>
      </w:r>
    </w:p>
    <w:p w:rsidR="007262DF" w:rsidP="007262DF">
      <w:pPr>
        <w:pStyle w:val="Version"/>
        <w:sectPr w:rsidSect="00C201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13D" w:rsidP="00C2013D">
      <w:pPr>
        <w:pStyle w:val="SuperHeading"/>
      </w:pPr>
      <w:r w:rsidRPr="00C2013D">
        <w:t>UEPMNT429B Modify electronic instrumentation equipment</w:t>
      </w:r>
    </w:p>
    <w:p w:rsidR="00000000" w:rsidRPr="00C2013D" w:rsidP="00C2013D">
      <w:pPr>
        <w:pStyle w:val="Heading1"/>
      </w:pPr>
      <w:bookmarkStart w:id="1" w:name="O_470588"/>
      <w:bookmarkEnd w:id="1"/>
      <w:r w:rsidRPr="00C2013D">
        <w:t>Modification History</w:t>
      </w:r>
    </w:p>
    <w:p w:rsidR="00000000" w:rsidRPr="00C2013D" w:rsidP="00C2013D">
      <w:pPr>
        <w:pStyle w:val="BodyText"/>
      </w:pPr>
      <w:r w:rsidRPr="00C2013D">
        <w:t>Not applicable.</w:t>
      </w:r>
    </w:p>
    <w:p w:rsidR="00000000" w:rsidRPr="00C2013D" w:rsidP="00C2013D">
      <w:pPr>
        <w:pStyle w:val="AllowPageBreak"/>
      </w:pPr>
    </w:p>
    <w:p w:rsidR="00000000" w:rsidRPr="00C2013D" w:rsidP="00C2013D">
      <w:pPr>
        <w:pStyle w:val="Heading1"/>
      </w:pPr>
      <w:bookmarkStart w:id="2" w:name="O_470586"/>
      <w:bookmarkEnd w:id="2"/>
      <w:r w:rsidRPr="00C2013D">
        <w:t>Unit Descriptor</w:t>
      </w:r>
    </w:p>
    <w:tbl>
      <w:tblPr>
        <w:tblW w:w="0" w:type="auto"/>
        <w:tblLayout w:type="fixed"/>
        <w:tblCellMar>
          <w:left w:w="62" w:type="dxa"/>
          <w:right w:w="62" w:type="dxa"/>
        </w:tblCellMar>
        <w:tblLook w:val="0000"/>
      </w:tblPr>
      <w:tblGrid>
        <w:gridCol w:w="2700"/>
        <w:gridCol w:w="5760"/>
      </w:tblGrid>
      <w:tr w:rsidTr="007262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1)</w:t>
            </w:r>
            <w:r w:rsidRPr="00C2013D">
              <w:t xml:space="preserve"> </w:t>
            </w:r>
            <w:r w:rsidRPr="00C2013D">
              <w:rPr>
                <w:rStyle w:val="SpecialBold"/>
              </w:rPr>
              <w:t>Scope:</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013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1.1) Descriptor</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This unit deals with the skills and knowledge required to conduct modification of electronic equipment including, but not limited to, process control instrumentation, power grid energy control, supervisory instrumentation, security equipment (CCTV).</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3" w:name="O_470575"/>
      <w:bookmarkEnd w:id="3"/>
      <w:r w:rsidRPr="00C2013D">
        <w:t>Application of the Unit</w:t>
      </w:r>
    </w:p>
    <w:tbl>
      <w:tblPr>
        <w:tblW w:w="0" w:type="auto"/>
        <w:tblLayout w:type="fixed"/>
        <w:tblCellMar>
          <w:left w:w="62" w:type="dxa"/>
          <w:right w:w="62" w:type="dxa"/>
        </w:tblCellMar>
        <w:tblLook w:val="0000"/>
      </w:tblPr>
      <w:tblGrid>
        <w:gridCol w:w="2672"/>
        <w:gridCol w:w="5699"/>
      </w:tblGrid>
      <w:tr w:rsidTr="007262D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2)</w:t>
            </w:r>
          </w:p>
        </w:tc>
      </w:tr>
      <w:tr w:rsidTr="007262D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This unit is intended to augment formally acquired competencies. It is suitable for employment-based programs under an approved contract of training.</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4" w:name="O_470582"/>
      <w:bookmarkEnd w:id="4"/>
      <w:r w:rsidRPr="00C2013D">
        <w:t>Licensing/Regulatory Information</w:t>
      </w:r>
    </w:p>
    <w:tbl>
      <w:tblPr>
        <w:tblW w:w="0" w:type="auto"/>
        <w:tblLayout w:type="fixed"/>
        <w:tblCellMar>
          <w:left w:w="62" w:type="dxa"/>
          <w:right w:w="62" w:type="dxa"/>
        </w:tblCellMar>
        <w:tblLook w:val="0000"/>
      </w:tblPr>
      <w:tblGrid>
        <w:gridCol w:w="2700"/>
        <w:gridCol w:w="5760"/>
      </w:tblGrid>
      <w:tr w:rsidTr="007262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 xml:space="preserve">3) </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The skills and knowledge described in this unit do not require a licence to practise in the workplace. However, practice in this unit is subject to regulations directly related to Occupational Heal</w:t>
            </w:r>
            <w:r w:rsidRPr="00C2013D">
              <w:t>th and Safety and where applicable contracts of training such as apprenticeships and the like.</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5" w:name="O_470583"/>
      <w:bookmarkEnd w:id="5"/>
      <w:r w:rsidRPr="00C2013D">
        <w:t>Pre-Requisites</w:t>
      </w:r>
    </w:p>
    <w:tbl>
      <w:tblPr>
        <w:tblW w:w="0" w:type="auto"/>
        <w:tblLayout w:type="fixed"/>
        <w:tblCellMar>
          <w:left w:w="62" w:type="dxa"/>
          <w:right w:w="62" w:type="dxa"/>
        </w:tblCellMar>
        <w:tblLook w:val="0000"/>
      </w:tblPr>
      <w:tblGrid>
        <w:gridCol w:w="2700"/>
        <w:gridCol w:w="2068"/>
        <w:gridCol w:w="3696"/>
      </w:tblGrid>
      <w:tr w:rsidTr="007262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 xml:space="preserve">4) </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4.1)</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Granting of competency in this unit shall be made only after competency in the following unit(s) has/have been confirmed.</w:t>
            </w:r>
          </w:p>
          <w:p w:rsidR="00000000" w:rsidRPr="00C2013D" w:rsidP="00C2013D">
            <w:pPr>
              <w:pStyle w:val="BodyText"/>
            </w:pPr>
            <w:r w:rsidRPr="00C2013D">
              <w:t>Where pre-requisite pathways have been identified. All competencies in the Common Unit Group must be have been completed.</w:t>
            </w:r>
          </w:p>
          <w:p w:rsidR="00000000" w:rsidP="00C2013D">
            <w:pPr>
              <w:pStyle w:val="BodyText"/>
              <w:rPr>
                <w:lang w:val="en-NZ"/>
              </w:rPr>
            </w:pPr>
            <w:r w:rsidRPr="00C2013D">
              <w:t xml:space="preserve">Common Unit </w:t>
            </w:r>
            <w:r w:rsidRPr="00C2013D">
              <w:t>Group</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Unit Code</w:t>
            </w:r>
            <w:r w:rsidRPr="00C2013D">
              <w:tab/>
            </w:r>
          </w:p>
        </w:tc>
        <w:tc>
          <w:tcPr>
            <w:tcW w:w="3696"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Unit Title</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UEPMNT356B</w:t>
            </w:r>
          </w:p>
        </w:tc>
        <w:tc>
          <w:tcPr>
            <w:tcW w:w="3696"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Maintain instrumentation equipment</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UEENEEI001B</w:t>
            </w:r>
          </w:p>
        </w:tc>
        <w:tc>
          <w:tcPr>
            <w:tcW w:w="3696"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Install and set up transducers and sensing devices</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UEENEEE002B</w:t>
            </w:r>
          </w:p>
        </w:tc>
        <w:tc>
          <w:tcPr>
            <w:tcW w:w="3696"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Dismantle, assemble and fabricate electrotechnology components</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UEENEEE005B</w:t>
            </w:r>
          </w:p>
        </w:tc>
        <w:tc>
          <w:tcPr>
            <w:tcW w:w="3696"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Fix and secure equip</w:t>
            </w:r>
            <w:r w:rsidRPr="00C2013D">
              <w:t>ment</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UEENEEE007B</w:t>
            </w:r>
          </w:p>
        </w:tc>
        <w:tc>
          <w:tcPr>
            <w:tcW w:w="3696"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Use drawings, diagrams, schedules and manuals</w:t>
            </w:r>
          </w:p>
        </w:tc>
      </w:tr>
    </w:tbl>
    <w:p w:rsidR="00000000" w:rsidRPr="00C2013D" w:rsidP="00C2013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262D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 xml:space="preserve">4.2) </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 xml:space="preserve">Participants are best equipped to achieve this unit if they have reading, writing and numeracy skills indicated by the following levels. A </w:t>
            </w:r>
            <w:r w:rsidRPr="00C2013D">
              <w:t>description of what each level entails is provided in Section 2.3.1 Language, Literacy and Numeracy.</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Reading</w:t>
            </w:r>
          </w:p>
        </w:tc>
        <w:tc>
          <w:tcPr>
            <w:tcW w:w="81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4</w:t>
            </w:r>
          </w:p>
        </w:tc>
        <w:tc>
          <w:tcPr>
            <w:tcW w:w="99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Writing</w:t>
            </w: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4</w:t>
            </w:r>
          </w:p>
        </w:tc>
        <w:tc>
          <w:tcPr>
            <w:tcW w:w="12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Numeracy</w:t>
            </w:r>
          </w:p>
        </w:tc>
        <w:tc>
          <w:tcPr>
            <w:tcW w:w="72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4</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6" w:name="O_470579"/>
      <w:bookmarkEnd w:id="6"/>
      <w:r w:rsidRPr="00C2013D">
        <w:t>Employability Skills Information</w:t>
      </w:r>
    </w:p>
    <w:tbl>
      <w:tblPr>
        <w:tblW w:w="0" w:type="auto"/>
        <w:tblLayout w:type="fixed"/>
        <w:tblCellMar>
          <w:left w:w="62" w:type="dxa"/>
          <w:right w:w="62" w:type="dxa"/>
        </w:tblCellMar>
        <w:tblLook w:val="0000"/>
      </w:tblPr>
      <w:tblGrid>
        <w:gridCol w:w="2700"/>
        <w:gridCol w:w="5760"/>
      </w:tblGrid>
      <w:tr w:rsidTr="007262DF">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 xml:space="preserve">5) </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2013D">
              <w:t>requirements.</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7" w:name="O_470578"/>
      <w:bookmarkEnd w:id="7"/>
      <w:r w:rsidRPr="00C2013D">
        <w:t>Elements and Performance Criteria Pre-Content</w:t>
      </w:r>
    </w:p>
    <w:tbl>
      <w:tblPr>
        <w:tblW w:w="0" w:type="auto"/>
        <w:tblLayout w:type="fixed"/>
        <w:tblCellMar>
          <w:left w:w="62" w:type="dxa"/>
          <w:right w:w="62" w:type="dxa"/>
        </w:tblCellMar>
        <w:tblLook w:val="0000"/>
      </w:tblPr>
      <w:tblGrid>
        <w:gridCol w:w="2700"/>
        <w:gridCol w:w="5760"/>
      </w:tblGrid>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6)</w:t>
            </w:r>
            <w:r w:rsidRPr="00C2013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Performance Criteria describe the required performance needed to demonstrate achievement of the element</w:t>
            </w:r>
            <w:r w:rsidRPr="00C2013D">
              <w:t>. Assessment of performance is to be consistent with the Evidence Guide.</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8" w:name="O_470577"/>
      <w:bookmarkEnd w:id="8"/>
      <w:r w:rsidRPr="00C2013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262D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PERFORMANCE CRITERIA</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w:t>
            </w:r>
          </w:p>
        </w:tc>
        <w:tc>
          <w:tcPr>
            <w:tcW w:w="2296" w:type="dxa"/>
            <w:vMerge w:val="restart"/>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1.1</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Work requirements are identified from request/work orders or equivalent and clarified/confirmed with appropriate parties or by site inspection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1.2</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 xml:space="preserve">Occupational Health and Safety standards, statutory requirements, relevant Australian standards, codes of </w:t>
            </w:r>
            <w:r w:rsidRPr="00C2013D">
              <w:t>practice, manufacturers’ specifications, environmental requirements and enterprise procedures are identified, applied and monitored throughout the work procedure</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1.3</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Resources required to satisfy the work plan are identified, obtained and inspected for compliance with the job specifications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1.4</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Relevant plans, drawings and texts are selected and interpreted in accordance with the work plan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1.5</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 xml:space="preserve">Correct size, type </w:t>
            </w:r>
            <w:r w:rsidRPr="00C2013D">
              <w:t>and quantity of materials/components are determined, obtained and inspected for compliance with the job specifications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1.6</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Work is planned in detail including sequencing and prioritising and considerations made where appropriate for the maintenance of p</w:t>
            </w:r>
            <w:r w:rsidRPr="00C2013D">
              <w:t>lant security and capacity in accordance with system/site requirements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1.7</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Coordination requirements, including requests for isolations where appropriate, are resolved with others involved, affected or required by the work</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1.8</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Potential hazards are identified and prevention and/or control measures are selected in accordance with the work plan and site procedures.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1.9</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Work area is prepared in accordance with work requirements and site procedures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1.10</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 xml:space="preserve">Where appropriate, the </w:t>
            </w:r>
            <w:r w:rsidRPr="00C2013D">
              <w:t xml:space="preserve">teams and individuals roles and responsibilities within the team are identified and, where required, assist in the provision of the on-the-job training </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w:t>
            </w:r>
          </w:p>
        </w:tc>
        <w:tc>
          <w:tcPr>
            <w:tcW w:w="2296" w:type="dxa"/>
            <w:vMerge w:val="restart"/>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Carry out modification</w:t>
            </w: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2.1</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Required isolations are confirmed where appropriate in accordance with site requirements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2.2</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Equipment is modified using appropriate plans, drawings and text in accordance with the work plan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2.3</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Equipment is modified in conjunction with others involv</w:t>
            </w:r>
            <w:r w:rsidRPr="00C2013D">
              <w:t>ed in, or affected by, the work in accordance with the work plan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2.4</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Modifications are carried out mindful of effects on, or unnecessary loss of, other equipment in accordance with the work plan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2.5</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Modified equipment is set up to suit operational requirements and in accordance with manufacturer specifications  and the work plan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2.6</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Final job inspection is performed and permits relinquished as required in accordance with the work plan.</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3</w:t>
            </w:r>
          </w:p>
        </w:tc>
        <w:tc>
          <w:tcPr>
            <w:tcW w:w="2296" w:type="dxa"/>
            <w:vMerge w:val="restart"/>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 xml:space="preserve">Complete </w:t>
            </w:r>
            <w:r w:rsidRPr="00C2013D">
              <w:t>the work</w:t>
            </w: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3.1</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Work is completed and appropriate personnel notified in accordance with site/enterprise requirements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3.2</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Work area is cleared of waste, cleaned, restored and secured in accordance with site/enterprise procedures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3.3</w:t>
            </w:r>
          </w:p>
        </w:tc>
        <w:tc>
          <w:tcPr>
            <w:tcW w:w="48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Plant, tools and equipment are maintained and stored in accordance with site/enterprise procedures</w:t>
            </w:r>
          </w:p>
        </w:tc>
      </w:tr>
      <w:tr w:rsidTr="007262D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t>3.4</w:t>
            </w:r>
          </w:p>
        </w:tc>
        <w:tc>
          <w:tcPr>
            <w:tcW w:w="48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Work completion details are finalised in accordance with site/enterprise procedures</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9" w:name="O_470585"/>
      <w:bookmarkEnd w:id="9"/>
      <w:r w:rsidRPr="00C2013D">
        <w:t>Required Skills and Knowledge</w:t>
      </w:r>
    </w:p>
    <w:tbl>
      <w:tblPr>
        <w:tblW w:w="0" w:type="auto"/>
        <w:tblLayout w:type="fixed"/>
        <w:tblCellMar>
          <w:left w:w="62" w:type="dxa"/>
          <w:right w:w="62" w:type="dxa"/>
        </w:tblCellMar>
        <w:tblLook w:val="0000"/>
      </w:tblPr>
      <w:tblGrid>
        <w:gridCol w:w="8460"/>
      </w:tblGrid>
      <w:tr w:rsidTr="007262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REQUIRED SKILLS AND KNOWLEDGE</w:t>
            </w:r>
          </w:p>
        </w:tc>
      </w:tr>
      <w:tr w:rsidTr="007262D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8)</w:t>
            </w:r>
            <w:r w:rsidRPr="00C2013D">
              <w:t xml:space="preserve"> This describes the Essential Skills and Knowledge and their level, required for this unit.</w:t>
            </w:r>
          </w:p>
          <w:p w:rsidR="00000000" w:rsidRPr="00C2013D" w:rsidP="00C2013D">
            <w:pPr>
              <w:pStyle w:val="BodyText"/>
            </w:pPr>
            <w:r w:rsidRPr="00C2013D">
              <w:t>Evidence shall show that knowledge has been acquired modifying electronic instrumentation equipment.</w:t>
            </w:r>
          </w:p>
          <w:p w:rsidR="00000000" w:rsidRPr="00C2013D" w:rsidP="00C2013D">
            <w:pPr>
              <w:pStyle w:val="BodyText"/>
            </w:pPr>
            <w:r w:rsidRPr="00C2013D">
              <w:t>All knowledge and skills detai</w:t>
            </w:r>
            <w:r w:rsidRPr="00C2013D">
              <w:t>led in this unit should be contextualised to current industry practices and technologies.</w:t>
            </w:r>
          </w:p>
          <w:p w:rsidR="00000000" w:rsidRPr="00C2013D" w:rsidP="00C2013D">
            <w:pPr>
              <w:pStyle w:val="BodyText"/>
            </w:pPr>
            <w:r w:rsidRPr="00C2013D">
              <w:t>The extent of the Essential Knowledge and Associated Skills required follows:</w:t>
            </w:r>
          </w:p>
          <w:p w:rsidR="00000000" w:rsidRPr="00C2013D" w:rsidP="00C2013D">
            <w:pPr>
              <w:pStyle w:val="BodyText"/>
            </w:pPr>
            <w:r w:rsidRPr="00C2013D">
              <w:t>KS01-PM429B</w:t>
            </w:r>
            <w:r w:rsidRPr="00C2013D">
              <w:tab/>
              <w:t xml:space="preserve">  Modify electronic instrumentation equipment</w:t>
            </w:r>
          </w:p>
          <w:p w:rsidR="00000000" w:rsidRPr="00C2013D" w:rsidP="00C2013D">
            <w:pPr>
              <w:pStyle w:val="BodyText"/>
            </w:pPr>
            <w:r w:rsidRPr="00C2013D">
              <w:t>T1 Evidence shall show that kn</w:t>
            </w:r>
            <w:r w:rsidRPr="00C2013D">
              <w:t>owledge has been acquired for safe working practices of:</w:t>
            </w:r>
          </w:p>
          <w:p w:rsidR="00000000" w:rsidRPr="00C2013D" w:rsidP="00C2013D">
            <w:pPr>
              <w:pStyle w:val="ListBullet"/>
            </w:pPr>
            <w:r w:rsidRPr="00C2013D">
              <w:t>Relevant Environmental, Occupational Health and Safety legislation and  regulations</w:t>
            </w:r>
          </w:p>
          <w:p w:rsidR="00000000" w:rsidRPr="00C2013D" w:rsidP="00C2013D">
            <w:pPr>
              <w:pStyle w:val="ListBullet"/>
            </w:pPr>
            <w:r w:rsidRPr="00C2013D">
              <w:t>Relevant plant and equipment, its location and operation</w:t>
            </w:r>
          </w:p>
          <w:p w:rsidR="00000000" w:rsidRPr="00C2013D" w:rsidP="00C2013D">
            <w:pPr>
              <w:pStyle w:val="ListBullet"/>
            </w:pPr>
            <w:r w:rsidRPr="00C2013D">
              <w:t>Technical drawings and manufacturers manuals</w:t>
            </w:r>
          </w:p>
          <w:p w:rsidR="00000000" w:rsidRPr="00C2013D" w:rsidP="00C2013D">
            <w:pPr>
              <w:pStyle w:val="ListBullet"/>
            </w:pPr>
            <w:r w:rsidRPr="00C2013D">
              <w:t>Introduction to and typical arrangements of power production plant</w:t>
            </w:r>
          </w:p>
          <w:p w:rsidR="00000000" w:rsidRPr="00C2013D" w:rsidP="00C2013D">
            <w:pPr>
              <w:pStyle w:val="ListBullet"/>
            </w:pPr>
            <w:r w:rsidRPr="00C2013D">
              <w:t>Relevant state and territory regulations</w:t>
            </w:r>
          </w:p>
          <w:p w:rsidR="00000000" w:rsidRPr="00C2013D" w:rsidP="00C2013D">
            <w:pPr>
              <w:pStyle w:val="ListBullet"/>
            </w:pPr>
            <w:r w:rsidRPr="00C2013D">
              <w:t>Instrumentation principles and practices</w:t>
            </w:r>
          </w:p>
          <w:p w:rsidR="00000000" w:rsidRPr="00C2013D" w:rsidP="00C2013D">
            <w:pPr>
              <w:pStyle w:val="ListBullet"/>
            </w:pPr>
            <w:r w:rsidRPr="00C2013D">
              <w:t>Instrument calibration techniques</w:t>
            </w:r>
          </w:p>
          <w:p w:rsidR="00000000" w:rsidRPr="00C2013D" w:rsidP="00C2013D">
            <w:pPr>
              <w:pStyle w:val="ListBullet"/>
            </w:pPr>
            <w:r w:rsidRPr="00C2013D">
              <w:t>Electronic principles</w:t>
            </w:r>
          </w:p>
          <w:p w:rsidR="00000000" w:rsidRPr="00C2013D" w:rsidP="00C2013D">
            <w:pPr>
              <w:pStyle w:val="ListBullet"/>
            </w:pPr>
            <w:r w:rsidRPr="00C2013D">
              <w:t>Relevant Australian standards</w:t>
            </w:r>
          </w:p>
          <w:p w:rsidR="00000000" w:rsidRPr="00C2013D" w:rsidP="00C2013D">
            <w:pPr>
              <w:pStyle w:val="ListBullet"/>
            </w:pPr>
            <w:r w:rsidRPr="00C2013D">
              <w:t>Equipment and materia</w:t>
            </w:r>
            <w:r w:rsidRPr="00C2013D">
              <w:t>l required to perform the work</w:t>
            </w:r>
          </w:p>
          <w:p w:rsidR="00000000" w:rsidRPr="00C2013D" w:rsidP="00C2013D">
            <w:pPr>
              <w:pStyle w:val="ListBullet"/>
            </w:pPr>
            <w:r w:rsidRPr="00C2013D">
              <w:t>Isolation procedures</w:t>
            </w:r>
          </w:p>
          <w:p w:rsidR="00000000" w:rsidRPr="00C2013D" w:rsidP="00C2013D">
            <w:pPr>
              <w:pStyle w:val="ListBullet"/>
            </w:pPr>
            <w:r w:rsidRPr="00C2013D">
              <w:t>Modification techniques</w:t>
            </w:r>
          </w:p>
          <w:p w:rsidR="00000000" w:rsidRPr="00C2013D" w:rsidP="00C2013D">
            <w:pPr>
              <w:pStyle w:val="ListBullet"/>
            </w:pPr>
            <w:r w:rsidRPr="00C2013D">
              <w:t>Regulatory aspects</w:t>
            </w:r>
          </w:p>
          <w:p w:rsidR="00000000" w:rsidRPr="00C2013D" w:rsidP="00C2013D">
            <w:pPr>
              <w:pStyle w:val="ListBullet"/>
            </w:pPr>
            <w:r w:rsidRPr="00C2013D">
              <w:t>Electrical fundamentals</w:t>
            </w:r>
          </w:p>
          <w:p w:rsidR="00000000" w:rsidRPr="00C2013D" w:rsidP="00C2013D">
            <w:pPr>
              <w:pStyle w:val="ListBullet"/>
            </w:pPr>
            <w:r w:rsidRPr="00C2013D">
              <w:t>Test and measurement instruments</w:t>
            </w:r>
          </w:p>
          <w:p w:rsidR="00000000" w:rsidRPr="00C2013D" w:rsidP="00C2013D">
            <w:pPr>
              <w:pStyle w:val="ListBullet"/>
            </w:pPr>
            <w:r w:rsidRPr="00C2013D">
              <w:t>Engineering and electronic workshop practice</w:t>
            </w:r>
          </w:p>
          <w:p w:rsidR="00000000" w:rsidRPr="00C2013D" w:rsidP="00C2013D">
            <w:pPr>
              <w:pStyle w:val="ListBullet"/>
            </w:pPr>
            <w:r w:rsidRPr="00C2013D">
              <w:t>Distributed control systems</w:t>
            </w:r>
          </w:p>
          <w:p w:rsidR="00000000" w:rsidRPr="00C2013D" w:rsidP="00C2013D">
            <w:pPr>
              <w:pStyle w:val="ListBullet"/>
            </w:pPr>
            <w:r w:rsidRPr="00C2013D">
              <w:t xml:space="preserve">Programmable logic controller </w:t>
            </w:r>
          </w:p>
          <w:p w:rsidR="00000000" w:rsidRPr="00C2013D" w:rsidP="00C2013D">
            <w:pPr>
              <w:pStyle w:val="BodyText"/>
            </w:pPr>
            <w:r w:rsidRPr="00C2013D">
              <w:t>T2 Specific skills needed to achieve the Performance Criteria:</w:t>
            </w:r>
          </w:p>
          <w:p w:rsidR="00000000" w:rsidRPr="00C2013D" w:rsidP="00C2013D">
            <w:pPr>
              <w:pStyle w:val="ListBullet"/>
            </w:pPr>
            <w:r w:rsidRPr="00C2013D">
              <w:t>Apply Relevant Environmental, Occupational Health and Safety legislation and  regulations</w:t>
            </w:r>
          </w:p>
          <w:p w:rsidR="00000000" w:rsidRPr="00C2013D" w:rsidP="00C2013D">
            <w:pPr>
              <w:pStyle w:val="ListBullet"/>
            </w:pPr>
            <w:r w:rsidRPr="00C2013D">
              <w:t>Interpret Technical drawings and manufacturers manuals</w:t>
            </w:r>
          </w:p>
          <w:p w:rsidR="00000000" w:rsidRPr="00C2013D" w:rsidP="00C2013D">
            <w:pPr>
              <w:pStyle w:val="ListBullet"/>
            </w:pPr>
            <w:r w:rsidRPr="00C2013D">
              <w:t>Apply relevant state and territory regulations</w:t>
            </w:r>
          </w:p>
          <w:p w:rsidR="00000000" w:rsidRPr="00C2013D" w:rsidP="00C2013D">
            <w:pPr>
              <w:pStyle w:val="ListBullet"/>
            </w:pPr>
            <w:r w:rsidRPr="00C2013D">
              <w:t>Apply electronic principles</w:t>
            </w:r>
          </w:p>
          <w:p w:rsidR="00000000" w:rsidRPr="00C2013D" w:rsidP="00C2013D">
            <w:pPr>
              <w:pStyle w:val="ListBullet"/>
            </w:pPr>
            <w:r w:rsidRPr="00C2013D">
              <w:t>Apply instrumentation principles and practices</w:t>
            </w:r>
          </w:p>
          <w:p w:rsidR="00000000" w:rsidRPr="00C2013D" w:rsidP="00C2013D">
            <w:pPr>
              <w:pStyle w:val="ListBullet"/>
            </w:pPr>
            <w:r w:rsidRPr="00C2013D">
              <w:t>Apply instrument calibration techniques</w:t>
            </w:r>
          </w:p>
          <w:p w:rsidR="00000000" w:rsidRPr="00C2013D" w:rsidP="00C2013D">
            <w:pPr>
              <w:pStyle w:val="ListBullet"/>
            </w:pPr>
            <w:r w:rsidRPr="00C2013D">
              <w:t>Follow relevant statutory regulations and codes of practice</w:t>
            </w:r>
          </w:p>
          <w:p w:rsidR="00000000" w:rsidRPr="00C2013D" w:rsidP="00C2013D">
            <w:pPr>
              <w:pStyle w:val="ListBullet"/>
            </w:pPr>
            <w:r w:rsidRPr="00C2013D">
              <w:t>Apply relevant Australian standards</w:t>
            </w:r>
          </w:p>
          <w:p w:rsidR="00000000" w:rsidRPr="00C2013D" w:rsidP="00C2013D">
            <w:pPr>
              <w:pStyle w:val="ListBullet"/>
            </w:pPr>
            <w:r w:rsidRPr="00C2013D">
              <w:t>Modify instrumentation equipment</w:t>
            </w:r>
          </w:p>
          <w:p w:rsidR="00000000" w:rsidRPr="00C2013D" w:rsidP="00C2013D">
            <w:pPr>
              <w:pStyle w:val="ListBullet"/>
            </w:pPr>
            <w:r w:rsidRPr="00C2013D">
              <w:t>Use tools an</w:t>
            </w:r>
            <w:r w:rsidRPr="00C2013D">
              <w:t>d relevant equipment</w:t>
            </w:r>
          </w:p>
          <w:p w:rsidR="00000000" w:rsidRPr="00C2013D" w:rsidP="00C2013D">
            <w:pPr>
              <w:pStyle w:val="ListBullet"/>
            </w:pPr>
            <w:r w:rsidRPr="00C2013D">
              <w:t>Use test and measurement instruments</w:t>
            </w:r>
          </w:p>
          <w:p w:rsidR="00000000" w:rsidRPr="00C2013D" w:rsidP="00C2013D">
            <w:pPr>
              <w:pStyle w:val="ListBullet"/>
            </w:pPr>
            <w:r w:rsidRPr="00C2013D">
              <w:t>Identify and select materials for the job</w:t>
            </w:r>
          </w:p>
          <w:p w:rsidR="00000000" w:rsidRPr="00C2013D" w:rsidP="00C2013D">
            <w:pPr>
              <w:pStyle w:val="ListBullet"/>
            </w:pPr>
            <w:r w:rsidRPr="00C2013D">
              <w:t>Apply regulatory aspects theory</w:t>
            </w:r>
          </w:p>
          <w:p w:rsidR="00000000" w:rsidRPr="00C2013D" w:rsidP="00C2013D">
            <w:pPr>
              <w:pStyle w:val="ListBullet"/>
            </w:pPr>
            <w:r w:rsidRPr="00C2013D">
              <w:t>Apply electrical fundamentals theory</w:t>
            </w:r>
          </w:p>
          <w:p w:rsidR="00000000" w:rsidRPr="00C2013D" w:rsidP="00C2013D">
            <w:pPr>
              <w:pStyle w:val="ListBullet"/>
            </w:pPr>
            <w:r w:rsidRPr="00C2013D">
              <w:t>Carry out work completion details</w:t>
            </w:r>
          </w:p>
          <w:p w:rsidR="00000000" w:rsidRPr="00C2013D" w:rsidP="00C2013D">
            <w:pPr>
              <w:pStyle w:val="ListBullet"/>
            </w:pPr>
            <w:r w:rsidRPr="00C2013D">
              <w:t>Communicate effectively</w:t>
            </w:r>
          </w:p>
          <w:p w:rsidR="00000000" w:rsidRPr="00C2013D" w:rsidP="00C2013D">
            <w:pPr>
              <w:pStyle w:val="ListBullet"/>
            </w:pPr>
            <w:r w:rsidRPr="00C2013D">
              <w:t>Apply data analysis technique</w:t>
            </w:r>
            <w:r w:rsidRPr="00C2013D">
              <w:t>s and tools.</w:t>
            </w:r>
          </w:p>
          <w:p w:rsidR="00000000" w:rsidRPr="00C2013D" w:rsidP="00C2013D">
            <w:pPr>
              <w:pStyle w:val="ListBullet"/>
            </w:pPr>
            <w:r w:rsidRPr="00C2013D">
              <w:t>Applying engineering and electronic workshop practices.</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10" w:name="O_470580"/>
      <w:bookmarkEnd w:id="10"/>
      <w:r w:rsidRPr="00C2013D">
        <w:t>Evidence Guide</w:t>
      </w:r>
    </w:p>
    <w:tbl>
      <w:tblPr>
        <w:tblW w:w="0" w:type="auto"/>
        <w:tblLayout w:type="fixed"/>
        <w:tblCellMar>
          <w:left w:w="62" w:type="dxa"/>
          <w:right w:w="62" w:type="dxa"/>
        </w:tblCellMar>
        <w:tblLook w:val="0000"/>
      </w:tblPr>
      <w:tblGrid>
        <w:gridCol w:w="8460"/>
      </w:tblGrid>
      <w:tr w:rsidTr="007262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EVIDENCE GUIDE</w:t>
            </w:r>
          </w:p>
        </w:tc>
      </w:tr>
      <w:tr w:rsidTr="007262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9)</w:t>
            </w:r>
            <w:r w:rsidRPr="00C2013D">
              <w:t xml:space="preserve"> This provides essential advice for assessment of the competency standard unit and must be read </w:t>
            </w:r>
            <w:r w:rsidRPr="00C2013D">
              <w:t>in conjunction with the Performance Criteria and the Range Statement of unit and the Training Package Assessment Guidelines.</w:t>
            </w:r>
          </w:p>
          <w:p w:rsidR="00000000" w:rsidRPr="00C2013D" w:rsidP="00C2013D">
            <w:pPr>
              <w:pStyle w:val="BodyText"/>
            </w:pPr>
            <w:r w:rsidRPr="00C2013D">
              <w:t>The Evidence Guide forms an integral part of this competency standard unit and shall be used in conjunction with all components par</w:t>
            </w:r>
            <w:r w:rsidRPr="00C2013D">
              <w:t>ts of this unit and, performed in accordance with the Assessment Guidelines of this Training Package.</w:t>
            </w:r>
          </w:p>
        </w:tc>
      </w:tr>
    </w:tbl>
    <w:p w:rsidR="00000000" w:rsidRPr="00C2013D" w:rsidP="00C2013D">
      <w:pPr>
        <w:pStyle w:val="BodyText"/>
      </w:pPr>
    </w:p>
    <w:tbl>
      <w:tblPr>
        <w:tblW w:w="0" w:type="auto"/>
        <w:tblLayout w:type="fixed"/>
        <w:tblCellMar>
          <w:left w:w="62" w:type="dxa"/>
          <w:right w:w="62" w:type="dxa"/>
        </w:tblCellMar>
        <w:tblLook w:val="0000"/>
      </w:tblPr>
      <w:tblGrid>
        <w:gridCol w:w="1890"/>
        <w:gridCol w:w="6570"/>
      </w:tblGrid>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9.1)</w:t>
            </w:r>
          </w:p>
        </w:tc>
      </w:tr>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Longitude competency development approaches to assessment, such as Profiling, require data to be reliably gathered in a form that can be consistently interpreted over time. This approach is best utilised in Apprenticeship programs and reduces assessment in</w:t>
            </w:r>
            <w:r w:rsidRPr="00C2013D">
              <w:t>tervention. It is the Industry’s preferred model for apprenticeships. However, where summative (or final) assessment is used it is to include the application of the competency in the normal work environment or in a realistically simulated work environment.</w:t>
            </w:r>
            <w:r w:rsidRPr="00C2013D">
              <w:t xml:space="preserve"> In some circumstances, assessment in part or full can occur outside the workplace. However, it must be in accord with Industry and regulatory policy.</w:t>
            </w:r>
          </w:p>
          <w:p w:rsidR="00000000" w:rsidRPr="00C2013D" w:rsidP="00C2013D">
            <w:pPr>
              <w:pStyle w:val="BodyText"/>
            </w:pPr>
            <w:r w:rsidRPr="00C2013D">
              <w:t>Methods chosen for a particular assessment will be influenced by various factors. These include the exten</w:t>
            </w:r>
            <w:r w:rsidRPr="00C2013D">
              <w:t>t of the assessment, the most effective locations for the assessment activities to take place, access to physical resources, additional safety measures that may be required and the critical nature of the competencies being assessed.</w:t>
            </w:r>
          </w:p>
          <w:p w:rsidR="00000000" w:rsidRPr="00C2013D" w:rsidP="00C2013D">
            <w:pPr>
              <w:pStyle w:val="BodyText"/>
            </w:pPr>
            <w:r w:rsidRPr="00C2013D">
              <w:t>The critical safety nat</w:t>
            </w:r>
            <w:r w:rsidRPr="00C2013D">
              <w:t>ure of working with electricity, electrical equipment, gas or any other hazardous substance/material carries risk in deeming a person competent. Hence, sources of evidence need to be ‘rich’ in nature so as to minimise error in judgment.</w:t>
            </w:r>
          </w:p>
          <w:p w:rsidR="00000000" w:rsidRPr="00C2013D" w:rsidP="00C2013D">
            <w:pPr>
              <w:pStyle w:val="BodyText"/>
            </w:pPr>
            <w:r w:rsidRPr="00C2013D">
              <w:t>Activities associat</w:t>
            </w:r>
            <w:r w:rsidRPr="00C2013D">
              <w:t>ed with normal every day work have a bearing on the decision as to how much and how detailed the data gathered will contribute to its ‘richness’. Some skills are more critical to safety and operational requirements while the same skills may be more or less</w:t>
            </w:r>
            <w:r w:rsidRPr="00C2013D">
              <w:t xml:space="preserve"> frequently practiced. These points are raised for the assessors to consider when choosing an assessment method and developing assessment instruments. Sample assessment instruments are included in the Assessment Guidelines of this Training Package.</w:t>
            </w:r>
          </w:p>
        </w:tc>
      </w:tr>
    </w:tbl>
    <w:p w:rsidR="00000000" w:rsidRPr="00C2013D" w:rsidP="00C2013D">
      <w:pPr>
        <w:pStyle w:val="BodyText"/>
      </w:pPr>
    </w:p>
    <w:tbl>
      <w:tblPr>
        <w:tblW w:w="0" w:type="auto"/>
        <w:tblLayout w:type="fixed"/>
        <w:tblCellMar>
          <w:left w:w="62" w:type="dxa"/>
          <w:right w:w="62" w:type="dxa"/>
        </w:tblCellMar>
        <w:tblLook w:val="0000"/>
      </w:tblPr>
      <w:tblGrid>
        <w:gridCol w:w="1890"/>
        <w:gridCol w:w="6570"/>
      </w:tblGrid>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Criti</w:t>
            </w:r>
            <w:r w:rsidRPr="00C2013D">
              <w:rPr>
                <w:rStyle w:val="SpecialBold"/>
              </w:rPr>
              <w:t>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9.2)</w:t>
            </w:r>
          </w:p>
        </w:tc>
      </w:tr>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Before the critical aspects of evidence are considered all pre-requisites shall be met.</w:t>
            </w:r>
          </w:p>
          <w:p w:rsidR="00000000" w:rsidRPr="00C2013D" w:rsidP="00C2013D">
            <w:pPr>
              <w:pStyle w:val="BodyText"/>
            </w:pPr>
            <w:r w:rsidRPr="00C2013D">
              <w:t xml:space="preserve">Evidence for competence in this unit shall be considered holistically.  Each element and </w:t>
            </w:r>
            <w:r w:rsidRPr="00C2013D">
              <w:t>associated Performance Criteria shall be demonstrated on at least two occasions in accordance with the “Assessment Guidelines – UEP12”.  Evidence shall also comprise:</w:t>
            </w:r>
          </w:p>
          <w:p w:rsidR="00000000" w:rsidRPr="00C2013D" w:rsidP="00C2013D">
            <w:pPr>
              <w:pStyle w:val="ListBullet"/>
            </w:pPr>
            <w:r w:rsidRPr="00C2013D">
              <w:t>A representative body of work performance demonstrated within the timeframes typically e</w:t>
            </w:r>
            <w:r w:rsidRPr="00C2013D">
              <w:t>xpected of the discipline, work function and industrial environment. In particular this shall incorporate evidence that shows a candidate is able to:</w:t>
            </w:r>
          </w:p>
          <w:p w:rsidR="00000000" w:rsidRPr="00C2013D" w:rsidP="00C2013D">
            <w:pPr>
              <w:pStyle w:val="ListBullet2"/>
            </w:pPr>
            <w:r w:rsidRPr="00C2013D">
              <w:t xml:space="preserve">Implement OH&amp;S workplace procedures and practices including the use of risk control measures </w:t>
            </w:r>
            <w:r w:rsidRPr="00C2013D">
              <w:t>as specified in the Performance Criteria and Range Statement</w:t>
            </w:r>
          </w:p>
          <w:p w:rsidR="00000000" w:rsidRPr="00C2013D" w:rsidP="00C2013D">
            <w:pPr>
              <w:pStyle w:val="ListBullet2"/>
            </w:pPr>
            <w:r w:rsidRPr="00C2013D">
              <w:t>Apply sustainable energy principles and practices as specified in the Performance Criteria and Range Statement</w:t>
            </w:r>
          </w:p>
          <w:p w:rsidR="00000000" w:rsidRPr="00C2013D" w:rsidP="00C2013D">
            <w:pPr>
              <w:pStyle w:val="ListBullet2"/>
            </w:pPr>
            <w:r w:rsidRPr="00C2013D">
              <w:t>Demonstrate an understanding of the essential knowledge and associated skills as des</w:t>
            </w:r>
            <w:r w:rsidRPr="00C2013D">
              <w:t>cribed in 6) of this unit</w:t>
            </w:r>
          </w:p>
          <w:p w:rsidR="00000000" w:rsidRPr="00C2013D" w:rsidP="00C2013D">
            <w:pPr>
              <w:pStyle w:val="ListBullet2"/>
            </w:pPr>
            <w:r w:rsidRPr="00C2013D">
              <w:t>Demonstrate an appropriate level of employability skills</w:t>
            </w:r>
          </w:p>
          <w:p w:rsidR="00000000" w:rsidRPr="00C2013D" w:rsidP="00C2013D">
            <w:pPr>
              <w:pStyle w:val="ListBullet2"/>
            </w:pPr>
            <w:r w:rsidRPr="00C2013D">
              <w:t>Conduct work observing the relevant Anti Discrimination legislation, regulations, polices and workplace procedures</w:t>
            </w:r>
          </w:p>
          <w:p w:rsidR="00000000" w:rsidRPr="00C2013D" w:rsidP="00C2013D">
            <w:pPr>
              <w:pStyle w:val="ListBullet"/>
            </w:pPr>
            <w:r w:rsidRPr="00C2013D">
              <w:t>Demonstrated performance across a representative range of</w:t>
            </w:r>
            <w:r w:rsidRPr="00C2013D">
              <w:t xml:space="preserve"> contexts from the prescribed items below:</w:t>
            </w:r>
          </w:p>
          <w:p w:rsidR="00000000" w:rsidRPr="00C2013D" w:rsidP="00C2013D">
            <w:pPr>
              <w:pStyle w:val="ListBullet2"/>
            </w:pPr>
            <w:r w:rsidRPr="00C2013D">
              <w:t>The knowledge and application of relevant sections of: OH&amp;S legislation; Statutory legislation; Enterprise/site safety procedures; Enterprise/site emergency procedures</w:t>
            </w:r>
          </w:p>
          <w:p w:rsidR="00000000" w:rsidRPr="00C2013D" w:rsidP="00C2013D">
            <w:pPr>
              <w:pStyle w:val="ListBullet2"/>
            </w:pPr>
            <w:r w:rsidRPr="00C2013D">
              <w:t>Where appropriate, attainment of an appropri</w:t>
            </w:r>
            <w:r w:rsidRPr="00C2013D">
              <w:t>ate electrical licence, deeming competency associated with electrical work</w:t>
            </w:r>
          </w:p>
          <w:p w:rsidR="00000000" w:rsidRPr="00C2013D" w:rsidP="00C2013D">
            <w:pPr>
              <w:pStyle w:val="ListBullet2"/>
            </w:pPr>
            <w:r w:rsidRPr="00C2013D">
              <w:t>Preparation and planning of work</w:t>
            </w:r>
          </w:p>
          <w:p w:rsidR="00000000" w:rsidRPr="00C2013D" w:rsidP="00C2013D">
            <w:pPr>
              <w:pStyle w:val="ListBullet2"/>
            </w:pPr>
            <w:r w:rsidRPr="00C2013D">
              <w:t>Modification techniques and procedures</w:t>
            </w:r>
          </w:p>
          <w:p w:rsidR="00000000" w:rsidRPr="00C2013D" w:rsidP="00C2013D">
            <w:pPr>
              <w:pStyle w:val="ListBullet2"/>
            </w:pPr>
            <w:r w:rsidRPr="00C2013D">
              <w:t>Completion of work procedures</w:t>
            </w:r>
          </w:p>
          <w:p w:rsidR="00000000" w:rsidRPr="00C2013D" w:rsidP="00C2013D">
            <w:pPr>
              <w:pStyle w:val="ListBullet2"/>
            </w:pPr>
            <w:r w:rsidRPr="00C2013D">
              <w:t>Dealing with an unplanned event by drawing on essential knowledge and skills to</w:t>
            </w:r>
            <w:r w:rsidRPr="00C2013D">
              <w:t xml:space="preserve"> provide appropriate solutions incorporated in the holistic assessment with the above listed items.</w:t>
            </w:r>
          </w:p>
        </w:tc>
      </w:tr>
    </w:tbl>
    <w:p w:rsidR="00000000" w:rsidRPr="00C2013D" w:rsidP="00C2013D">
      <w:pPr>
        <w:pStyle w:val="BodyText"/>
      </w:pPr>
    </w:p>
    <w:tbl>
      <w:tblPr>
        <w:tblW w:w="0" w:type="auto"/>
        <w:tblLayout w:type="fixed"/>
        <w:tblCellMar>
          <w:left w:w="62" w:type="dxa"/>
          <w:right w:w="62" w:type="dxa"/>
        </w:tblCellMar>
        <w:tblLook w:val="0000"/>
      </w:tblPr>
      <w:tblGrid>
        <w:gridCol w:w="1890"/>
        <w:gridCol w:w="6570"/>
      </w:tblGrid>
      <w:tr w:rsidTr="007262D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9.3)</w:t>
            </w:r>
          </w:p>
        </w:tc>
      </w:tr>
      <w:tr w:rsidTr="007262D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This unit should be assessed as it relates to normal work practice using procedures, information and resources typical of a workplace. This should include:</w:t>
            </w:r>
          </w:p>
          <w:p w:rsidR="00000000" w:rsidRPr="00C2013D" w:rsidP="00C2013D">
            <w:pPr>
              <w:pStyle w:val="ListBullet"/>
            </w:pPr>
            <w:r w:rsidRPr="00C2013D">
              <w:t>OHS policy and work procedures and instructions</w:t>
            </w:r>
          </w:p>
          <w:p w:rsidR="00000000" w:rsidRPr="00C2013D" w:rsidP="00C2013D">
            <w:pPr>
              <w:pStyle w:val="ListBullet"/>
            </w:pPr>
            <w:r w:rsidRPr="00C2013D">
              <w:t>Suitable work environment, facilities, equipment an</w:t>
            </w:r>
            <w:r w:rsidRPr="00C2013D">
              <w:t>d materials to undertake actual work as prescribed by this unit.</w:t>
            </w:r>
          </w:p>
          <w:p w:rsidR="00000000" w:rsidRPr="00C2013D" w:rsidP="00C2013D">
            <w:pPr>
              <w:pStyle w:val="BodyText"/>
            </w:pPr>
            <w:r w:rsidRPr="00C2013D">
              <w:t>Competency Standards should be assessed in the workplace or simulated workplace and under the normal range of workplace conditions.</w:t>
            </w:r>
          </w:p>
          <w:p w:rsidR="00000000" w:rsidRPr="00C2013D" w:rsidP="00C2013D">
            <w:pPr>
              <w:pStyle w:val="BodyText"/>
            </w:pPr>
            <w:r w:rsidRPr="00C2013D">
              <w:t>Assessment of this unit will be supported wit</w:t>
            </w:r>
            <w:r w:rsidRPr="00C2013D">
              <w:t>h documentary evidence, by means of endorsement stating type and application of work.</w:t>
            </w:r>
          </w:p>
          <w:p w:rsidR="00000000" w:rsidRPr="00C2013D" w:rsidP="00C2013D">
            <w:pPr>
              <w:pStyle w:val="BodyText"/>
            </w:pPr>
            <w:r w:rsidRPr="00C2013D">
              <w:t>In addition to the resources listed above in Context of assessment’, evidence should show competency working, in limited spaces, with different types of plant and equipme</w:t>
            </w:r>
            <w:r w:rsidRPr="00C2013D">
              <w:t>nt as well as different structural/construction types and methods and in a variety of environments.</w:t>
            </w:r>
          </w:p>
        </w:tc>
      </w:tr>
    </w:tbl>
    <w:p w:rsidR="00000000" w:rsidRPr="00C2013D" w:rsidP="00C2013D">
      <w:pPr>
        <w:pStyle w:val="BodyText"/>
      </w:pPr>
    </w:p>
    <w:tbl>
      <w:tblPr>
        <w:tblW w:w="0" w:type="auto"/>
        <w:tblLayout w:type="fixed"/>
        <w:tblCellMar>
          <w:left w:w="62" w:type="dxa"/>
          <w:right w:w="62" w:type="dxa"/>
        </w:tblCellMar>
        <w:tblLook w:val="0000"/>
      </w:tblPr>
      <w:tblGrid>
        <w:gridCol w:w="1890"/>
        <w:gridCol w:w="6570"/>
      </w:tblGrid>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9.4)</w:t>
            </w:r>
          </w:p>
        </w:tc>
      </w:tr>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This unit shall be assessed by methods given in 1.3.00 Assessment Guidelines.</w:t>
            </w:r>
          </w:p>
          <w:p w:rsidR="00000000" w:rsidRPr="00C2013D" w:rsidP="00C2013D">
            <w:pPr>
              <w:pStyle w:val="BodyText"/>
            </w:pPr>
            <w:r w:rsidRPr="00C2013D">
              <w:t xml:space="preserve">Note: </w:t>
            </w:r>
          </w:p>
          <w:p w:rsidR="00000000" w:rsidRPr="00C2013D" w:rsidP="00C2013D">
            <w:pPr>
              <w:pStyle w:val="BodyText"/>
            </w:pPr>
            <w:r w:rsidRPr="00C2013D">
              <w:t>Competent performance with inherent safe working practices is expected in the Industry to which this unit applies. This requires that the specified essential knowledge and associated skills are assessed in a structured environment which is primarily intend</w:t>
            </w:r>
            <w:r w:rsidRPr="00C2013D">
              <w:t>ed for learning/assessment and incorporates all necessary equipment and facilities for learners to develop and demonstrate the essential knowledge and skills described in this unit.</w:t>
            </w:r>
          </w:p>
        </w:tc>
      </w:tr>
    </w:tbl>
    <w:p w:rsidR="00000000" w:rsidRPr="00C2013D" w:rsidP="00C2013D">
      <w:pPr>
        <w:pStyle w:val="BodyText"/>
      </w:pPr>
    </w:p>
    <w:tbl>
      <w:tblPr>
        <w:tblW w:w="0" w:type="auto"/>
        <w:tblLayout w:type="fixed"/>
        <w:tblCellMar>
          <w:left w:w="62" w:type="dxa"/>
          <w:right w:w="62" w:type="dxa"/>
        </w:tblCellMar>
        <w:tblLook w:val="0000"/>
      </w:tblPr>
      <w:tblGrid>
        <w:gridCol w:w="1890"/>
        <w:gridCol w:w="6570"/>
      </w:tblGrid>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9.5)</w:t>
            </w:r>
          </w:p>
        </w:tc>
      </w:tr>
      <w:tr w:rsidTr="007262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There are</w:t>
            </w:r>
            <w:r w:rsidRPr="00C2013D">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C2013D" w:rsidP="00C2013D">
            <w:pPr>
              <w:pStyle w:val="BodyText"/>
            </w:pPr>
            <w:r w:rsidRPr="00C2013D">
              <w:t>Nil</w:t>
            </w:r>
            <w:r w:rsidRPr="00C2013D">
              <w:tab/>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11" w:name="O_470584"/>
      <w:bookmarkEnd w:id="11"/>
      <w:r w:rsidRPr="00C2013D">
        <w:t xml:space="preserve">Range </w:t>
      </w:r>
      <w:r w:rsidRPr="00C2013D">
        <w:t>Statement</w:t>
      </w:r>
    </w:p>
    <w:tbl>
      <w:tblPr>
        <w:tblW w:w="0" w:type="auto"/>
        <w:tblLayout w:type="fixed"/>
        <w:tblCellMar>
          <w:left w:w="62" w:type="dxa"/>
          <w:right w:w="62" w:type="dxa"/>
        </w:tblCellMar>
        <w:tblLook w:val="0000"/>
      </w:tblPr>
      <w:tblGrid>
        <w:gridCol w:w="8460"/>
      </w:tblGrid>
      <w:tr w:rsidTr="007262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RANGE STATEMENT</w:t>
            </w:r>
          </w:p>
        </w:tc>
      </w:tr>
      <w:tr w:rsidTr="007262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10)</w:t>
            </w:r>
            <w:r w:rsidRPr="00C2013D">
              <w:t xml:space="preserve"> This relates to the competency standard unit as a whole providing the range of contexts and conditions to which the Performance Criteria apply. It allows for different work environme</w:t>
            </w:r>
            <w:r w:rsidRPr="00C2013D">
              <w:t>nts and situations that will affect performance.</w:t>
            </w:r>
          </w:p>
          <w:p w:rsidR="00000000" w:rsidRPr="00C2013D" w:rsidP="00C2013D">
            <w:pPr>
              <w:pStyle w:val="BodyText"/>
            </w:pPr>
            <w:r w:rsidRPr="00C2013D">
              <w:t>Inspection should be planned with the appropriate parties to determine access, conditions and work requirements.</w:t>
            </w:r>
          </w:p>
          <w:p w:rsidR="00000000" w:rsidRPr="00C2013D" w:rsidP="00C2013D">
            <w:pPr>
              <w:pStyle w:val="BodyText"/>
            </w:pPr>
            <w:r w:rsidRPr="00C2013D">
              <w:t>Equipment may include analysers, recorders, nuclear devices, fire panels, T/C converters, elec</w:t>
            </w:r>
            <w:r w:rsidRPr="00C2013D">
              <w:t>tronic controllers, smart transmitters, coal feeders, belt weighers, PLC’s, ultrasonic sensors, turbine/compressor supervisory equipment, combustion control equipment, wear monitors, water ingress protection equipment, printers, compressor surge control eq</w:t>
            </w:r>
            <w:r w:rsidRPr="00C2013D">
              <w:t>uipment, fuel governor equipment, gas detection panels and temperature monitoring equipment.</w:t>
            </w:r>
          </w:p>
          <w:p w:rsidR="00000000" w:rsidRPr="00C2013D" w:rsidP="00C2013D">
            <w:pPr>
              <w:pStyle w:val="BodyText"/>
            </w:pPr>
            <w:r w:rsidRPr="00C2013D">
              <w:t>Materials may include cables, solder/flux, lubricants, cleaning solvents, contact cleaners, connectors, adhesive and sealants.</w:t>
            </w:r>
          </w:p>
          <w:p w:rsidR="00000000" w:rsidRPr="00C2013D" w:rsidP="00C2013D">
            <w:pPr>
              <w:pStyle w:val="BodyText"/>
            </w:pPr>
            <w:r w:rsidRPr="00C2013D">
              <w:t>Components may include power supplie</w:t>
            </w:r>
            <w:r w:rsidRPr="00C2013D">
              <w:t>s, relays, analysing sensor elements, load cells, PLC input/output blocks, printed circuit boards, protection devices, switches, diodes, transistors, SCR’s, triacs, diacs, LEDs, integrated circuits, resistors, capacitors, inductors and transformers.</w:t>
            </w:r>
          </w:p>
          <w:p w:rsidR="00000000" w:rsidRPr="00C2013D" w:rsidP="00C2013D">
            <w:pPr>
              <w:pStyle w:val="BodyText"/>
            </w:pPr>
            <w:r w:rsidRPr="00C2013D">
              <w:t>Test a</w:t>
            </w:r>
            <w:r w:rsidRPr="00C2013D">
              <w:t>nd measurement instruments may refer to multimeter, decade box, d.c. I/V standard, potentiometer, radiation meter, hand-held communicator/programmer, frequency counter, CRO, function generator, LCR bridge, logic analyser and specialised test equipment.</w:t>
            </w:r>
          </w:p>
          <w:p w:rsidR="00000000" w:rsidRPr="00C2013D" w:rsidP="00C2013D">
            <w:pPr>
              <w:pStyle w:val="BodyText"/>
            </w:pPr>
            <w:r w:rsidRPr="00C2013D">
              <w:t>Wor</w:t>
            </w:r>
            <w:r w:rsidRPr="00C2013D">
              <w:t>k completion details may include plant and maintenance records, job cards, check sheets and on device labelling updates.</w:t>
            </w:r>
          </w:p>
          <w:p w:rsidR="00000000" w:rsidRPr="00C2013D" w:rsidP="00C2013D">
            <w:pPr>
              <w:pStyle w:val="BodyText"/>
            </w:pPr>
            <w:r w:rsidRPr="00C2013D">
              <w:t>Work site environment may be affected by nearby plant or processes, e.g. heat, noise, dust, oil, water and chemical.</w:t>
            </w:r>
          </w:p>
          <w:p w:rsidR="00000000" w:rsidRPr="00C2013D" w:rsidP="00C2013D">
            <w:pPr>
              <w:pStyle w:val="BodyText"/>
            </w:pPr>
            <w:r w:rsidRPr="00C2013D">
              <w:t>Isolations can ref</w:t>
            </w:r>
            <w:r w:rsidRPr="00C2013D">
              <w:t>er to electrical/mechanical or process.</w:t>
            </w:r>
          </w:p>
          <w:p w:rsidR="00000000" w:rsidRPr="00C2013D" w:rsidP="00C2013D">
            <w:pPr>
              <w:pStyle w:val="BodyText"/>
            </w:pPr>
            <w:r w:rsidRPr="00C2013D">
              <w:t xml:space="preserve">Generic terms are used throughout this Training Package for vocational standard shall be regarded as part of the Range Statement in which competency is demonstrated. The definition of these and other terms are given </w:t>
            </w:r>
            <w:r w:rsidRPr="00C2013D">
              <w:t>in Section 2.1 Preliminary Information and Glossaries.</w:t>
            </w:r>
          </w:p>
        </w:tc>
      </w:tr>
    </w:tbl>
    <w:p w:rsidR="00000000" w:rsidRPr="00C2013D" w:rsidP="00C2013D">
      <w:pPr>
        <w:pStyle w:val="BodyText"/>
      </w:pPr>
    </w:p>
    <w:p w:rsidR="00000000" w:rsidRPr="00C2013D" w:rsidP="00C2013D">
      <w:pPr>
        <w:pStyle w:val="AllowPageBreak"/>
      </w:pPr>
    </w:p>
    <w:p w:rsidR="00000000" w:rsidRPr="00C2013D" w:rsidP="00C2013D">
      <w:pPr>
        <w:pStyle w:val="Heading1"/>
      </w:pPr>
      <w:bookmarkStart w:id="12" w:name="O_470587"/>
      <w:bookmarkEnd w:id="12"/>
      <w:r w:rsidRPr="00C2013D">
        <w:t>Unit Sector(s)</w:t>
      </w:r>
    </w:p>
    <w:p w:rsidR="00000000" w:rsidRPr="00C2013D" w:rsidP="00C2013D">
      <w:pPr>
        <w:pStyle w:val="BodyText"/>
      </w:pPr>
      <w:r w:rsidRPr="00C2013D">
        <w:t>Not applicable.</w:t>
      </w:r>
    </w:p>
    <w:p w:rsidR="00000000" w:rsidRPr="00C2013D" w:rsidP="00C2013D">
      <w:pPr>
        <w:pStyle w:val="AllowPageBreak"/>
      </w:pPr>
    </w:p>
    <w:p w:rsidR="00000000" w:rsidRPr="00C2013D" w:rsidP="00C2013D">
      <w:pPr>
        <w:pStyle w:val="Heading1"/>
      </w:pPr>
      <w:bookmarkStart w:id="13" w:name="O_470576"/>
      <w:bookmarkEnd w:id="13"/>
      <w:r w:rsidRPr="00C2013D">
        <w:t>Competency Field</w:t>
      </w:r>
    </w:p>
    <w:tbl>
      <w:tblPr>
        <w:tblW w:w="0" w:type="auto"/>
        <w:tblLayout w:type="fixed"/>
        <w:tblCellMar>
          <w:left w:w="62" w:type="dxa"/>
          <w:right w:w="62" w:type="dxa"/>
        </w:tblCellMar>
        <w:tblLook w:val="0000"/>
      </w:tblPr>
      <w:tblGrid>
        <w:gridCol w:w="2700"/>
        <w:gridCol w:w="5760"/>
      </w:tblGrid>
      <w:tr w:rsidTr="007262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013D">
            <w:pPr>
              <w:pStyle w:val="BodyText"/>
              <w:rPr>
                <w:lang w:val="en-NZ"/>
              </w:rPr>
            </w:pPr>
            <w:r w:rsidRPr="00C2013D">
              <w:rPr>
                <w:rStyle w:val="SpecialBold"/>
              </w:rPr>
              <w:t xml:space="preserve">11) </w:t>
            </w:r>
          </w:p>
        </w:tc>
      </w:tr>
      <w:tr w:rsidTr="007262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013D" w:rsidP="00C2013D">
            <w:pPr>
              <w:pStyle w:val="BodyText"/>
            </w:pPr>
            <w:r w:rsidRPr="00C2013D">
              <w:t>Maintenance.</w:t>
            </w:r>
          </w:p>
        </w:tc>
      </w:tr>
    </w:tbl>
    <w:p w:rsidR="00000000" w:rsidRPr="00C2013D" w:rsidP="00C2013D">
      <w:pPr>
        <w:pStyle w:val="BodyText"/>
      </w:pPr>
    </w:p>
    <w:p w:rsidR="00000000" w:rsidRPr="00C2013D" w:rsidP="00C2013D"/>
    <w:sectPr w:rsidSect="00C201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2DF" w:rsidP="007262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DF" w:rsidP="00C201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62DF" w:rsidP="00C201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262DF" w:rsidP="00C201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3D" w:rsidRPr="007262DF" w:rsidP="007262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DF" w:rsidRPr="002D2AF8" w:rsidP="00C2013D">
    <w:pPr>
      <w:pStyle w:val="Header"/>
      <w:framePr w:wrap="around"/>
    </w:pPr>
    <w:r>
      <w:fldChar w:fldCharType="begin"/>
    </w:r>
    <w:r>
      <w:instrText xml:space="preserve"> TITLE   \* MERGEFORMAT </w:instrText>
    </w:r>
    <w:r>
      <w:fldChar w:fldCharType="separate"/>
    </w:r>
    <w:r>
      <w:t>UEPMNT429B Modify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262DF" w:rsidP="00C20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0A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E8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0B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13D"/>
    <w:pPr>
      <w:spacing w:before="360" w:after="60"/>
      <w:outlineLvl w:val="0"/>
    </w:pPr>
    <w:rPr>
      <w:sz w:val="32"/>
    </w:rPr>
  </w:style>
  <w:style w:type="paragraph" w:styleId="Heading2">
    <w:name w:val="heading 2"/>
    <w:basedOn w:val="HeadingBase"/>
    <w:next w:val="BodyText"/>
    <w:link w:val="Heading2Char"/>
    <w:qFormat/>
    <w:rsid w:val="00C2013D"/>
    <w:pPr>
      <w:keepLines/>
      <w:spacing w:before="240" w:after="120"/>
      <w:outlineLvl w:val="1"/>
    </w:pPr>
    <w:rPr>
      <w:sz w:val="28"/>
      <w:szCs w:val="40"/>
    </w:rPr>
  </w:style>
  <w:style w:type="paragraph" w:styleId="Heading3">
    <w:name w:val="heading 3"/>
    <w:basedOn w:val="HeadingBase"/>
    <w:next w:val="BodyText"/>
    <w:link w:val="Heading3Char"/>
    <w:qFormat/>
    <w:rsid w:val="00C2013D"/>
    <w:pPr>
      <w:spacing w:before="180" w:after="120"/>
      <w:outlineLvl w:val="2"/>
    </w:pPr>
    <w:rPr>
      <w:spacing w:val="-10"/>
      <w:kern w:val="32"/>
    </w:rPr>
  </w:style>
  <w:style w:type="paragraph" w:styleId="Heading4">
    <w:name w:val="heading 4"/>
    <w:basedOn w:val="HeadingBase"/>
    <w:next w:val="BodyText"/>
    <w:link w:val="Heading4Char"/>
    <w:qFormat/>
    <w:rsid w:val="00C2013D"/>
    <w:pPr>
      <w:spacing w:before="160" w:after="120"/>
      <w:outlineLvl w:val="3"/>
    </w:pPr>
    <w:rPr>
      <w:sz w:val="22"/>
    </w:rPr>
  </w:style>
  <w:style w:type="paragraph" w:styleId="Heading5">
    <w:name w:val="heading 5"/>
    <w:basedOn w:val="HeadingBase"/>
    <w:next w:val="Normal"/>
    <w:link w:val="Heading5Char"/>
    <w:qFormat/>
    <w:rsid w:val="00C2013D"/>
    <w:pPr>
      <w:spacing w:before="80"/>
      <w:outlineLvl w:val="4"/>
    </w:pPr>
    <w:rPr>
      <w:color w:val="918585"/>
      <w:sz w:val="20"/>
    </w:rPr>
  </w:style>
  <w:style w:type="paragraph" w:styleId="Heading6">
    <w:name w:val="heading 6"/>
    <w:basedOn w:val="HeadingBase"/>
    <w:next w:val="Normal"/>
    <w:link w:val="Heading6Char"/>
    <w:qFormat/>
    <w:rsid w:val="00C2013D"/>
    <w:pPr>
      <w:spacing w:before="60"/>
      <w:outlineLvl w:val="5"/>
    </w:pPr>
    <w:rPr>
      <w:color w:val="918585"/>
      <w:sz w:val="20"/>
    </w:rPr>
  </w:style>
  <w:style w:type="paragraph" w:styleId="Heading7">
    <w:name w:val="heading 7"/>
    <w:basedOn w:val="Normal"/>
    <w:next w:val="Normal"/>
    <w:link w:val="Heading7Char"/>
    <w:qFormat/>
    <w:rsid w:val="00C2013D"/>
    <w:pPr>
      <w:ind w:left="720"/>
      <w:outlineLvl w:val="6"/>
    </w:pPr>
    <w:rPr>
      <w:i/>
    </w:rPr>
  </w:style>
  <w:style w:type="paragraph" w:styleId="Heading8">
    <w:name w:val="heading 8"/>
    <w:basedOn w:val="Normal"/>
    <w:next w:val="Normal"/>
    <w:link w:val="Heading8Char"/>
    <w:qFormat/>
    <w:rsid w:val="00C2013D"/>
    <w:pPr>
      <w:ind w:left="720"/>
      <w:outlineLvl w:val="7"/>
    </w:pPr>
    <w:rPr>
      <w:i/>
    </w:rPr>
  </w:style>
  <w:style w:type="paragraph" w:styleId="Heading9">
    <w:name w:val="heading 9"/>
    <w:basedOn w:val="Normal"/>
    <w:next w:val="Normal"/>
    <w:link w:val="Heading9Char"/>
    <w:qFormat/>
    <w:rsid w:val="00C2013D"/>
    <w:pPr>
      <w:ind w:left="720"/>
      <w:outlineLvl w:val="8"/>
    </w:pPr>
    <w:rPr>
      <w:i/>
    </w:rPr>
  </w:style>
  <w:style w:type="character" w:default="1" w:styleId="DefaultParagraphFont">
    <w:name w:val="Default Paragraph Font"/>
    <w:uiPriority w:val="1"/>
    <w:unhideWhenUsed/>
    <w:rsid w:val="00C20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13D"/>
  </w:style>
  <w:style w:type="character" w:customStyle="1" w:styleId="Heading1Char">
    <w:name w:val="Heading 1 Char"/>
    <w:basedOn w:val="DefaultParagraphFont"/>
    <w:link w:val="Heading1"/>
    <w:rsid w:val="00C2013D"/>
    <w:rPr>
      <w:rFonts w:ascii="Times New Roman" w:eastAsia="Times New Roman" w:hAnsi="Times New Roman" w:cs="Times New Roman"/>
      <w:b/>
      <w:sz w:val="32"/>
      <w:szCs w:val="20"/>
      <w:lang w:eastAsia="en-US"/>
    </w:rPr>
  </w:style>
  <w:style w:type="paragraph" w:styleId="BodyText">
    <w:name w:val="Body Text"/>
    <w:basedOn w:val="Normal"/>
    <w:link w:val="BodyTextChar"/>
    <w:rsid w:val="00C201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13D"/>
    <w:rPr>
      <w:rFonts w:ascii="Times New Roman" w:eastAsia="Times New Roman" w:hAnsi="Times New Roman" w:cs="Times New Roman"/>
      <w:sz w:val="24"/>
      <w:lang w:eastAsia="en-US"/>
    </w:rPr>
  </w:style>
  <w:style w:type="paragraph" w:styleId="Footer">
    <w:name w:val="footer"/>
    <w:basedOn w:val="Normal"/>
    <w:link w:val="FooterChar"/>
    <w:rsid w:val="00C20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13D"/>
    <w:rPr>
      <w:rFonts w:ascii="Times New Roman" w:eastAsia="Times New Roman" w:hAnsi="Times New Roman" w:cs="Times New Roman"/>
      <w:sz w:val="16"/>
      <w:lang w:eastAsia="en-US"/>
    </w:rPr>
  </w:style>
  <w:style w:type="paragraph" w:styleId="ListBullet">
    <w:name w:val="List Bullet"/>
    <w:basedOn w:val="List"/>
    <w:rsid w:val="00C2013D"/>
    <w:pPr>
      <w:numPr>
        <w:numId w:val="13"/>
      </w:numPr>
      <w:tabs>
        <w:tab w:val="clear" w:pos="340"/>
      </w:tabs>
      <w:spacing w:before="40" w:after="40"/>
    </w:pPr>
  </w:style>
  <w:style w:type="character" w:customStyle="1" w:styleId="SpecialBold">
    <w:name w:val="Special Bold"/>
    <w:basedOn w:val="DefaultParagraphFont"/>
    <w:rsid w:val="00C2013D"/>
    <w:rPr>
      <w:b/>
      <w:spacing w:val="0"/>
    </w:rPr>
  </w:style>
  <w:style w:type="paragraph" w:styleId="ListBullet2">
    <w:name w:val="List Bullet 2"/>
    <w:basedOn w:val="List2"/>
    <w:rsid w:val="00C2013D"/>
    <w:pPr>
      <w:numPr>
        <w:numId w:val="14"/>
      </w:numPr>
      <w:tabs>
        <w:tab w:val="clear" w:pos="680"/>
      </w:tabs>
    </w:pPr>
  </w:style>
  <w:style w:type="paragraph" w:customStyle="1" w:styleId="SuperHeading">
    <w:name w:val="SuperHeading"/>
    <w:basedOn w:val="Normal"/>
    <w:rsid w:val="00C2013D"/>
    <w:pPr>
      <w:spacing w:before="240" w:after="120"/>
      <w:outlineLvl w:val="0"/>
    </w:pPr>
    <w:rPr>
      <w:rFonts w:ascii="Times New Roman" w:hAnsi="Times New Roman"/>
      <w:b/>
      <w:sz w:val="28"/>
    </w:rPr>
  </w:style>
  <w:style w:type="paragraph" w:customStyle="1" w:styleId="AllowPageBreak">
    <w:name w:val="AllowPageBreak"/>
    <w:rsid w:val="00C201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13D"/>
    <w:rPr>
      <w:rFonts w:ascii="Courier New" w:eastAsia="Times New Roman" w:hAnsi="Courier New" w:cs="Times New Roman"/>
      <w:i/>
      <w:szCs w:val="20"/>
      <w:lang w:eastAsia="en-US"/>
    </w:rPr>
  </w:style>
  <w:style w:type="paragraph" w:customStyle="1" w:styleId="HeadingBase">
    <w:name w:val="Heading Base"/>
    <w:rsid w:val="00C20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13D"/>
    <w:pPr>
      <w:tabs>
        <w:tab w:val="right" w:leader="dot" w:pos="9072"/>
      </w:tabs>
      <w:ind w:left="567"/>
    </w:pPr>
    <w:rPr>
      <w:szCs w:val="22"/>
    </w:rPr>
  </w:style>
  <w:style w:type="paragraph" w:customStyle="1" w:styleId="TOCBase">
    <w:name w:val="TOC Base"/>
    <w:rsid w:val="00C20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13D"/>
    <w:pPr>
      <w:tabs>
        <w:tab w:val="right" w:leader="dot" w:pos="9072"/>
      </w:tabs>
      <w:spacing w:before="40" w:after="40"/>
      <w:ind w:left="284"/>
    </w:pPr>
    <w:rPr>
      <w:rFonts w:ascii="Times New Roman" w:hAnsi="Times New Roman"/>
    </w:rPr>
  </w:style>
  <w:style w:type="paragraph" w:styleId="TOC1">
    <w:name w:val="toc 1"/>
    <w:basedOn w:val="TOCBase"/>
    <w:next w:val="Normal"/>
    <w:rsid w:val="00C201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13D"/>
    <w:pPr>
      <w:spacing w:before="5040"/>
      <w:jc w:val="center"/>
    </w:pPr>
    <w:rPr>
      <w:sz w:val="48"/>
      <w:szCs w:val="72"/>
      <w:lang w:val="en-US"/>
    </w:rPr>
  </w:style>
  <w:style w:type="character" w:customStyle="1" w:styleId="TitleChar">
    <w:name w:val="Title Char"/>
    <w:basedOn w:val="DefaultParagraphFont"/>
    <w:link w:val="Title"/>
    <w:rsid w:val="00C20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13D"/>
    <w:pPr>
      <w:tabs>
        <w:tab w:val="left" w:pos="3600"/>
        <w:tab w:val="left" w:pos="3958"/>
      </w:tabs>
    </w:pPr>
  </w:style>
  <w:style w:type="paragraph" w:styleId="List">
    <w:name w:val="List"/>
    <w:basedOn w:val="BodyText"/>
    <w:next w:val="BodyText"/>
    <w:rsid w:val="00C2013D"/>
    <w:pPr>
      <w:tabs>
        <w:tab w:val="left" w:pos="340"/>
      </w:tabs>
      <w:spacing w:before="60" w:after="60"/>
      <w:ind w:left="340" w:hanging="340"/>
    </w:pPr>
  </w:style>
  <w:style w:type="paragraph" w:customStyle="1" w:styleId="Note">
    <w:name w:val="Note"/>
    <w:basedOn w:val="BodyText"/>
    <w:rsid w:val="00C20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13D"/>
    <w:pPr>
      <w:framePr w:wrap="auto" w:hAnchor="text" w:y="6049"/>
    </w:pPr>
    <w:rPr>
      <w:color w:val="000000"/>
      <w:sz w:val="40"/>
    </w:rPr>
  </w:style>
  <w:style w:type="paragraph" w:customStyle="1" w:styleId="TOCTitle">
    <w:name w:val="TOCTitle"/>
    <w:basedOn w:val="Heading1"/>
    <w:rsid w:val="00C2013D"/>
    <w:pPr>
      <w:spacing w:after="240"/>
      <w:jc w:val="center"/>
      <w:outlineLvl w:val="9"/>
    </w:pPr>
    <w:rPr>
      <w:caps/>
    </w:rPr>
  </w:style>
  <w:style w:type="paragraph" w:customStyle="1" w:styleId="Version">
    <w:name w:val="Version"/>
    <w:rsid w:val="00C201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13D"/>
    <w:pPr>
      <w:keepNext w:val="0"/>
      <w:tabs>
        <w:tab w:val="right" w:pos="4176"/>
      </w:tabs>
      <w:ind w:left="198" w:hanging="198"/>
    </w:pPr>
    <w:rPr>
      <w:rFonts w:ascii="Garamond" w:hAnsi="Garamond"/>
    </w:rPr>
  </w:style>
  <w:style w:type="paragraph" w:styleId="IndexHeading">
    <w:name w:val="index heading"/>
    <w:basedOn w:val="Normal"/>
    <w:next w:val="Index1"/>
    <w:semiHidden/>
    <w:rsid w:val="00C2013D"/>
    <w:pPr>
      <w:spacing w:before="120" w:after="120"/>
    </w:pPr>
    <w:rPr>
      <w:rFonts w:ascii="Arial" w:hAnsi="Arial"/>
      <w:b/>
      <w:color w:val="918585"/>
      <w:sz w:val="24"/>
    </w:rPr>
  </w:style>
  <w:style w:type="paragraph" w:styleId="Header">
    <w:name w:val="header"/>
    <w:basedOn w:val="Normal"/>
    <w:link w:val="HeaderChar"/>
    <w:rsid w:val="00C20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13D"/>
    <w:rPr>
      <w:rFonts w:ascii="Times New Roman" w:eastAsia="Times New Roman" w:hAnsi="Times New Roman" w:cs="Times New Roman"/>
      <w:sz w:val="16"/>
      <w:szCs w:val="20"/>
      <w:lang w:val="en-GB" w:eastAsia="en-US"/>
    </w:rPr>
  </w:style>
  <w:style w:type="paragraph" w:customStyle="1" w:styleId="Chapter">
    <w:name w:val="Chapter"/>
    <w:basedOn w:val="Normal"/>
    <w:rsid w:val="00C2013D"/>
    <w:pPr>
      <w:spacing w:before="240"/>
    </w:pPr>
    <w:rPr>
      <w:rFonts w:ascii="Times New Roman" w:hAnsi="Times New Roman"/>
      <w:smallCaps/>
      <w:spacing w:val="80"/>
      <w:sz w:val="28"/>
    </w:rPr>
  </w:style>
  <w:style w:type="paragraph" w:customStyle="1" w:styleId="InChapter">
    <w:name w:val="InChapter"/>
    <w:basedOn w:val="Heading3"/>
    <w:rsid w:val="00C2013D"/>
    <w:pPr>
      <w:spacing w:after="240"/>
      <w:outlineLvl w:val="9"/>
    </w:pPr>
    <w:rPr>
      <w:noProof/>
    </w:rPr>
  </w:style>
  <w:style w:type="paragraph" w:styleId="Index2">
    <w:name w:val="index 2"/>
    <w:basedOn w:val="Normal"/>
    <w:next w:val="Normal"/>
    <w:semiHidden/>
    <w:rsid w:val="00C2013D"/>
    <w:pPr>
      <w:tabs>
        <w:tab w:val="right" w:pos="4176"/>
      </w:tabs>
      <w:ind w:left="568" w:hanging="284"/>
    </w:pPr>
    <w:rPr>
      <w:rFonts w:ascii="Garamond" w:hAnsi="Garamond"/>
    </w:rPr>
  </w:style>
  <w:style w:type="paragraph" w:customStyle="1" w:styleId="Byline">
    <w:name w:val="Byline"/>
    <w:rsid w:val="00C20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13D"/>
    <w:pPr>
      <w:tabs>
        <w:tab w:val="clear" w:pos="3600"/>
        <w:tab w:val="clear" w:pos="3958"/>
      </w:tabs>
      <w:jc w:val="right"/>
    </w:pPr>
  </w:style>
  <w:style w:type="character" w:styleId="Emphasis">
    <w:name w:val="Emphasis"/>
    <w:basedOn w:val="DefaultParagraphFont"/>
    <w:qFormat/>
    <w:rsid w:val="00C2013D"/>
    <w:rPr>
      <w:i/>
    </w:rPr>
  </w:style>
  <w:style w:type="paragraph" w:styleId="Caption">
    <w:name w:val="caption"/>
    <w:basedOn w:val="BodyText"/>
    <w:next w:val="Normal"/>
    <w:qFormat/>
    <w:rsid w:val="00C2013D"/>
    <w:pPr>
      <w:framePr w:w="2268" w:hSpace="181" w:vSpace="181" w:wrap="around" w:vAnchor="text" w:hAnchor="page" w:x="1135" w:y="285" w:anchorLock="1"/>
    </w:pPr>
    <w:rPr>
      <w:i/>
    </w:rPr>
  </w:style>
  <w:style w:type="paragraph" w:customStyle="1" w:styleId="MiniTOCTitle">
    <w:name w:val="MiniTOCTitle"/>
    <w:basedOn w:val="Heading4"/>
    <w:rsid w:val="00C2013D"/>
    <w:pPr>
      <w:spacing w:before="240"/>
      <w:outlineLvl w:val="9"/>
    </w:pPr>
    <w:rPr>
      <w:noProof/>
      <w:sz w:val="24"/>
    </w:rPr>
  </w:style>
  <w:style w:type="paragraph" w:customStyle="1" w:styleId="MiniTOCItem">
    <w:name w:val="MiniTOCItem"/>
    <w:basedOn w:val="ListBullet"/>
    <w:rsid w:val="00C2013D"/>
    <w:pPr>
      <w:numPr>
        <w:numId w:val="0"/>
      </w:numPr>
      <w:tabs>
        <w:tab w:val="right" w:leader="dot" w:pos="6521"/>
      </w:tabs>
      <w:spacing w:before="0" w:after="0"/>
    </w:pPr>
  </w:style>
  <w:style w:type="paragraph" w:customStyle="1" w:styleId="TOFTitle">
    <w:name w:val="TOFTitle"/>
    <w:basedOn w:val="TOCTitle"/>
    <w:rsid w:val="00C2013D"/>
  </w:style>
  <w:style w:type="paragraph" w:styleId="TableofFigures">
    <w:name w:val="table of figures"/>
    <w:basedOn w:val="Normal"/>
    <w:next w:val="Normal"/>
    <w:semiHidden/>
    <w:rsid w:val="00C2013D"/>
    <w:pPr>
      <w:tabs>
        <w:tab w:val="right" w:leader="dot" w:pos="9072"/>
      </w:tabs>
      <w:ind w:left="970" w:hanging="403"/>
    </w:pPr>
    <w:rPr>
      <w:rFonts w:ascii="Times New Roman" w:hAnsi="Times New Roman"/>
      <w:b/>
    </w:rPr>
  </w:style>
  <w:style w:type="paragraph" w:styleId="ListNumber">
    <w:name w:val="List Number"/>
    <w:basedOn w:val="List"/>
    <w:rsid w:val="00C2013D"/>
    <w:pPr>
      <w:numPr>
        <w:numId w:val="11"/>
      </w:numPr>
    </w:pPr>
  </w:style>
  <w:style w:type="character" w:customStyle="1" w:styleId="WingdingSymbols">
    <w:name w:val="Wingding Symbols"/>
    <w:rsid w:val="00C2013D"/>
    <w:rPr>
      <w:rFonts w:ascii="Wingdings" w:hAnsi="Wingdings"/>
    </w:rPr>
  </w:style>
  <w:style w:type="paragraph" w:customStyle="1" w:styleId="TableHeading">
    <w:name w:val="Table Heading"/>
    <w:basedOn w:val="HeadingBase"/>
    <w:rsid w:val="00C2013D"/>
    <w:pPr>
      <w:keepLines/>
      <w:pBdr>
        <w:bottom w:val="single" w:sz="6" w:space="1" w:color="918585"/>
      </w:pBdr>
      <w:spacing w:before="240"/>
    </w:pPr>
  </w:style>
  <w:style w:type="character" w:customStyle="1" w:styleId="HotSpot">
    <w:name w:val="HotSpot"/>
    <w:rsid w:val="00C2013D"/>
    <w:rPr>
      <w:color w:val="0033CC"/>
      <w:u w:val="none"/>
    </w:rPr>
  </w:style>
  <w:style w:type="paragraph" w:customStyle="1" w:styleId="BodyTextRight">
    <w:name w:val="Body Text Right"/>
    <w:basedOn w:val="BodyText"/>
    <w:rsid w:val="00C2013D"/>
    <w:pPr>
      <w:spacing w:before="0" w:after="0"/>
      <w:jc w:val="right"/>
    </w:pPr>
  </w:style>
  <w:style w:type="paragraph" w:styleId="Index3">
    <w:name w:val="index 3"/>
    <w:basedOn w:val="ListNumber2"/>
    <w:next w:val="Normal"/>
    <w:semiHidden/>
    <w:rsid w:val="00C2013D"/>
    <w:pPr>
      <w:numPr>
        <w:numId w:val="0"/>
      </w:numPr>
      <w:tabs>
        <w:tab w:val="right" w:leader="dot" w:pos="4176"/>
      </w:tabs>
    </w:pPr>
  </w:style>
  <w:style w:type="paragraph" w:styleId="ListNumber2">
    <w:name w:val="List Number 2"/>
    <w:basedOn w:val="List2"/>
    <w:rsid w:val="00C2013D"/>
    <w:pPr>
      <w:numPr>
        <w:numId w:val="10"/>
      </w:numPr>
      <w:tabs>
        <w:tab w:val="clear" w:pos="1060"/>
      </w:tabs>
    </w:pPr>
  </w:style>
  <w:style w:type="paragraph" w:customStyle="1" w:styleId="MarginNote">
    <w:name w:val="Margin Note"/>
    <w:basedOn w:val="BodyText"/>
    <w:rsid w:val="00C20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13D"/>
    <w:rPr>
      <w:sz w:val="32"/>
    </w:rPr>
  </w:style>
  <w:style w:type="paragraph" w:customStyle="1" w:styleId="HeadingProcedure">
    <w:name w:val="Heading Procedure"/>
    <w:basedOn w:val="HeadingBase"/>
    <w:next w:val="Normal"/>
    <w:rsid w:val="00C2013D"/>
    <w:pPr>
      <w:tabs>
        <w:tab w:val="left" w:pos="0"/>
      </w:tabs>
      <w:spacing w:before="120" w:after="60"/>
    </w:pPr>
    <w:rPr>
      <w:i/>
      <w:color w:val="918585"/>
      <w:sz w:val="22"/>
    </w:rPr>
  </w:style>
  <w:style w:type="paragraph" w:customStyle="1" w:styleId="TableBodyText">
    <w:name w:val="Table Body Text"/>
    <w:basedOn w:val="BodyText"/>
    <w:rsid w:val="00C2013D"/>
    <w:pPr>
      <w:spacing w:before="60" w:after="60"/>
    </w:pPr>
  </w:style>
  <w:style w:type="paragraph" w:styleId="ListContinue">
    <w:name w:val="List Continue"/>
    <w:basedOn w:val="List"/>
    <w:rsid w:val="00C2013D"/>
    <w:pPr>
      <w:ind w:firstLine="0"/>
    </w:pPr>
  </w:style>
  <w:style w:type="paragraph" w:customStyle="1" w:styleId="ListNote">
    <w:name w:val="List Note"/>
    <w:basedOn w:val="List"/>
    <w:rsid w:val="00C2013D"/>
    <w:pPr>
      <w:pBdr>
        <w:top w:val="single" w:sz="6" w:space="2" w:color="918585"/>
        <w:bottom w:val="single" w:sz="6" w:space="2" w:color="918585"/>
      </w:pBdr>
      <w:tabs>
        <w:tab w:val="left" w:pos="1021"/>
      </w:tabs>
      <w:ind w:firstLine="0"/>
    </w:pPr>
  </w:style>
  <w:style w:type="paragraph" w:customStyle="1" w:styleId="Warning">
    <w:name w:val="Warning"/>
    <w:basedOn w:val="BodyText"/>
    <w:rsid w:val="00C2013D"/>
    <w:pPr>
      <w:shd w:val="clear" w:color="auto" w:fill="D9D9D9"/>
      <w:tabs>
        <w:tab w:val="left" w:pos="992"/>
      </w:tabs>
      <w:ind w:left="119" w:right="119"/>
    </w:pPr>
    <w:rPr>
      <w:sz w:val="20"/>
    </w:rPr>
  </w:style>
  <w:style w:type="paragraph" w:customStyle="1" w:styleId="MarginIcons">
    <w:name w:val="Margin Icons"/>
    <w:basedOn w:val="BodyText"/>
    <w:rsid w:val="00C20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13D"/>
    <w:rPr>
      <w:rFonts w:ascii="Courier New" w:hAnsi="Courier New"/>
    </w:rPr>
  </w:style>
  <w:style w:type="paragraph" w:customStyle="1" w:styleId="NoteBullet">
    <w:name w:val="Note Bullet"/>
    <w:basedOn w:val="Note"/>
    <w:rsid w:val="00C2013D"/>
    <w:pPr>
      <w:tabs>
        <w:tab w:val="clear" w:pos="680"/>
      </w:tabs>
      <w:spacing w:before="60" w:after="60"/>
    </w:pPr>
  </w:style>
  <w:style w:type="paragraph" w:customStyle="1" w:styleId="SubHeading2">
    <w:name w:val="SubHeading2"/>
    <w:basedOn w:val="HeadingBase"/>
    <w:rsid w:val="00C2013D"/>
    <w:pPr>
      <w:spacing w:before="240" w:after="60"/>
    </w:pPr>
    <w:rPr>
      <w:sz w:val="20"/>
    </w:rPr>
  </w:style>
  <w:style w:type="paragraph" w:customStyle="1" w:styleId="SubHeading1">
    <w:name w:val="SubHeading1"/>
    <w:basedOn w:val="HeadingBase"/>
    <w:rsid w:val="00C2013D"/>
    <w:pPr>
      <w:spacing w:before="240" w:after="60"/>
    </w:pPr>
    <w:rPr>
      <w:color w:val="918585"/>
      <w:sz w:val="22"/>
    </w:rPr>
  </w:style>
  <w:style w:type="paragraph" w:customStyle="1" w:styleId="SideHeading">
    <w:name w:val="Side Heading"/>
    <w:basedOn w:val="HeadingBase"/>
    <w:rsid w:val="00C201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13D"/>
    <w:pPr>
      <w:numPr>
        <w:numId w:val="12"/>
      </w:numPr>
    </w:pPr>
  </w:style>
  <w:style w:type="paragraph" w:styleId="PlainText">
    <w:name w:val="Plain Text"/>
    <w:basedOn w:val="Normal"/>
    <w:link w:val="PlainTextChar"/>
    <w:rsid w:val="00C2013D"/>
    <w:rPr>
      <w:sz w:val="20"/>
    </w:rPr>
  </w:style>
  <w:style w:type="character" w:customStyle="1" w:styleId="PlainTextChar">
    <w:name w:val="Plain Text Char"/>
    <w:basedOn w:val="DefaultParagraphFont"/>
    <w:link w:val="PlainText"/>
    <w:rsid w:val="00C2013D"/>
    <w:rPr>
      <w:rFonts w:ascii="Courier New" w:eastAsia="Times New Roman" w:hAnsi="Courier New" w:cs="Times New Roman"/>
      <w:sz w:val="20"/>
      <w:szCs w:val="20"/>
      <w:lang w:eastAsia="en-US"/>
    </w:rPr>
  </w:style>
  <w:style w:type="character" w:customStyle="1" w:styleId="MenuOption">
    <w:name w:val="Menu Option"/>
    <w:basedOn w:val="DefaultParagraphFont"/>
    <w:rsid w:val="00C2013D"/>
    <w:rPr>
      <w:b/>
      <w:smallCaps/>
    </w:rPr>
  </w:style>
  <w:style w:type="paragraph" w:customStyle="1" w:styleId="TableListNumber">
    <w:name w:val="Table List Number"/>
    <w:basedOn w:val="ListNumber"/>
    <w:rsid w:val="00C2013D"/>
    <w:pPr>
      <w:numPr>
        <w:numId w:val="0"/>
      </w:numPr>
    </w:pPr>
  </w:style>
  <w:style w:type="paragraph" w:styleId="TOC4">
    <w:name w:val="toc 4"/>
    <w:basedOn w:val="TOCBase"/>
    <w:next w:val="Normal"/>
    <w:semiHidden/>
    <w:rsid w:val="00C2013D"/>
    <w:pPr>
      <w:tabs>
        <w:tab w:val="right" w:leader="dot" w:pos="9071"/>
      </w:tabs>
      <w:ind w:left="1701"/>
    </w:pPr>
  </w:style>
  <w:style w:type="paragraph" w:customStyle="1" w:styleId="ListAlpha">
    <w:name w:val="List Alpha"/>
    <w:basedOn w:val="List"/>
    <w:rsid w:val="00C2013D"/>
    <w:pPr>
      <w:numPr>
        <w:numId w:val="9"/>
      </w:numPr>
    </w:pPr>
  </w:style>
  <w:style w:type="paragraph" w:customStyle="1" w:styleId="ListAlpha2">
    <w:name w:val="List Alpha 2"/>
    <w:basedOn w:val="List2"/>
    <w:rsid w:val="00C2013D"/>
    <w:pPr>
      <w:numPr>
        <w:numId w:val="8"/>
      </w:numPr>
    </w:pPr>
  </w:style>
  <w:style w:type="paragraph" w:styleId="List2">
    <w:name w:val="List 2"/>
    <w:basedOn w:val="BodyText"/>
    <w:rsid w:val="00C2013D"/>
    <w:pPr>
      <w:tabs>
        <w:tab w:val="left" w:pos="680"/>
      </w:tabs>
      <w:spacing w:before="60" w:after="60"/>
      <w:ind w:left="680" w:hanging="340"/>
    </w:pPr>
  </w:style>
  <w:style w:type="paragraph" w:styleId="List3">
    <w:name w:val="List 3"/>
    <w:basedOn w:val="BodyText"/>
    <w:rsid w:val="00C2013D"/>
    <w:pPr>
      <w:tabs>
        <w:tab w:val="left" w:pos="1021"/>
      </w:tabs>
      <w:spacing w:before="60" w:after="60"/>
      <w:ind w:left="1020" w:hanging="340"/>
    </w:pPr>
  </w:style>
  <w:style w:type="paragraph" w:styleId="List4">
    <w:name w:val="List 4"/>
    <w:basedOn w:val="BodyText"/>
    <w:rsid w:val="00C2013D"/>
    <w:pPr>
      <w:tabs>
        <w:tab w:val="left" w:pos="1361"/>
      </w:tabs>
      <w:spacing w:before="60" w:after="60"/>
      <w:ind w:left="1361" w:hanging="340"/>
    </w:pPr>
  </w:style>
  <w:style w:type="paragraph" w:styleId="List5">
    <w:name w:val="List 5"/>
    <w:basedOn w:val="BodyText"/>
    <w:rsid w:val="00C2013D"/>
    <w:pPr>
      <w:tabs>
        <w:tab w:val="left" w:pos="1701"/>
      </w:tabs>
      <w:spacing w:before="60" w:after="60"/>
      <w:ind w:left="1701" w:hanging="340"/>
    </w:pPr>
  </w:style>
  <w:style w:type="paragraph" w:styleId="ListBullet3">
    <w:name w:val="List Bullet 3"/>
    <w:basedOn w:val="List3"/>
    <w:rsid w:val="00C2013D"/>
    <w:pPr>
      <w:numPr>
        <w:numId w:val="15"/>
      </w:numPr>
      <w:tabs>
        <w:tab w:val="clear" w:pos="1021"/>
      </w:tabs>
      <w:ind w:left="1037" w:hanging="357"/>
    </w:pPr>
  </w:style>
  <w:style w:type="paragraph" w:styleId="ListBullet4">
    <w:name w:val="List Bullet 4"/>
    <w:basedOn w:val="List4"/>
    <w:rsid w:val="00C2013D"/>
    <w:pPr>
      <w:numPr>
        <w:numId w:val="3"/>
      </w:numPr>
    </w:pPr>
  </w:style>
  <w:style w:type="paragraph" w:styleId="ListBullet5">
    <w:name w:val="List Bullet 5"/>
    <w:basedOn w:val="List5"/>
    <w:rsid w:val="00C2013D"/>
    <w:pPr>
      <w:numPr>
        <w:numId w:val="4"/>
      </w:numPr>
    </w:pPr>
  </w:style>
  <w:style w:type="paragraph" w:styleId="ListContinue2">
    <w:name w:val="List Continue 2"/>
    <w:basedOn w:val="List2"/>
    <w:rsid w:val="00C2013D"/>
    <w:pPr>
      <w:ind w:firstLine="0"/>
    </w:pPr>
  </w:style>
  <w:style w:type="paragraph" w:styleId="ListContinue3">
    <w:name w:val="List Continue 3"/>
    <w:basedOn w:val="List3"/>
    <w:rsid w:val="00C2013D"/>
    <w:pPr>
      <w:ind w:left="1021" w:firstLine="0"/>
    </w:pPr>
  </w:style>
  <w:style w:type="paragraph" w:styleId="ListContinue4">
    <w:name w:val="List Continue 4"/>
    <w:basedOn w:val="List4"/>
    <w:rsid w:val="00C2013D"/>
    <w:pPr>
      <w:ind w:firstLine="0"/>
    </w:pPr>
  </w:style>
  <w:style w:type="paragraph" w:styleId="ListContinue5">
    <w:name w:val="List Continue 5"/>
    <w:basedOn w:val="List5"/>
    <w:rsid w:val="00C2013D"/>
    <w:pPr>
      <w:ind w:firstLine="0"/>
    </w:pPr>
  </w:style>
  <w:style w:type="paragraph" w:styleId="ListNumber3">
    <w:name w:val="List Number 3"/>
    <w:basedOn w:val="List3"/>
    <w:rsid w:val="00C2013D"/>
    <w:pPr>
      <w:numPr>
        <w:numId w:val="5"/>
      </w:numPr>
    </w:pPr>
  </w:style>
  <w:style w:type="paragraph" w:styleId="ListNumber4">
    <w:name w:val="List Number 4"/>
    <w:basedOn w:val="List4"/>
    <w:rsid w:val="00C2013D"/>
    <w:pPr>
      <w:numPr>
        <w:numId w:val="6"/>
      </w:numPr>
    </w:pPr>
  </w:style>
  <w:style w:type="paragraph" w:styleId="ListNumber5">
    <w:name w:val="List Number 5"/>
    <w:basedOn w:val="List5"/>
    <w:rsid w:val="00C2013D"/>
    <w:pPr>
      <w:numPr>
        <w:numId w:val="7"/>
      </w:numPr>
    </w:pPr>
  </w:style>
  <w:style w:type="paragraph" w:styleId="BlockText">
    <w:name w:val="Block Text"/>
    <w:basedOn w:val="Normal"/>
    <w:rsid w:val="00C2013D"/>
    <w:pPr>
      <w:spacing w:after="120"/>
      <w:ind w:left="1440" w:right="1440"/>
    </w:pPr>
  </w:style>
  <w:style w:type="character" w:customStyle="1" w:styleId="Subscript">
    <w:name w:val="Subscript"/>
    <w:basedOn w:val="DefaultParagraphFont"/>
    <w:rsid w:val="00C2013D"/>
    <w:rPr>
      <w:sz w:val="16"/>
      <w:vertAlign w:val="subscript"/>
    </w:rPr>
  </w:style>
  <w:style w:type="character" w:customStyle="1" w:styleId="Superscript">
    <w:name w:val="Superscript"/>
    <w:basedOn w:val="DefaultParagraphFont"/>
    <w:rsid w:val="00C2013D"/>
    <w:rPr>
      <w:sz w:val="16"/>
      <w:vertAlign w:val="superscript"/>
    </w:rPr>
  </w:style>
  <w:style w:type="character" w:customStyle="1" w:styleId="Symbols">
    <w:name w:val="Symbols"/>
    <w:basedOn w:val="DefaultParagraphFont"/>
    <w:rsid w:val="00C2013D"/>
    <w:rPr>
      <w:rFonts w:ascii="Symbol" w:hAnsi="Symbol"/>
    </w:rPr>
  </w:style>
  <w:style w:type="character" w:customStyle="1" w:styleId="MenuOptions">
    <w:name w:val="Menu Options"/>
    <w:basedOn w:val="DefaultParagraphFont"/>
    <w:rsid w:val="00C2013D"/>
    <w:rPr>
      <w:rFonts w:ascii="Arial Narrow" w:hAnsi="Arial Narrow"/>
      <w:smallCaps/>
    </w:rPr>
  </w:style>
  <w:style w:type="character" w:customStyle="1" w:styleId="Buttons">
    <w:name w:val="Buttons"/>
    <w:basedOn w:val="DefaultParagraphFont"/>
    <w:rsid w:val="00C2013D"/>
    <w:rPr>
      <w:b/>
    </w:rPr>
  </w:style>
  <w:style w:type="character" w:customStyle="1" w:styleId="Underlined">
    <w:name w:val="Underlined"/>
    <w:basedOn w:val="DefaultParagraphFont"/>
    <w:rsid w:val="00C2013D"/>
    <w:rPr>
      <w:u w:val="single"/>
    </w:rPr>
  </w:style>
  <w:style w:type="paragraph" w:customStyle="1" w:styleId="TableBodyTextRight">
    <w:name w:val="Table Body Text Right"/>
    <w:basedOn w:val="TableBodyText"/>
    <w:rsid w:val="00C2013D"/>
    <w:pPr>
      <w:widowControl w:val="0"/>
      <w:autoSpaceDE w:val="0"/>
      <w:autoSpaceDN w:val="0"/>
      <w:adjustRightInd w:val="0"/>
      <w:jc w:val="right"/>
    </w:pPr>
    <w:rPr>
      <w:rFonts w:cs="Arial"/>
      <w:szCs w:val="18"/>
    </w:rPr>
  </w:style>
  <w:style w:type="paragraph" w:customStyle="1" w:styleId="CopyrightText">
    <w:name w:val="Copyright Text"/>
    <w:basedOn w:val="BodyText"/>
    <w:rsid w:val="00C2013D"/>
    <w:rPr>
      <w:sz w:val="18"/>
    </w:rPr>
  </w:style>
  <w:style w:type="paragraph" w:customStyle="1" w:styleId="BodySmallRight">
    <w:name w:val="Body Small Right"/>
    <w:basedOn w:val="BodyTextRight"/>
    <w:rsid w:val="00C2013D"/>
    <w:rPr>
      <w:sz w:val="18"/>
      <w:szCs w:val="18"/>
    </w:rPr>
  </w:style>
  <w:style w:type="paragraph" w:customStyle="1" w:styleId="MarginEdition">
    <w:name w:val="Margin Edition"/>
    <w:basedOn w:val="MarginNote"/>
    <w:rsid w:val="00C2013D"/>
    <w:pPr>
      <w:spacing w:before="0" w:after="0"/>
    </w:pPr>
    <w:rPr>
      <w:rFonts w:ascii="Times New Roman" w:hAnsi="Times New Roman"/>
      <w:color w:val="999999"/>
    </w:rPr>
  </w:style>
  <w:style w:type="paragraph" w:customStyle="1" w:styleId="Spacer">
    <w:name w:val="Spacer"/>
    <w:basedOn w:val="Normal"/>
    <w:rsid w:val="00C2013D"/>
    <w:rPr>
      <w:sz w:val="2"/>
      <w:szCs w:val="2"/>
    </w:rPr>
  </w:style>
  <w:style w:type="character" w:customStyle="1" w:styleId="Small">
    <w:name w:val="Small"/>
    <w:basedOn w:val="DefaultParagraphFont"/>
    <w:rsid w:val="00C2013D"/>
    <w:rPr>
      <w:sz w:val="16"/>
    </w:rPr>
  </w:style>
  <w:style w:type="paragraph" w:customStyle="1" w:styleId="WideTable">
    <w:name w:val="Wide Table"/>
    <w:basedOn w:val="Normal"/>
    <w:rsid w:val="00C2013D"/>
    <w:pPr>
      <w:ind w:left="-1418"/>
    </w:pPr>
    <w:rPr>
      <w:sz w:val="2"/>
      <w:szCs w:val="2"/>
    </w:rPr>
  </w:style>
  <w:style w:type="character" w:styleId="PageNumber">
    <w:name w:val="page number"/>
    <w:basedOn w:val="DefaultParagraphFont"/>
    <w:rsid w:val="00C2013D"/>
  </w:style>
  <w:style w:type="paragraph" w:styleId="Quote">
    <w:name w:val="Quote"/>
    <w:basedOn w:val="Heading1"/>
    <w:link w:val="QuoteChar"/>
    <w:qFormat/>
    <w:rsid w:val="00C2013D"/>
    <w:rPr>
      <w:b w:val="0"/>
      <w:sz w:val="72"/>
      <w:szCs w:val="72"/>
      <w:lang w:val="en-NZ"/>
    </w:rPr>
  </w:style>
  <w:style w:type="character" w:customStyle="1" w:styleId="QuoteChar">
    <w:name w:val="Quote Char"/>
    <w:basedOn w:val="DefaultParagraphFont"/>
    <w:link w:val="Quote"/>
    <w:rsid w:val="00C20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13D"/>
    <w:pPr>
      <w:pageBreakBefore/>
    </w:pPr>
  </w:style>
  <w:style w:type="paragraph" w:customStyle="1" w:styleId="Border">
    <w:name w:val="Border"/>
    <w:basedOn w:val="Normal"/>
    <w:qFormat/>
    <w:rsid w:val="00C20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13D"/>
    <w:rPr>
      <w:b/>
      <w:bCs/>
      <w:i/>
      <w:iCs/>
      <w:color w:val="auto"/>
    </w:rPr>
  </w:style>
  <w:style w:type="paragraph" w:styleId="IntenseQuote">
    <w:name w:val="Intense Quote"/>
    <w:basedOn w:val="Normal"/>
    <w:next w:val="Normal"/>
    <w:link w:val="IntenseQuoteChar"/>
    <w:uiPriority w:val="30"/>
    <w:qFormat/>
    <w:rsid w:val="00C20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13D"/>
    <w:rPr>
      <w:smallCaps/>
      <w:color w:val="auto"/>
      <w:u w:val="single"/>
    </w:rPr>
  </w:style>
  <w:style w:type="character" w:styleId="IntenseReference">
    <w:name w:val="Intense Reference"/>
    <w:basedOn w:val="DefaultParagraphFont"/>
    <w:uiPriority w:val="32"/>
    <w:qFormat/>
    <w:rsid w:val="00C2013D"/>
    <w:rPr>
      <w:b/>
      <w:bCs/>
      <w:smallCaps/>
      <w:color w:val="auto"/>
      <w:spacing w:val="5"/>
      <w:u w:val="single"/>
    </w:rPr>
  </w:style>
  <w:style w:type="paragraph" w:customStyle="1" w:styleId="2ColumnHeading">
    <w:name w:val="2Column Heading"/>
    <w:basedOn w:val="BodyText"/>
    <w:qFormat/>
    <w:rsid w:val="00C2013D"/>
    <w:pPr>
      <w:spacing w:after="60"/>
      <w:ind w:left="-2268"/>
    </w:pPr>
    <w:rPr>
      <w:b/>
    </w:rPr>
  </w:style>
  <w:style w:type="paragraph" w:customStyle="1" w:styleId="Heading1TOC">
    <w:name w:val="Heading1 TOC"/>
    <w:basedOn w:val="Normal"/>
    <w:qFormat/>
    <w:rsid w:val="00C2013D"/>
    <w:pPr>
      <w:spacing w:before="240" w:after="120"/>
    </w:pPr>
    <w:rPr>
      <w:rFonts w:ascii="Times New Roman" w:hAnsi="Times New Roman"/>
      <w:b/>
      <w:sz w:val="32"/>
    </w:rPr>
  </w:style>
  <w:style w:type="paragraph" w:customStyle="1" w:styleId="Heading2TOC">
    <w:name w:val="Heading2 TOC"/>
    <w:basedOn w:val="Normal"/>
    <w:qFormat/>
    <w:rsid w:val="00C2013D"/>
    <w:pPr>
      <w:spacing w:before="240" w:after="60"/>
    </w:pPr>
    <w:rPr>
      <w:rFonts w:ascii="Times New Roman" w:hAnsi="Times New Roman"/>
      <w:b/>
      <w:sz w:val="28"/>
    </w:rPr>
  </w:style>
  <w:style w:type="character" w:customStyle="1" w:styleId="Underline">
    <w:name w:val="Underline"/>
    <w:basedOn w:val="DefaultParagraphFont"/>
    <w:qFormat/>
    <w:rsid w:val="00C2013D"/>
    <w:rPr>
      <w:u w:val="single"/>
    </w:rPr>
  </w:style>
  <w:style w:type="character" w:customStyle="1" w:styleId="BoldandItalics">
    <w:name w:val="Bold and Italics"/>
    <w:qFormat/>
    <w:rsid w:val="00C2013D"/>
    <w:rPr>
      <w:b/>
      <w:i/>
      <w:u w:val="none"/>
    </w:rPr>
  </w:style>
  <w:style w:type="paragraph" w:styleId="BalloonText">
    <w:name w:val="Balloon Text"/>
    <w:basedOn w:val="Normal"/>
    <w:link w:val="BalloonTextChar"/>
    <w:rsid w:val="00C2013D"/>
    <w:rPr>
      <w:rFonts w:ascii="Tahoma" w:hAnsi="Tahoma" w:cs="Tahoma"/>
      <w:sz w:val="16"/>
      <w:szCs w:val="16"/>
    </w:rPr>
  </w:style>
  <w:style w:type="character" w:customStyle="1" w:styleId="BalloonTextChar">
    <w:name w:val="Balloon Text Char"/>
    <w:basedOn w:val="DefaultParagraphFont"/>
    <w:link w:val="BalloonText"/>
    <w:rsid w:val="00C20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1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13D"/>
    <w:rPr>
      <w:b/>
      <w:color w:val="660033"/>
      <w:spacing w:val="0"/>
    </w:rPr>
  </w:style>
  <w:style w:type="paragraph" w:customStyle="1" w:styleId="Nameditemlist">
    <w:name w:val="Named item list"/>
    <w:basedOn w:val="BodyText"/>
    <w:qFormat/>
    <w:rsid w:val="00C201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2138</Words>
  <Characters>13474</Characters>
  <Application>Microsoft Office Word</Application>
  <DocSecurity>0</DocSecurity>
  <Lines>486</Lines>
  <Paragraphs>210</Paragraphs>
  <ScaleCrop>false</ScaleCrop>
  <Company>Author-it Software Corporation Ltd.</Company>
  <LinksUpToDate>false</LinksUpToDate>
  <CharactersWithSpaces>15470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UEPMNT429B Modify electronic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2012-07-25T16:55:00Z</dcterms:created>
  <dcterms:modified xsi:type="dcterms:W3CDTF">2012-07-25T16:55:00Z</dcterms:modified>
</cp:coreProperties>
</file>