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7F41" w:rsidP="00627F41">
      <w:pPr>
        <w:pStyle w:val="Title"/>
      </w:pPr>
      <w:bookmarkStart w:id="0" w:name="_GoBack"/>
      <w:bookmarkEnd w:id="0"/>
      <w:r>
        <w:fldChar w:fldCharType="begin"/>
      </w:r>
      <w:r>
        <w:instrText xml:space="preserve"> TITLE   \* MERGEFORMAT </w:instrText>
      </w:r>
      <w:r>
        <w:fldChar w:fldCharType="separate"/>
      </w:r>
      <w:r>
        <w:t>UEPMNT371A Maintain large scale wind turbine generators</w:t>
      </w:r>
      <w:r>
        <w:fldChar w:fldCharType="end"/>
      </w:r>
    </w:p>
    <w:p w:rsidR="00627F41" w:rsidP="00627F41">
      <w:pPr>
        <w:pStyle w:val="Version"/>
        <w:sectPr w:rsidSect="00BF74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7456" w:rsidP="00BF7456">
      <w:pPr>
        <w:pStyle w:val="SuperHeading"/>
      </w:pPr>
      <w:r w:rsidRPr="00BF7456">
        <w:t>UEPMNT371A Maintain large scale wind turbine generators</w:t>
      </w:r>
    </w:p>
    <w:p w:rsidR="00000000" w:rsidRPr="00BF7456" w:rsidP="00BF7456">
      <w:pPr>
        <w:pStyle w:val="Heading1"/>
      </w:pPr>
      <w:bookmarkStart w:id="1" w:name="O_490880"/>
      <w:bookmarkEnd w:id="1"/>
      <w:r w:rsidRPr="00BF7456">
        <w:t>Modification History</w:t>
      </w:r>
    </w:p>
    <w:p w:rsidR="00000000" w:rsidRPr="00BF7456" w:rsidP="00BF7456">
      <w:pPr>
        <w:pStyle w:val="BodyText"/>
      </w:pPr>
      <w:r w:rsidRPr="00BF7456">
        <w:t>Not applicable.</w:t>
      </w:r>
    </w:p>
    <w:p w:rsidR="00000000" w:rsidRPr="00BF7456" w:rsidP="00BF7456">
      <w:pPr>
        <w:pStyle w:val="AllowPageBreak"/>
      </w:pPr>
    </w:p>
    <w:p w:rsidR="00000000" w:rsidRPr="00BF7456" w:rsidP="00BF7456">
      <w:pPr>
        <w:pStyle w:val="Heading1"/>
      </w:pPr>
      <w:bookmarkStart w:id="2" w:name="O_490878"/>
      <w:bookmarkEnd w:id="2"/>
      <w:r w:rsidRPr="00BF7456">
        <w:t>Unit Descriptor</w:t>
      </w:r>
    </w:p>
    <w:tbl>
      <w:tblPr>
        <w:tblW w:w="0" w:type="auto"/>
        <w:tblLayout w:type="fixed"/>
        <w:tblCellMar>
          <w:left w:w="62" w:type="dxa"/>
          <w:right w:w="62" w:type="dxa"/>
        </w:tblCellMar>
        <w:tblLook w:val="0000"/>
      </w:tblPr>
      <w:tblGrid>
        <w:gridCol w:w="2700"/>
        <w:gridCol w:w="5760"/>
      </w:tblGrid>
      <w:tr w:rsidTr="00627F4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F7456" w:rsidP="00BF7456">
            <w:pPr>
              <w:pStyle w:val="BodyText"/>
            </w:pPr>
            <w:r w:rsidRPr="00BF745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rPr>
                <w:rStyle w:val="SpecialBold"/>
              </w:rPr>
              <w:t>1)</w:t>
            </w:r>
            <w:r w:rsidRPr="00BF7456">
              <w:t xml:space="preserve"> </w:t>
            </w:r>
            <w:r w:rsidRPr="00BF7456">
              <w:rPr>
                <w:rStyle w:val="SpecialBold"/>
              </w:rPr>
              <w:t>Scope:</w:t>
            </w:r>
          </w:p>
        </w:tc>
      </w:tr>
      <w:tr w:rsidTr="00627F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F745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rPr>
                <w:rStyle w:val="SpecialBold"/>
              </w:rPr>
              <w:t>1.1) Descriptor</w:t>
            </w:r>
          </w:p>
        </w:tc>
      </w:tr>
      <w:tr w:rsidTr="00627F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F7456" w:rsidP="00BF7456">
            <w:pPr>
              <w:pStyle w:val="BodyText"/>
            </w:pPr>
            <w:r w:rsidRPr="00BF7456">
              <w:t>This unit deals with the skills and knowledge required to undertake the scheduled maintenance of large scale wind turbine ge</w:t>
            </w:r>
            <w:r w:rsidRPr="00BF7456">
              <w:t>nerators (WTGs).</w:t>
            </w:r>
          </w:p>
        </w:tc>
      </w:tr>
    </w:tbl>
    <w:p w:rsidR="00000000" w:rsidRPr="00BF7456" w:rsidP="00BF7456">
      <w:pPr>
        <w:pStyle w:val="BodyText"/>
      </w:pPr>
    </w:p>
    <w:p w:rsidR="00000000" w:rsidRPr="00BF7456" w:rsidP="00BF7456">
      <w:pPr>
        <w:pStyle w:val="AllowPageBreak"/>
      </w:pPr>
    </w:p>
    <w:p w:rsidR="00000000" w:rsidRPr="00BF7456" w:rsidP="00BF7456">
      <w:pPr>
        <w:pStyle w:val="Heading1"/>
      </w:pPr>
      <w:bookmarkStart w:id="3" w:name="O_490867"/>
      <w:bookmarkEnd w:id="3"/>
      <w:r w:rsidRPr="00BF7456">
        <w:t>Application of the Unit</w:t>
      </w:r>
    </w:p>
    <w:tbl>
      <w:tblPr>
        <w:tblW w:w="0" w:type="auto"/>
        <w:tblLayout w:type="fixed"/>
        <w:tblCellMar>
          <w:left w:w="62" w:type="dxa"/>
          <w:right w:w="62" w:type="dxa"/>
        </w:tblCellMar>
        <w:tblLook w:val="0000"/>
      </w:tblPr>
      <w:tblGrid>
        <w:gridCol w:w="2672"/>
        <w:gridCol w:w="5699"/>
      </w:tblGrid>
      <w:tr w:rsidTr="00627F4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BF7456" w:rsidP="00BF7456">
            <w:pPr>
              <w:pStyle w:val="BodyText"/>
            </w:pPr>
            <w:r w:rsidRPr="00BF7456">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rPr>
                <w:rStyle w:val="SpecialBold"/>
              </w:rPr>
              <w:t>2)</w:t>
            </w:r>
          </w:p>
        </w:tc>
      </w:tr>
      <w:tr w:rsidTr="00627F4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BF7456" w:rsidP="00BF7456">
            <w:pPr>
              <w:pStyle w:val="BodyText"/>
            </w:pPr>
            <w:r w:rsidRPr="00BF7456">
              <w:t>This unit is intended to augment formally acquired competencies. It is suitable for employment-based programs under an approved contract of training.</w:t>
            </w:r>
          </w:p>
        </w:tc>
      </w:tr>
    </w:tbl>
    <w:p w:rsidR="00000000" w:rsidRPr="00BF7456" w:rsidP="00BF7456">
      <w:pPr>
        <w:pStyle w:val="BodyText"/>
      </w:pPr>
    </w:p>
    <w:p w:rsidR="00000000" w:rsidRPr="00BF7456" w:rsidP="00BF7456">
      <w:pPr>
        <w:pStyle w:val="AllowPageBreak"/>
      </w:pPr>
    </w:p>
    <w:p w:rsidR="00000000" w:rsidRPr="00BF7456" w:rsidP="00BF7456">
      <w:pPr>
        <w:pStyle w:val="Heading1"/>
      </w:pPr>
      <w:bookmarkStart w:id="4" w:name="O_490874"/>
      <w:bookmarkEnd w:id="4"/>
      <w:r w:rsidRPr="00BF7456">
        <w:t>Licensing/Regulatory Information</w:t>
      </w:r>
    </w:p>
    <w:tbl>
      <w:tblPr>
        <w:tblW w:w="0" w:type="auto"/>
        <w:tblLayout w:type="fixed"/>
        <w:tblCellMar>
          <w:left w:w="62" w:type="dxa"/>
          <w:right w:w="62" w:type="dxa"/>
        </w:tblCellMar>
        <w:tblLook w:val="0000"/>
      </w:tblPr>
      <w:tblGrid>
        <w:gridCol w:w="2700"/>
        <w:gridCol w:w="5760"/>
      </w:tblGrid>
      <w:tr w:rsidTr="00627F4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F7456" w:rsidP="00BF7456">
            <w:pPr>
              <w:pStyle w:val="BodyText"/>
            </w:pPr>
            <w:r w:rsidRPr="00BF7456">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rPr>
                <w:rStyle w:val="SpecialBold"/>
              </w:rPr>
              <w:t xml:space="preserve">3) </w:t>
            </w:r>
          </w:p>
        </w:tc>
      </w:tr>
      <w:tr w:rsidTr="00627F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F7456" w:rsidP="00BF7456">
            <w:pPr>
              <w:pStyle w:val="BodyText"/>
            </w:pPr>
            <w:r w:rsidRPr="00BF7456">
              <w:t>The skills and knowledge described in this unit do not require a licence to practise in the workplace. However, practice in this unit is subject to regulations directly related to Occupatio</w:t>
            </w:r>
            <w:r w:rsidRPr="00BF7456">
              <w:t>nal Health and Safety and where applicable contracts of training such as apprenticeships and the like.</w:t>
            </w:r>
          </w:p>
        </w:tc>
      </w:tr>
    </w:tbl>
    <w:p w:rsidR="00000000" w:rsidRPr="00BF7456" w:rsidP="00BF7456">
      <w:pPr>
        <w:pStyle w:val="BodyText"/>
      </w:pPr>
    </w:p>
    <w:p w:rsidR="00000000" w:rsidRPr="00BF7456" w:rsidP="00BF7456">
      <w:pPr>
        <w:pStyle w:val="AllowPageBreak"/>
      </w:pPr>
    </w:p>
    <w:p w:rsidR="00000000" w:rsidRPr="00BF7456" w:rsidP="00BF7456">
      <w:pPr>
        <w:pStyle w:val="Heading1"/>
      </w:pPr>
      <w:bookmarkStart w:id="5" w:name="O_490875"/>
      <w:bookmarkEnd w:id="5"/>
      <w:r w:rsidRPr="00BF7456">
        <w:t>Pre-Requisites</w:t>
      </w:r>
    </w:p>
    <w:tbl>
      <w:tblPr>
        <w:tblW w:w="0" w:type="auto"/>
        <w:tblLayout w:type="fixed"/>
        <w:tblCellMar>
          <w:left w:w="62" w:type="dxa"/>
          <w:right w:w="62" w:type="dxa"/>
        </w:tblCellMar>
        <w:tblLook w:val="0000"/>
      </w:tblPr>
      <w:tblGrid>
        <w:gridCol w:w="2700"/>
        <w:gridCol w:w="1710"/>
        <w:gridCol w:w="4054"/>
      </w:tblGrid>
      <w:tr w:rsidTr="00627F4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F7456" w:rsidP="00BF7456">
            <w:pPr>
              <w:pStyle w:val="BodyText"/>
            </w:pPr>
            <w:r w:rsidRPr="00BF7456">
              <w:rPr>
                <w:rStyle w:val="SpecialBold"/>
              </w:rPr>
              <w:t>Prerequisite Unit(s)</w:t>
            </w:r>
          </w:p>
        </w:tc>
        <w:tc>
          <w:tcPr>
            <w:tcW w:w="5764" w:type="dxa"/>
            <w:gridSpan w:val="2"/>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rPr>
                <w:rStyle w:val="SpecialBold"/>
              </w:rPr>
              <w:t xml:space="preserve">4) </w:t>
            </w:r>
          </w:p>
        </w:tc>
      </w:tr>
      <w:tr w:rsidTr="00627F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F7456" w:rsidP="00BF7456">
            <w:pPr>
              <w:pStyle w:val="BodyText"/>
            </w:pPr>
            <w:r w:rsidRPr="00BF7456">
              <w:rPr>
                <w:rStyle w:val="SpecialBold"/>
              </w:rPr>
              <w:t>Competencies</w:t>
            </w:r>
          </w:p>
        </w:tc>
        <w:tc>
          <w:tcPr>
            <w:tcW w:w="5764" w:type="dxa"/>
            <w:gridSpan w:val="2"/>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rPr>
                <w:rStyle w:val="SpecialBold"/>
              </w:rPr>
              <w:t>4.1)</w:t>
            </w:r>
          </w:p>
        </w:tc>
      </w:tr>
      <w:tr w:rsidTr="00627F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2"/>
            <w:tcBorders>
              <w:top w:val="nil"/>
              <w:left w:val="nil"/>
              <w:bottom w:val="nil"/>
              <w:right w:val="nil"/>
            </w:tcBorders>
            <w:tcMar>
              <w:top w:w="0" w:type="dxa"/>
              <w:left w:w="62" w:type="dxa"/>
              <w:bottom w:w="0" w:type="dxa"/>
              <w:right w:w="62" w:type="dxa"/>
            </w:tcMar>
          </w:tcPr>
          <w:p w:rsidR="00000000" w:rsidRPr="00BF7456" w:rsidP="00BF7456">
            <w:pPr>
              <w:pStyle w:val="BodyText"/>
            </w:pPr>
            <w:r w:rsidRPr="00BF7456">
              <w:t>Granting of competency in this unit shall be made only after competency in the following unit(s) has/have been confirmed.</w:t>
            </w:r>
          </w:p>
          <w:p w:rsidR="00000000" w:rsidP="00BF7456">
            <w:pPr>
              <w:pStyle w:val="BodyText"/>
              <w:rPr>
                <w:lang w:val="en-NZ"/>
              </w:rPr>
            </w:pPr>
            <w:r w:rsidRPr="00BF7456">
              <w:t>Where pre-requisite pathways have been identified. All competencies in the Common Unit Group must have been completed.</w:t>
            </w:r>
          </w:p>
        </w:tc>
      </w:tr>
      <w:tr w:rsidTr="00627F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t>Unit Code</w:t>
            </w:r>
          </w:p>
        </w:tc>
        <w:tc>
          <w:tcPr>
            <w:tcW w:w="4054"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t>Un</w:t>
            </w:r>
            <w:r w:rsidRPr="00BF7456">
              <w:t>it Title</w:t>
            </w:r>
          </w:p>
        </w:tc>
      </w:tr>
      <w:tr w:rsidTr="00627F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t>UEENEEE101A</w:t>
            </w:r>
          </w:p>
        </w:tc>
        <w:tc>
          <w:tcPr>
            <w:tcW w:w="4054" w:type="dxa"/>
            <w:tcBorders>
              <w:top w:val="nil"/>
              <w:left w:val="nil"/>
              <w:bottom w:val="nil"/>
              <w:right w:val="nil"/>
            </w:tcBorders>
            <w:tcMar>
              <w:top w:w="0" w:type="dxa"/>
              <w:left w:w="62" w:type="dxa"/>
              <w:bottom w:w="0" w:type="dxa"/>
              <w:right w:w="62" w:type="dxa"/>
            </w:tcMar>
          </w:tcPr>
          <w:p w:rsidR="00000000" w:rsidRPr="00BF7456" w:rsidP="00BF7456">
            <w:pPr>
              <w:pStyle w:val="BodyText"/>
            </w:pPr>
            <w:r w:rsidRPr="00BF7456">
              <w:t>Apply Occupational Health and Safety regulations, codes and practices in the workplace</w:t>
            </w:r>
          </w:p>
        </w:tc>
      </w:tr>
    </w:tbl>
    <w:p w:rsidR="00000000" w:rsidRPr="00BF7456" w:rsidP="00BF7456">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627F41">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BF7456" w:rsidP="00BF7456">
            <w:pPr>
              <w:pStyle w:val="BodyText"/>
            </w:pPr>
            <w:r w:rsidRPr="00BF745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rPr>
                <w:rStyle w:val="SpecialBold"/>
              </w:rPr>
              <w:t xml:space="preserve">4.2) </w:t>
            </w:r>
          </w:p>
        </w:tc>
      </w:tr>
      <w:tr w:rsidTr="00627F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t>Participant</w:t>
            </w:r>
            <w:r w:rsidRPr="00BF7456">
              <w:t>s are best equipped to achieve this unit if they have reading, writing and numeracy skills indicated by the following levels. A description of what each level entails is provided in Section 2.3.1 Language, Literacy and Numeracy.</w:t>
            </w:r>
          </w:p>
        </w:tc>
      </w:tr>
      <w:tr w:rsidTr="00627F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t>Reading</w:t>
            </w:r>
          </w:p>
        </w:tc>
        <w:tc>
          <w:tcPr>
            <w:tcW w:w="810"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t>3</w:t>
            </w:r>
          </w:p>
        </w:tc>
        <w:tc>
          <w:tcPr>
            <w:tcW w:w="990"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t>Writing</w:t>
            </w:r>
          </w:p>
        </w:tc>
        <w:tc>
          <w:tcPr>
            <w:tcW w:w="900"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t>3</w:t>
            </w:r>
          </w:p>
        </w:tc>
        <w:tc>
          <w:tcPr>
            <w:tcW w:w="1260"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t>Numeracy</w:t>
            </w:r>
          </w:p>
        </w:tc>
        <w:tc>
          <w:tcPr>
            <w:tcW w:w="720" w:type="dxa"/>
            <w:tcBorders>
              <w:top w:val="nil"/>
              <w:left w:val="nil"/>
              <w:bottom w:val="nil"/>
              <w:right w:val="nil"/>
            </w:tcBorders>
            <w:tcMar>
              <w:top w:w="0" w:type="dxa"/>
              <w:left w:w="62" w:type="dxa"/>
              <w:bottom w:w="0" w:type="dxa"/>
              <w:right w:w="62" w:type="dxa"/>
            </w:tcMar>
          </w:tcPr>
          <w:p w:rsidR="00000000" w:rsidRPr="00BF7456" w:rsidP="00BF7456">
            <w:pPr>
              <w:pStyle w:val="BodyText"/>
            </w:pPr>
            <w:r w:rsidRPr="00BF7456">
              <w:t>3</w:t>
            </w:r>
          </w:p>
        </w:tc>
      </w:tr>
    </w:tbl>
    <w:p w:rsidR="00000000" w:rsidRPr="00BF7456" w:rsidP="00BF7456">
      <w:pPr>
        <w:pStyle w:val="BodyText"/>
      </w:pPr>
    </w:p>
    <w:p w:rsidR="00000000" w:rsidRPr="00BF7456" w:rsidP="00BF7456">
      <w:pPr>
        <w:pStyle w:val="AllowPageBreak"/>
      </w:pPr>
    </w:p>
    <w:p w:rsidR="00000000" w:rsidRPr="00BF7456" w:rsidP="00BF7456">
      <w:pPr>
        <w:pStyle w:val="Heading1"/>
      </w:pPr>
      <w:bookmarkStart w:id="6" w:name="O_490871"/>
      <w:bookmarkEnd w:id="6"/>
      <w:r w:rsidRPr="00BF7456">
        <w:t>Employability Skills Information</w:t>
      </w:r>
    </w:p>
    <w:tbl>
      <w:tblPr>
        <w:tblW w:w="0" w:type="auto"/>
        <w:tblLayout w:type="fixed"/>
        <w:tblCellMar>
          <w:left w:w="62" w:type="dxa"/>
          <w:right w:w="62" w:type="dxa"/>
        </w:tblCellMar>
        <w:tblLook w:val="0000"/>
      </w:tblPr>
      <w:tblGrid>
        <w:gridCol w:w="2700"/>
        <w:gridCol w:w="5760"/>
      </w:tblGrid>
      <w:tr w:rsidTr="00627F4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F7456" w:rsidP="00BF7456">
            <w:pPr>
              <w:pStyle w:val="BodyText"/>
            </w:pPr>
            <w:r w:rsidRPr="00BF745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rPr>
                <w:rStyle w:val="SpecialBold"/>
              </w:rPr>
              <w:t xml:space="preserve">5) </w:t>
            </w:r>
          </w:p>
        </w:tc>
      </w:tr>
      <w:tr w:rsidTr="00627F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F7456" w:rsidP="00BF7456">
            <w:pPr>
              <w:pStyle w:val="BodyText"/>
            </w:pPr>
            <w:r w:rsidRPr="00BF7456">
              <w:t>This unit contains Employability Skills.</w:t>
            </w:r>
          </w:p>
          <w:p w:rsidR="00000000" w:rsidRPr="00BF7456" w:rsidP="00BF7456">
            <w:pPr>
              <w:pStyle w:val="BodyText"/>
            </w:pPr>
            <w:r w:rsidRPr="00BF7456">
              <w:t xml:space="preserve">The required </w:t>
            </w:r>
            <w:r w:rsidRPr="00BF7456">
              <w:t>outcomes described in this unit of competency contain applicable facets of Employability Skills. The Employability Skills Summary of the qualification in which this unit of competency is packaged will assist in identifying Employability Skill requirements.</w:t>
            </w:r>
          </w:p>
        </w:tc>
      </w:tr>
    </w:tbl>
    <w:p w:rsidR="00000000" w:rsidRPr="00BF7456" w:rsidP="00BF7456">
      <w:pPr>
        <w:pStyle w:val="BodyText"/>
      </w:pPr>
    </w:p>
    <w:p w:rsidR="00000000" w:rsidRPr="00BF7456" w:rsidP="00BF7456">
      <w:pPr>
        <w:pStyle w:val="AllowPageBreak"/>
      </w:pPr>
    </w:p>
    <w:p w:rsidR="00000000" w:rsidRPr="00BF7456" w:rsidP="00BF7456">
      <w:pPr>
        <w:pStyle w:val="Heading1"/>
      </w:pPr>
      <w:bookmarkStart w:id="7" w:name="O_490870"/>
      <w:bookmarkEnd w:id="7"/>
      <w:r w:rsidRPr="00BF7456">
        <w:t>Elements and Performance Criteria Pre-Content</w:t>
      </w:r>
    </w:p>
    <w:tbl>
      <w:tblPr>
        <w:tblW w:w="0" w:type="auto"/>
        <w:tblLayout w:type="fixed"/>
        <w:tblCellMar>
          <w:left w:w="62" w:type="dxa"/>
          <w:right w:w="62" w:type="dxa"/>
        </w:tblCellMar>
        <w:tblLook w:val="0000"/>
      </w:tblPr>
      <w:tblGrid>
        <w:gridCol w:w="2700"/>
        <w:gridCol w:w="5760"/>
      </w:tblGrid>
      <w:tr w:rsidTr="00627F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rPr>
                <w:rStyle w:val="SpecialBold"/>
              </w:rPr>
              <w:t>6)</w:t>
            </w:r>
            <w:r w:rsidRPr="00BF7456">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BF7456" w:rsidP="00BF7456">
            <w:pPr>
              <w:pStyle w:val="BodyText"/>
            </w:pPr>
            <w:r w:rsidRPr="00BF7456">
              <w:t xml:space="preserve">Performance Criteria describe the required performance needed to demonstrate achievement of the element. Assessment </w:t>
            </w:r>
            <w:r w:rsidRPr="00BF7456">
              <w:t>of performance is to be consistent with the Evidence Guide.</w:t>
            </w:r>
          </w:p>
        </w:tc>
      </w:tr>
    </w:tbl>
    <w:p w:rsidR="00000000" w:rsidRPr="00BF7456" w:rsidP="00BF7456">
      <w:pPr>
        <w:pStyle w:val="BodyText"/>
      </w:pPr>
    </w:p>
    <w:p w:rsidR="00000000" w:rsidRPr="00BF7456" w:rsidP="00BF7456">
      <w:pPr>
        <w:pStyle w:val="AllowPageBreak"/>
      </w:pPr>
    </w:p>
    <w:p w:rsidR="00000000" w:rsidRPr="00BF7456" w:rsidP="00BF7456">
      <w:pPr>
        <w:pStyle w:val="Heading1"/>
      </w:pPr>
      <w:bookmarkStart w:id="8" w:name="O_490869"/>
      <w:bookmarkEnd w:id="8"/>
      <w:r w:rsidRPr="00BF7456">
        <w:t>Elements and Performance Criteria</w:t>
      </w:r>
    </w:p>
    <w:tbl>
      <w:tblPr>
        <w:tblW w:w="0" w:type="auto"/>
        <w:tblLayout w:type="fixed"/>
        <w:tblCellMar>
          <w:left w:w="62" w:type="dxa"/>
          <w:right w:w="62" w:type="dxa"/>
        </w:tblCellMar>
        <w:tblLook w:val="0000"/>
      </w:tblPr>
      <w:tblGrid>
        <w:gridCol w:w="342"/>
        <w:gridCol w:w="2358"/>
        <w:gridCol w:w="838"/>
        <w:gridCol w:w="4922"/>
      </w:tblGrid>
      <w:tr w:rsidTr="00627F4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F7456" w:rsidP="00BF7456">
            <w:pPr>
              <w:pStyle w:val="BodyText"/>
            </w:pPr>
            <w:r w:rsidRPr="00BF745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rPr>
                <w:rStyle w:val="SpecialBold"/>
              </w:rPr>
              <w:t>PERFORMANCE CRITERIA</w:t>
            </w:r>
          </w:p>
        </w:tc>
      </w:tr>
      <w:tr w:rsidTr="00627F4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t>1</w:t>
            </w:r>
          </w:p>
        </w:tc>
        <w:tc>
          <w:tcPr>
            <w:tcW w:w="2358"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t>Plan and prepare for the work</w:t>
            </w:r>
          </w:p>
        </w:tc>
        <w:tc>
          <w:tcPr>
            <w:tcW w:w="838"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t>1.1</w:t>
            </w:r>
          </w:p>
        </w:tc>
        <w:tc>
          <w:tcPr>
            <w:tcW w:w="4922"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t>Work requirements are identified from request/work orders or equivalent and clarified/confirmed with appropriate parties or by site inspection</w:t>
            </w:r>
          </w:p>
        </w:tc>
      </w:tr>
      <w:tr w:rsidTr="00627F4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t>1.2</w:t>
            </w:r>
          </w:p>
        </w:tc>
        <w:tc>
          <w:tcPr>
            <w:tcW w:w="4922"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t xml:space="preserve">Occupational Health and Safety standards, statutory requirements, relevant Australian standards, codes of practice, manufacturer specifications, environmental requirements and enterprise procedures are identified, applied and monitored throughout the work </w:t>
            </w:r>
            <w:r w:rsidRPr="00BF7456">
              <w:t>procedure.</w:t>
            </w:r>
          </w:p>
        </w:tc>
      </w:tr>
      <w:tr w:rsidTr="00627F4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t>1.3</w:t>
            </w:r>
          </w:p>
        </w:tc>
        <w:tc>
          <w:tcPr>
            <w:tcW w:w="4922"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t>Resources required to satisfy the work plan are identified, obtained and inspected for compliance with the job specifications</w:t>
            </w:r>
          </w:p>
        </w:tc>
      </w:tr>
      <w:tr w:rsidTr="00627F4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t>1.4</w:t>
            </w:r>
          </w:p>
        </w:tc>
        <w:tc>
          <w:tcPr>
            <w:tcW w:w="4922"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t>Relevant plans, drawings and texts are selected and interpreted in accordance with the work plan</w:t>
            </w:r>
          </w:p>
        </w:tc>
      </w:tr>
      <w:tr w:rsidTr="00627F4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t>1.5</w:t>
            </w:r>
          </w:p>
        </w:tc>
        <w:tc>
          <w:tcPr>
            <w:tcW w:w="4922"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t>W</w:t>
            </w:r>
            <w:r w:rsidRPr="00BF7456">
              <w:t>ork is planned in detail including sequencing and prioritising and considerations made, where appropriate, for the maintenance of plant security and capacity in accordance with system/site requirements</w:t>
            </w:r>
          </w:p>
        </w:tc>
      </w:tr>
      <w:tr w:rsidTr="00627F4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t>1.6</w:t>
            </w:r>
          </w:p>
        </w:tc>
        <w:tc>
          <w:tcPr>
            <w:tcW w:w="4922"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t>Coordination requirements, including requests for isolations where appropriate, are resolved with others involved, affected or required by the work</w:t>
            </w:r>
          </w:p>
        </w:tc>
      </w:tr>
      <w:tr w:rsidTr="00627F4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t>1.7</w:t>
            </w:r>
          </w:p>
        </w:tc>
        <w:tc>
          <w:tcPr>
            <w:tcW w:w="4922"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t>Work area is prepared in accordance with work requirements and site procedures</w:t>
            </w:r>
          </w:p>
        </w:tc>
      </w:tr>
      <w:tr w:rsidTr="00627F4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t>1.8</w:t>
            </w:r>
          </w:p>
        </w:tc>
        <w:tc>
          <w:tcPr>
            <w:tcW w:w="4922"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t>Appropriate tea</w:t>
            </w:r>
            <w:r w:rsidRPr="00BF7456">
              <w:t xml:space="preserve">ms and individuals roles and responsibilities within the team are identified and, where required, used to assist in the provision of on-the-job training </w:t>
            </w:r>
          </w:p>
        </w:tc>
      </w:tr>
      <w:tr w:rsidTr="00627F4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t>2</w:t>
            </w:r>
          </w:p>
        </w:tc>
        <w:tc>
          <w:tcPr>
            <w:tcW w:w="2358"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t>Conduct maintenance</w:t>
            </w:r>
          </w:p>
        </w:tc>
        <w:tc>
          <w:tcPr>
            <w:tcW w:w="838"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t>2.1</w:t>
            </w:r>
          </w:p>
        </w:tc>
        <w:tc>
          <w:tcPr>
            <w:tcW w:w="4922"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t xml:space="preserve">Equipment is replaced, if required, due to faulty operation or maintenance </w:t>
            </w:r>
            <w:r w:rsidRPr="00BF7456">
              <w:t>plan requirements in accordance with manufacturer specifications and site procedures</w:t>
            </w:r>
          </w:p>
        </w:tc>
      </w:tr>
      <w:tr w:rsidTr="00627F4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t>2.2</w:t>
            </w:r>
          </w:p>
        </w:tc>
        <w:tc>
          <w:tcPr>
            <w:tcW w:w="4922"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t>Documented service checklists (or similar documentation) are followed</w:t>
            </w:r>
          </w:p>
        </w:tc>
      </w:tr>
      <w:tr w:rsidTr="00627F4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t>2.3</w:t>
            </w:r>
          </w:p>
        </w:tc>
        <w:tc>
          <w:tcPr>
            <w:tcW w:w="4922"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t>Diagnostic testing and data from monitoring systems are used to identify those components requiring maintenance</w:t>
            </w:r>
          </w:p>
        </w:tc>
      </w:tr>
      <w:tr w:rsidTr="00627F4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t>2.4</w:t>
            </w:r>
          </w:p>
        </w:tc>
        <w:tc>
          <w:tcPr>
            <w:tcW w:w="4922"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t>Equipment is dismantled, if required,  for maintenance in accordance with manufacturer specifications and site procedures.</w:t>
            </w:r>
          </w:p>
        </w:tc>
      </w:tr>
      <w:tr w:rsidTr="00627F4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t>2.5</w:t>
            </w:r>
          </w:p>
        </w:tc>
        <w:tc>
          <w:tcPr>
            <w:tcW w:w="4922"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t>Techniq</w:t>
            </w:r>
            <w:r w:rsidRPr="00BF7456">
              <w:t>ues are used to enable identification and/or re-assembly in accordance with job requirements and site procedures.</w:t>
            </w:r>
          </w:p>
        </w:tc>
      </w:tr>
      <w:tr w:rsidTr="00627F4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t>2.6</w:t>
            </w:r>
          </w:p>
        </w:tc>
        <w:tc>
          <w:tcPr>
            <w:tcW w:w="4922"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t>New components, if required, are obtained and inspected for compliance with manufacturer specifications.</w:t>
            </w:r>
          </w:p>
        </w:tc>
      </w:tr>
      <w:tr w:rsidTr="00627F4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t>2.7</w:t>
            </w:r>
          </w:p>
        </w:tc>
        <w:tc>
          <w:tcPr>
            <w:tcW w:w="4922"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t>Equipment is tested, monitored and adjusted as required in accordance with manufacturer specifications and site/enterprise requirements.</w:t>
            </w:r>
          </w:p>
        </w:tc>
      </w:tr>
      <w:tr w:rsidTr="00627F4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t>3</w:t>
            </w:r>
          </w:p>
        </w:tc>
        <w:tc>
          <w:tcPr>
            <w:tcW w:w="2358"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t>Complete the work</w:t>
            </w:r>
          </w:p>
        </w:tc>
        <w:tc>
          <w:tcPr>
            <w:tcW w:w="838"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t>3.1</w:t>
            </w:r>
          </w:p>
        </w:tc>
        <w:tc>
          <w:tcPr>
            <w:tcW w:w="4922"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t>Work is completed and appropriate personnel notified in accordance with site/enterprise requir</w:t>
            </w:r>
            <w:r w:rsidRPr="00BF7456">
              <w:t>ements</w:t>
            </w:r>
          </w:p>
        </w:tc>
      </w:tr>
      <w:tr w:rsidTr="00627F4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t>3.2</w:t>
            </w:r>
          </w:p>
        </w:tc>
        <w:tc>
          <w:tcPr>
            <w:tcW w:w="4922"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t>Work area is cleared of waste, cleaned, restored and secured in accordance with site/enterprise procedures</w:t>
            </w:r>
          </w:p>
        </w:tc>
      </w:tr>
      <w:tr w:rsidTr="00627F4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t>3.3</w:t>
            </w:r>
          </w:p>
        </w:tc>
        <w:tc>
          <w:tcPr>
            <w:tcW w:w="4922"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t>Plant, tools and equipment are maintained and stored in accordance with site/enterprise procedures</w:t>
            </w:r>
          </w:p>
        </w:tc>
      </w:tr>
      <w:tr w:rsidTr="00627F4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t>3.4</w:t>
            </w:r>
          </w:p>
        </w:tc>
        <w:tc>
          <w:tcPr>
            <w:tcW w:w="4922"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t>Work completion details are finalised in accordance with site/enterprise procedures</w:t>
            </w:r>
          </w:p>
        </w:tc>
      </w:tr>
      <w:tr w:rsidTr="00627F4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t>3.5</w:t>
            </w:r>
          </w:p>
        </w:tc>
        <w:tc>
          <w:tcPr>
            <w:tcW w:w="4922" w:type="dxa"/>
            <w:tcBorders>
              <w:top w:val="nil"/>
              <w:left w:val="nil"/>
              <w:bottom w:val="nil"/>
              <w:right w:val="nil"/>
            </w:tcBorders>
            <w:tcMar>
              <w:top w:w="0" w:type="dxa"/>
              <w:left w:w="62" w:type="dxa"/>
              <w:bottom w:w="0" w:type="dxa"/>
              <w:right w:w="62" w:type="dxa"/>
            </w:tcMar>
          </w:tcPr>
          <w:p w:rsidR="00000000" w:rsidRPr="00BF7456" w:rsidP="00BF7456">
            <w:pPr>
              <w:pStyle w:val="BodyText"/>
            </w:pPr>
            <w:r w:rsidRPr="00BF7456">
              <w:t>Lessons learnt from the activity or experience are shared with other team members and recorded for future reference.</w:t>
            </w:r>
          </w:p>
        </w:tc>
      </w:tr>
    </w:tbl>
    <w:p w:rsidR="00000000" w:rsidRPr="00BF7456" w:rsidP="00BF7456">
      <w:pPr>
        <w:pStyle w:val="BodyText"/>
      </w:pPr>
    </w:p>
    <w:p w:rsidR="00000000" w:rsidRPr="00BF7456" w:rsidP="00BF7456">
      <w:pPr>
        <w:pStyle w:val="AllowPageBreak"/>
      </w:pPr>
    </w:p>
    <w:p w:rsidR="00000000" w:rsidRPr="00BF7456" w:rsidP="00BF7456">
      <w:pPr>
        <w:pStyle w:val="Heading1"/>
      </w:pPr>
      <w:bookmarkStart w:id="9" w:name="O_490877"/>
      <w:bookmarkEnd w:id="9"/>
      <w:r w:rsidRPr="00BF7456">
        <w:t>Required Skills and Knowledge</w:t>
      </w:r>
    </w:p>
    <w:tbl>
      <w:tblPr>
        <w:tblW w:w="0" w:type="auto"/>
        <w:tblLayout w:type="fixed"/>
        <w:tblCellMar>
          <w:left w:w="62" w:type="dxa"/>
          <w:right w:w="62" w:type="dxa"/>
        </w:tblCellMar>
        <w:tblLook w:val="0000"/>
      </w:tblPr>
      <w:tblGrid>
        <w:gridCol w:w="1440"/>
        <w:gridCol w:w="7020"/>
      </w:tblGrid>
      <w:tr w:rsidTr="00627F41">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rPr>
                <w:rStyle w:val="SpecialBold"/>
              </w:rPr>
              <w:t>REQUIRED SKILLS AND KNOWLEDGE</w:t>
            </w:r>
          </w:p>
        </w:tc>
      </w:tr>
      <w:tr w:rsidTr="00627F41">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BF7456" w:rsidP="00BF7456">
            <w:pPr>
              <w:pStyle w:val="BodyText"/>
            </w:pPr>
            <w:r w:rsidRPr="00BF7456">
              <w:rPr>
                <w:rStyle w:val="SpecialBold"/>
              </w:rPr>
              <w:t>8)</w:t>
            </w:r>
            <w:r w:rsidRPr="00BF7456">
              <w:t xml:space="preserve"> This describes the essential skills and knowledge and their level, required for this unit.</w:t>
            </w:r>
          </w:p>
          <w:p w:rsidR="00000000" w:rsidP="00BF7456">
            <w:pPr>
              <w:pStyle w:val="BodyText"/>
              <w:rPr>
                <w:lang w:val="en-NZ"/>
              </w:rPr>
            </w:pPr>
            <w:r w:rsidRPr="00BF7456">
              <w:t>All knowledge and skills detailed in this unit should be contextualised to current industry practices and technologies.</w:t>
            </w:r>
          </w:p>
        </w:tc>
      </w:tr>
      <w:tr w:rsidTr="00627F41">
        <w:tblPrEx>
          <w:tblW w:w="0" w:type="auto"/>
          <w:tblLayout w:type="fixed"/>
          <w:tblCellMar>
            <w:left w:w="62" w:type="dxa"/>
            <w:right w:w="62" w:type="dxa"/>
          </w:tblCellMar>
          <w:tblLook w:val="0000"/>
        </w:tblPrEx>
        <w:trPr>
          <w:trHeight w:val="226"/>
        </w:trPr>
        <w:tc>
          <w:tcPr>
            <w:tcW w:w="1440"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t>KS01-PM371A</w:t>
            </w:r>
          </w:p>
        </w:tc>
        <w:tc>
          <w:tcPr>
            <w:tcW w:w="7020"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t>Maintain Large Scale Wind Turbine Generators (WTGs)</w:t>
            </w:r>
          </w:p>
        </w:tc>
      </w:tr>
      <w:tr w:rsidTr="00627F41">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t>Evidence shall show that knowledge has been acquired of maintaining large scale wind turbine generators (WTGs) to the extent indicated by the following aspects:</w:t>
            </w:r>
          </w:p>
        </w:tc>
      </w:tr>
      <w:tr w:rsidTr="00627F41">
        <w:tblPrEx>
          <w:tblW w:w="0" w:type="auto"/>
          <w:tblLayout w:type="fixed"/>
          <w:tblCellMar>
            <w:left w:w="62" w:type="dxa"/>
            <w:right w:w="62" w:type="dxa"/>
          </w:tblCellMar>
          <w:tblLook w:val="0000"/>
        </w:tblPrEx>
        <w:trPr>
          <w:trHeight w:val="304"/>
        </w:trPr>
        <w:tc>
          <w:tcPr>
            <w:tcW w:w="8460" w:type="dxa"/>
            <w:gridSpan w:val="2"/>
            <w:tcBorders>
              <w:top w:val="nil"/>
              <w:left w:val="nil"/>
              <w:bottom w:val="nil"/>
              <w:right w:val="nil"/>
            </w:tcBorders>
            <w:tcMar>
              <w:top w:w="0" w:type="dxa"/>
              <w:left w:w="62" w:type="dxa"/>
              <w:bottom w:w="0" w:type="dxa"/>
              <w:right w:w="62" w:type="dxa"/>
            </w:tcMar>
          </w:tcPr>
          <w:p w:rsidR="00000000" w:rsidRPr="00BF7456" w:rsidP="00BF7456">
            <w:pPr>
              <w:pStyle w:val="BodyText"/>
            </w:pPr>
            <w:r w:rsidRPr="00BF7456">
              <w:t>T1.</w:t>
            </w:r>
            <w:r w:rsidRPr="00BF7456">
              <w:tab/>
              <w:t>Wind generation industry</w:t>
            </w:r>
            <w:r w:rsidRPr="00BF7456">
              <w:t xml:space="preserve"> environmental, work health and safety</w:t>
            </w:r>
          </w:p>
          <w:p w:rsidR="00000000" w:rsidRPr="00BF7456" w:rsidP="00BF7456">
            <w:pPr>
              <w:pStyle w:val="ListBullet2"/>
            </w:pPr>
            <w:r w:rsidRPr="00BF7456">
              <w:t>Legislation and regulations relevant to the wind generation industry</w:t>
            </w:r>
          </w:p>
          <w:p w:rsidR="00000000" w:rsidRPr="00BF7456" w:rsidP="00BF7456">
            <w:pPr>
              <w:pStyle w:val="ListBullet2"/>
            </w:pPr>
            <w:r w:rsidRPr="00BF7456">
              <w:t>Manual handling requirements as applicable to the wind generation industry</w:t>
            </w:r>
          </w:p>
          <w:p w:rsidR="00000000" w:rsidRPr="00BF7456" w:rsidP="00BF7456">
            <w:pPr>
              <w:pStyle w:val="ListBullet2"/>
            </w:pPr>
            <w:r w:rsidRPr="00BF7456">
              <w:t xml:space="preserve">Working at heights as applicable to the wind generation industry </w:t>
            </w:r>
          </w:p>
          <w:p w:rsidR="00000000" w:rsidRPr="00BF7456" w:rsidP="00BF7456">
            <w:pPr>
              <w:pStyle w:val="ListBullet2"/>
            </w:pPr>
            <w:r w:rsidRPr="00BF7456">
              <w:t>Rigging and lifting equipment</w:t>
            </w:r>
          </w:p>
          <w:p w:rsidR="00000000" w:rsidRPr="00BF7456" w:rsidP="00BF7456">
            <w:pPr>
              <w:pStyle w:val="ListBullet2"/>
            </w:pPr>
            <w:r w:rsidRPr="00BF7456">
              <w:t>Working in environmental climates subject to high wind velocity</w:t>
            </w:r>
          </w:p>
          <w:p w:rsidR="00000000" w:rsidRPr="00BF7456" w:rsidP="00BF7456">
            <w:pPr>
              <w:pStyle w:val="BodyText"/>
            </w:pPr>
            <w:r w:rsidRPr="00BF7456">
              <w:t>T2.</w:t>
            </w:r>
            <w:r w:rsidRPr="00BF7456">
              <w:tab/>
              <w:t>Quality principles and enterprise requirements as applicable to the wind generation industry</w:t>
            </w:r>
          </w:p>
          <w:p w:rsidR="00000000" w:rsidRPr="00BF7456" w:rsidP="00BF7456">
            <w:pPr>
              <w:pStyle w:val="BodyText"/>
            </w:pPr>
            <w:r w:rsidRPr="00BF7456">
              <w:t>T3.</w:t>
            </w:r>
            <w:r w:rsidRPr="00BF7456">
              <w:tab/>
              <w:t>Wind farm principles</w:t>
            </w:r>
          </w:p>
          <w:p w:rsidR="00000000" w:rsidRPr="00BF7456" w:rsidP="00BF7456">
            <w:pPr>
              <w:pStyle w:val="ListBullet2"/>
            </w:pPr>
            <w:r w:rsidRPr="00BF7456">
              <w:t>Relevant plant and equipment, its locat</w:t>
            </w:r>
            <w:r w:rsidRPr="00BF7456">
              <w:t>ion and operating parameters</w:t>
            </w:r>
          </w:p>
          <w:p w:rsidR="00000000" w:rsidRPr="00BF7456" w:rsidP="00BF7456">
            <w:pPr>
              <w:pStyle w:val="ListBullet2"/>
            </w:pPr>
            <w:r w:rsidRPr="00BF7456">
              <w:t>Electric motor types and characteristics as applicable to the wind generation industry</w:t>
            </w:r>
          </w:p>
          <w:p w:rsidR="00000000" w:rsidRPr="00BF7456" w:rsidP="00BF7456">
            <w:pPr>
              <w:pStyle w:val="ListBullet2"/>
            </w:pPr>
            <w:r w:rsidRPr="00BF7456">
              <w:t>Switchgear types and characteristics as applicable to the wind generation industry</w:t>
            </w:r>
          </w:p>
          <w:p w:rsidR="00000000" w:rsidRPr="00BF7456" w:rsidP="00BF7456">
            <w:pPr>
              <w:pStyle w:val="ListBullet2"/>
            </w:pPr>
            <w:r w:rsidRPr="00BF7456">
              <w:t>Electrical protection types and characteristics as applic</w:t>
            </w:r>
            <w:r w:rsidRPr="00BF7456">
              <w:t>able to the wind generation industry</w:t>
            </w:r>
          </w:p>
          <w:p w:rsidR="00000000" w:rsidRPr="00BF7456" w:rsidP="00BF7456">
            <w:pPr>
              <w:pStyle w:val="ListBullet2"/>
            </w:pPr>
            <w:r w:rsidRPr="00BF7456">
              <w:t>Wind turbine generator types and characteristics</w:t>
            </w:r>
          </w:p>
          <w:p w:rsidR="00000000" w:rsidRPr="00BF7456" w:rsidP="00BF7456">
            <w:pPr>
              <w:pStyle w:val="ListBullet2"/>
            </w:pPr>
            <w:r w:rsidRPr="00BF7456">
              <w:t>Wind turbine support systems</w:t>
            </w:r>
          </w:p>
          <w:p w:rsidR="00000000" w:rsidRPr="00BF7456" w:rsidP="00BF7456">
            <w:pPr>
              <w:pStyle w:val="BodyText"/>
            </w:pPr>
            <w:r w:rsidRPr="00BF7456">
              <w:t>T4.</w:t>
            </w:r>
            <w:r w:rsidRPr="00BF7456">
              <w:tab/>
              <w:t>Enterprise procedures and documentation</w:t>
            </w:r>
          </w:p>
          <w:p w:rsidR="00000000" w:rsidRPr="00BF7456" w:rsidP="00BF7456">
            <w:pPr>
              <w:pStyle w:val="ListBullet2"/>
            </w:pPr>
            <w:r w:rsidRPr="00BF7456">
              <w:t>Plant drawings and manufacturers manuals</w:t>
            </w:r>
          </w:p>
          <w:p w:rsidR="00000000" w:rsidRPr="00BF7456" w:rsidP="00BF7456">
            <w:pPr>
              <w:pStyle w:val="ListBullet2"/>
            </w:pPr>
            <w:r w:rsidRPr="00BF7456">
              <w:t>Enterprise work completion documentation</w:t>
            </w:r>
          </w:p>
          <w:p w:rsidR="00000000" w:rsidRPr="00BF7456" w:rsidP="00BF7456">
            <w:pPr>
              <w:pStyle w:val="ListBullet2"/>
            </w:pPr>
            <w:r w:rsidRPr="00BF7456">
              <w:t>Enterprise tim</w:t>
            </w:r>
            <w:r w:rsidRPr="00BF7456">
              <w:t>esheets</w:t>
            </w:r>
          </w:p>
          <w:p w:rsidR="00000000" w:rsidRPr="00BF7456" w:rsidP="00BF7456">
            <w:pPr>
              <w:pStyle w:val="BodyText"/>
            </w:pPr>
            <w:r w:rsidRPr="00BF7456">
              <w:t>T5.</w:t>
            </w:r>
            <w:r w:rsidRPr="00BF7456">
              <w:tab/>
              <w:t>Introduction to, and typical arrangements of, power production plant</w:t>
            </w:r>
          </w:p>
          <w:p w:rsidR="00000000" w:rsidRPr="00BF7456" w:rsidP="00BF7456">
            <w:pPr>
              <w:pStyle w:val="ListBullet2"/>
            </w:pPr>
            <w:r w:rsidRPr="00BF7456">
              <w:t>Plant status</w:t>
            </w:r>
          </w:p>
          <w:p w:rsidR="00000000" w:rsidRPr="00BF7456" w:rsidP="00BF7456">
            <w:pPr>
              <w:pStyle w:val="ListBullet2"/>
            </w:pPr>
            <w:r w:rsidRPr="00BF7456">
              <w:t>Control and data acquisition systems</w:t>
            </w:r>
          </w:p>
          <w:p w:rsidR="00000000" w:rsidRPr="00BF7456" w:rsidP="00BF7456">
            <w:pPr>
              <w:pStyle w:val="BodyText"/>
            </w:pPr>
            <w:r w:rsidRPr="00BF7456">
              <w:t>T6.</w:t>
            </w:r>
            <w:r w:rsidRPr="00BF7456">
              <w:tab/>
              <w:t>Electrical fundamentals</w:t>
            </w:r>
          </w:p>
          <w:p w:rsidR="00000000" w:rsidRPr="00BF7456" w:rsidP="00BF7456">
            <w:pPr>
              <w:pStyle w:val="ListBullet2"/>
            </w:pPr>
            <w:r w:rsidRPr="00BF7456">
              <w:t>Voltage, current, power and resistance</w:t>
            </w:r>
          </w:p>
          <w:p w:rsidR="00000000" w:rsidRPr="00BF7456" w:rsidP="00BF7456">
            <w:pPr>
              <w:pStyle w:val="ListBullet2"/>
            </w:pPr>
            <w:r w:rsidRPr="00BF7456">
              <w:t>DC and AC</w:t>
            </w:r>
          </w:p>
          <w:p w:rsidR="00000000" w:rsidRPr="00BF7456" w:rsidP="00BF7456">
            <w:pPr>
              <w:pStyle w:val="ListBullet2"/>
            </w:pPr>
            <w:r w:rsidRPr="00BF7456">
              <w:t>Voltages present in and around a WTG</w:t>
            </w:r>
          </w:p>
          <w:p w:rsidR="00000000" w:rsidRPr="00BF7456" w:rsidP="00BF7456">
            <w:pPr>
              <w:pStyle w:val="ListBullet2"/>
            </w:pPr>
            <w:r w:rsidRPr="00BF7456">
              <w:t>Wiring conventions used in and around WTGs</w:t>
            </w:r>
          </w:p>
          <w:p w:rsidR="00000000" w:rsidRPr="00BF7456" w:rsidP="00BF7456">
            <w:pPr>
              <w:pStyle w:val="ListBullet2"/>
            </w:pPr>
            <w:r w:rsidRPr="00BF7456">
              <w:t>Digital multimeters</w:t>
            </w:r>
          </w:p>
          <w:p w:rsidR="00000000" w:rsidRPr="00BF7456" w:rsidP="00BF7456">
            <w:pPr>
              <w:pStyle w:val="BodyText"/>
            </w:pPr>
            <w:r w:rsidRPr="00BF7456">
              <w:t>T7.</w:t>
            </w:r>
            <w:r w:rsidRPr="00BF7456">
              <w:tab/>
              <w:t>Levelling and aligning techniques</w:t>
            </w:r>
          </w:p>
          <w:p w:rsidR="00000000" w:rsidRPr="00BF7456" w:rsidP="00BF7456">
            <w:pPr>
              <w:pStyle w:val="BodyText"/>
            </w:pPr>
            <w:r w:rsidRPr="00BF7456">
              <w:t>T8.</w:t>
            </w:r>
            <w:r w:rsidRPr="00BF7456">
              <w:tab/>
              <w:t>Isolation procedures</w:t>
            </w:r>
          </w:p>
          <w:p w:rsidR="00000000" w:rsidRPr="00BF7456" w:rsidP="00BF7456">
            <w:pPr>
              <w:pStyle w:val="BodyText"/>
            </w:pPr>
            <w:r w:rsidRPr="00BF7456">
              <w:t>T9.</w:t>
            </w:r>
            <w:r w:rsidRPr="00BF7456">
              <w:tab/>
              <w:t>High torqueing tools and adjustments</w:t>
            </w:r>
          </w:p>
          <w:p w:rsidR="00000000" w:rsidRPr="00BF7456" w:rsidP="00BF7456">
            <w:pPr>
              <w:pStyle w:val="ListBullet2"/>
            </w:pPr>
            <w:r w:rsidRPr="00BF7456">
              <w:t>Lubrication principles, types and application as applicable to the wind generation indus</w:t>
            </w:r>
            <w:r w:rsidRPr="00BF7456">
              <w:t>try</w:t>
            </w:r>
          </w:p>
        </w:tc>
      </w:tr>
    </w:tbl>
    <w:p w:rsidR="00000000" w:rsidRPr="00BF7456" w:rsidP="00BF7456">
      <w:pPr>
        <w:pStyle w:val="BodyText"/>
      </w:pPr>
    </w:p>
    <w:p w:rsidR="00000000" w:rsidRPr="00BF7456" w:rsidP="00BF7456">
      <w:pPr>
        <w:pStyle w:val="AllowPageBreak"/>
      </w:pPr>
    </w:p>
    <w:p w:rsidR="00000000" w:rsidRPr="00BF7456" w:rsidP="00BF7456">
      <w:pPr>
        <w:pStyle w:val="Heading1"/>
      </w:pPr>
      <w:bookmarkStart w:id="10" w:name="O_490872"/>
      <w:bookmarkEnd w:id="10"/>
      <w:r w:rsidRPr="00BF7456">
        <w:t>Evidence Guide</w:t>
      </w:r>
    </w:p>
    <w:tbl>
      <w:tblPr>
        <w:tblW w:w="0" w:type="auto"/>
        <w:tblLayout w:type="fixed"/>
        <w:tblCellMar>
          <w:left w:w="62" w:type="dxa"/>
          <w:right w:w="62" w:type="dxa"/>
        </w:tblCellMar>
        <w:tblLook w:val="0000"/>
      </w:tblPr>
      <w:tblGrid>
        <w:gridCol w:w="8460"/>
      </w:tblGrid>
      <w:tr w:rsidTr="00627F4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rPr>
                <w:rStyle w:val="SpecialBold"/>
              </w:rPr>
              <w:t>EVIDENCE GUIDE</w:t>
            </w:r>
          </w:p>
        </w:tc>
      </w:tr>
      <w:tr w:rsidTr="00627F4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F7456" w:rsidP="00BF7456">
            <w:pPr>
              <w:pStyle w:val="BodyText"/>
            </w:pPr>
            <w:r w:rsidRPr="00BF7456">
              <w:rPr>
                <w:rStyle w:val="SpecialBold"/>
              </w:rPr>
              <w:t>9)</w:t>
            </w:r>
            <w:r w:rsidRPr="00BF7456">
              <w:t xml:space="preserve"> The Evidence Guide forms an integral part of this Unit and shall be used in conjunction with all </w:t>
            </w:r>
            <w:r w:rsidRPr="00BF7456">
              <w:t>components parts of this unit and performed in accordance with the Assessment Guidelines of this Training Package.</w:t>
            </w:r>
          </w:p>
        </w:tc>
      </w:tr>
    </w:tbl>
    <w:p w:rsidR="00000000" w:rsidRPr="00BF7456" w:rsidP="00BF7456">
      <w:pPr>
        <w:pStyle w:val="BodyText"/>
      </w:pPr>
    </w:p>
    <w:tbl>
      <w:tblPr>
        <w:tblW w:w="0" w:type="auto"/>
        <w:tblLayout w:type="fixed"/>
        <w:tblCellMar>
          <w:left w:w="62" w:type="dxa"/>
          <w:right w:w="62" w:type="dxa"/>
        </w:tblCellMar>
        <w:tblLook w:val="0000"/>
      </w:tblPr>
      <w:tblGrid>
        <w:gridCol w:w="1890"/>
        <w:gridCol w:w="6570"/>
      </w:tblGrid>
      <w:tr w:rsidTr="00627F4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F7456" w:rsidP="00BF7456">
            <w:pPr>
              <w:pStyle w:val="BodyText"/>
            </w:pPr>
            <w:r w:rsidRPr="00BF7456">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rPr>
                <w:rStyle w:val="SpecialBold"/>
              </w:rPr>
              <w:t>9.1)</w:t>
            </w:r>
          </w:p>
        </w:tc>
      </w:tr>
      <w:tr w:rsidTr="00627F4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F7456" w:rsidP="00BF7456">
            <w:pPr>
              <w:pStyle w:val="BodyText"/>
            </w:pPr>
            <w:r w:rsidRPr="00BF7456">
              <w:t>Longitudinal competency development approaches to assessment, such as Profiling, require data to be reliably gathered in a form that can be consistently interpreted over time. This approach is best utilised in Apprenticeship programs and reduces assessment</w:t>
            </w:r>
            <w:r w:rsidRPr="00BF7456">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BF7456">
              <w:t>ncy in a realistically simulated work environment. It is recognised that, in some circumstances, assessment in part or full can occur outside the workplace. However, it must be in accordance with industry and regulatory policy.</w:t>
            </w:r>
          </w:p>
          <w:p w:rsidR="00000000" w:rsidRPr="00BF7456" w:rsidP="00BF7456">
            <w:pPr>
              <w:pStyle w:val="BodyText"/>
            </w:pPr>
            <w:r w:rsidRPr="00BF7456">
              <w:t>Methods chosen for a particu</w:t>
            </w:r>
            <w:r w:rsidRPr="00BF7456">
              <w:t>lar assessment will be influenced by various factors. These include the extent of the assessment, the most effective locations for the assessment activities to take place, access to physical resources, additional safety measures that may be required and th</w:t>
            </w:r>
            <w:r w:rsidRPr="00BF7456">
              <w:t>e critical nature of the competencies being assessed.</w:t>
            </w:r>
          </w:p>
          <w:p w:rsidR="00000000" w:rsidRPr="00BF7456" w:rsidP="00BF7456">
            <w:pPr>
              <w:pStyle w:val="BodyText"/>
            </w:pPr>
            <w:r w:rsidRPr="00BF7456">
              <w:t>The critical safety nature of working with electricity, electrical equipment, gas or any other hazardous substance/material carries risk in deeming a person competent. Sources of evidence need to be ‘ri</w:t>
            </w:r>
            <w:r w:rsidRPr="00BF7456">
              <w:t>ch’ in nature to minimise error in judgment.</w:t>
            </w:r>
          </w:p>
          <w:p w:rsidR="00000000" w:rsidRPr="00BF7456" w:rsidP="00BF7456">
            <w:pPr>
              <w:pStyle w:val="BodyText"/>
            </w:pPr>
            <w:r w:rsidRPr="00BF7456">
              <w:t>Activities associated with normal everyday work have a bearing on the decision as to how much and how detailed the data gathered will contribute to its ‘richness’. Some skills are more critical to safety and ope</w:t>
            </w:r>
            <w:r w:rsidRPr="00BF7456">
              <w:t>rational requirements while the same skills may be more or less frequently practised. These points are raised for the assessors to consider when choosing an assessment method and developing assessment instruments. Sample assessment instruments are included</w:t>
            </w:r>
            <w:r w:rsidRPr="00BF7456">
              <w:t xml:space="preserve"> for Assessors in the Assessment Guidelines, Section 3.1 of this Training Package.</w:t>
            </w:r>
          </w:p>
        </w:tc>
      </w:tr>
    </w:tbl>
    <w:p w:rsidR="00000000" w:rsidRPr="00BF7456" w:rsidP="00BF7456">
      <w:pPr>
        <w:pStyle w:val="BodyText"/>
      </w:pPr>
    </w:p>
    <w:tbl>
      <w:tblPr>
        <w:tblW w:w="0" w:type="auto"/>
        <w:tblLayout w:type="fixed"/>
        <w:tblCellMar>
          <w:left w:w="62" w:type="dxa"/>
          <w:right w:w="62" w:type="dxa"/>
        </w:tblCellMar>
        <w:tblLook w:val="0000"/>
      </w:tblPr>
      <w:tblGrid>
        <w:gridCol w:w="1890"/>
        <w:gridCol w:w="450"/>
        <w:gridCol w:w="1710"/>
        <w:gridCol w:w="4410"/>
      </w:tblGrid>
      <w:tr w:rsidTr="00627F4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F7456" w:rsidP="00BF7456">
            <w:pPr>
              <w:pStyle w:val="BodyText"/>
            </w:pPr>
            <w:r w:rsidRPr="00BF7456">
              <w:rPr>
                <w:rStyle w:val="SpecialBold"/>
              </w:rPr>
              <w:t>Critical aspects of evidence required to demonstrate competency in this unit</w:t>
            </w:r>
          </w:p>
        </w:tc>
        <w:tc>
          <w:tcPr>
            <w:tcW w:w="6570" w:type="dxa"/>
            <w:gridSpan w:val="3"/>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rPr>
                <w:rStyle w:val="SpecialBold"/>
              </w:rPr>
              <w:t>9.2)</w:t>
            </w:r>
          </w:p>
        </w:tc>
      </w:tr>
      <w:tr w:rsidTr="00627F4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RPr="00BF7456" w:rsidP="00BF7456">
            <w:pPr>
              <w:pStyle w:val="BodyText"/>
            </w:pPr>
            <w:r w:rsidRPr="00BF7456">
              <w:t>Evidence for competence in this unit shall be considered holistically. Each element a</w:t>
            </w:r>
            <w:r w:rsidRPr="00BF7456">
              <w:t>nd associated Performance Criteria shall be demonstrated:</w:t>
            </w:r>
          </w:p>
          <w:p w:rsidR="00000000" w:rsidRPr="00BF7456" w:rsidP="00BF7456">
            <w:pPr>
              <w:pStyle w:val="ListBullet2"/>
            </w:pPr>
            <w:r w:rsidRPr="00BF7456">
              <w:t>On at least two (2) occasions. In accordance with the "Assessment Guidelines” for the UEP12 Training Package.</w:t>
            </w:r>
          </w:p>
          <w:p w:rsidR="00000000" w:rsidRPr="00BF7456" w:rsidP="00BF7456">
            <w:pPr>
              <w:pStyle w:val="BodyText"/>
            </w:pPr>
            <w:r w:rsidRPr="00BF7456">
              <w:t>Evidence shall also comprise:</w:t>
            </w:r>
          </w:p>
          <w:p w:rsidR="00000000" w:rsidRPr="00BF7456" w:rsidP="00BF7456">
            <w:pPr>
              <w:pStyle w:val="ListBullet"/>
            </w:pPr>
            <w:r w:rsidRPr="00BF7456">
              <w:t xml:space="preserve">A representative body </w:t>
            </w:r>
            <w:r w:rsidRPr="00BF7456">
              <w:t>of work performance demonstrated within the timeframe typically expected of the discipline, work function and industrial environment. In particular this shall incorporate evidence that shows a candidate is able to:</w:t>
            </w:r>
          </w:p>
          <w:p w:rsidR="00000000" w:rsidRPr="00BF7456" w:rsidP="00BF7456">
            <w:pPr>
              <w:pStyle w:val="ListBullet2"/>
            </w:pPr>
            <w:r w:rsidRPr="00BF7456">
              <w:t>Implement Occupational Health and Safety</w:t>
            </w:r>
            <w:r w:rsidRPr="00BF7456">
              <w:t xml:space="preserve"> workplace procedures and practices including the use of risk control measures as specified in the Performance Criteria and range; and</w:t>
            </w:r>
          </w:p>
          <w:p w:rsidR="00000000" w:rsidRPr="00BF7456" w:rsidP="00BF7456">
            <w:pPr>
              <w:pStyle w:val="ListBullet2"/>
            </w:pPr>
            <w:r w:rsidRPr="00BF7456">
              <w:t>Apply sustainable energy principles and practices as specified in the Performance Criteria and range; and</w:t>
            </w:r>
          </w:p>
          <w:p w:rsidR="00000000" w:rsidRPr="00BF7456" w:rsidP="00BF7456">
            <w:pPr>
              <w:pStyle w:val="ListBullet2"/>
            </w:pPr>
            <w:r w:rsidRPr="00BF7456">
              <w:t xml:space="preserve">Demonstrate an </w:t>
            </w:r>
            <w:r w:rsidRPr="00BF7456">
              <w:t xml:space="preserve">understanding of the required skills and knowledge as described in this unit to such an extent that the learner's performance outcome is reported in accordance with the preferred approach; namely a percentile graded result, where required by the regulated </w:t>
            </w:r>
            <w:r w:rsidRPr="00BF7456">
              <w:t>environment; and</w:t>
            </w:r>
          </w:p>
          <w:p w:rsidR="00000000" w:rsidRPr="00BF7456" w:rsidP="00BF7456">
            <w:pPr>
              <w:pStyle w:val="ListBullet2"/>
            </w:pPr>
            <w:r w:rsidRPr="00BF7456">
              <w:t>Demonstrate an appropriate level of employability skills; and</w:t>
            </w:r>
          </w:p>
          <w:p w:rsidR="00000000" w:rsidRPr="00BF7456" w:rsidP="00BF7456">
            <w:pPr>
              <w:pStyle w:val="ListBullet2"/>
            </w:pPr>
            <w:r w:rsidRPr="00BF7456">
              <w:t>Conduct work observing the relevant Anti Discrimination legislation, regulations, policies and workplace procedures;  and</w:t>
            </w:r>
          </w:p>
          <w:p w:rsidR="00000000" w:rsidP="00BF7456">
            <w:pPr>
              <w:pStyle w:val="BodyText"/>
              <w:rPr>
                <w:lang w:val="en-NZ"/>
              </w:rPr>
            </w:pPr>
            <w:r w:rsidRPr="00BF7456">
              <w:t xml:space="preserve">Demonstrated performance across a representative range </w:t>
            </w:r>
            <w:r w:rsidRPr="00BF7456">
              <w:t>of contexts from the prescribed items below:</w:t>
            </w:r>
          </w:p>
        </w:tc>
      </w:tr>
      <w:tr w:rsidTr="00627F41">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t>A</w:t>
            </w:r>
          </w:p>
        </w:tc>
        <w:tc>
          <w:tcPr>
            <w:tcW w:w="1710"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t>All of the following</w:t>
            </w:r>
          </w:p>
        </w:tc>
        <w:tc>
          <w:tcPr>
            <w:tcW w:w="4410" w:type="dxa"/>
            <w:tcBorders>
              <w:top w:val="nil"/>
              <w:left w:val="nil"/>
              <w:bottom w:val="nil"/>
              <w:right w:val="nil"/>
            </w:tcBorders>
            <w:tcMar>
              <w:top w:w="0" w:type="dxa"/>
              <w:left w:w="62" w:type="dxa"/>
              <w:bottom w:w="0" w:type="dxa"/>
              <w:right w:w="62" w:type="dxa"/>
            </w:tcMar>
          </w:tcPr>
          <w:p w:rsidR="00000000" w:rsidRPr="00BF7456" w:rsidP="00BF7456">
            <w:pPr>
              <w:pStyle w:val="ListBullet"/>
            </w:pPr>
            <w:r w:rsidRPr="00BF7456">
              <w:t>Climb the tower using all appropriate safety equipment and procedures.</w:t>
            </w:r>
          </w:p>
          <w:p w:rsidR="00000000" w:rsidP="00BF7456">
            <w:pPr>
              <w:pStyle w:val="ListBullet"/>
              <w:rPr>
                <w:lang w:val="en-NZ"/>
              </w:rPr>
            </w:pPr>
            <w:r w:rsidRPr="00BF7456">
              <w:t>Lift a load (such as a small motor) to the height of the nacelle.</w:t>
            </w:r>
          </w:p>
        </w:tc>
      </w:tr>
      <w:tr w:rsidTr="00627F4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t>B</w:t>
            </w:r>
          </w:p>
        </w:tc>
        <w:tc>
          <w:tcPr>
            <w:tcW w:w="1710"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t>All of the following</w:t>
            </w:r>
          </w:p>
        </w:tc>
        <w:tc>
          <w:tcPr>
            <w:tcW w:w="4410" w:type="dxa"/>
            <w:tcBorders>
              <w:top w:val="nil"/>
              <w:left w:val="nil"/>
              <w:bottom w:val="nil"/>
              <w:right w:val="nil"/>
            </w:tcBorders>
            <w:tcMar>
              <w:top w:w="0" w:type="dxa"/>
              <w:left w:w="62" w:type="dxa"/>
              <w:bottom w:w="0" w:type="dxa"/>
              <w:right w:w="62" w:type="dxa"/>
            </w:tcMar>
          </w:tcPr>
          <w:p w:rsidR="00000000" w:rsidRPr="00BF7456" w:rsidP="00BF7456">
            <w:pPr>
              <w:pStyle w:val="ListBullet"/>
            </w:pPr>
            <w:r w:rsidRPr="00BF7456">
              <w:t>Apply the braking systems.</w:t>
            </w:r>
          </w:p>
          <w:p w:rsidR="00000000" w:rsidP="00BF7456">
            <w:pPr>
              <w:pStyle w:val="ListBullet"/>
              <w:rPr>
                <w:lang w:val="en-NZ"/>
              </w:rPr>
            </w:pPr>
            <w:r w:rsidRPr="00BF7456">
              <w:t>Mechanically and electrically isolate the system.</w:t>
            </w:r>
          </w:p>
        </w:tc>
      </w:tr>
      <w:tr w:rsidTr="00627F4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t>C</w:t>
            </w:r>
          </w:p>
        </w:tc>
        <w:tc>
          <w:tcPr>
            <w:tcW w:w="1710"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t>All of the following</w:t>
            </w:r>
          </w:p>
        </w:tc>
        <w:tc>
          <w:tcPr>
            <w:tcW w:w="4410" w:type="dxa"/>
            <w:tcBorders>
              <w:top w:val="nil"/>
              <w:left w:val="nil"/>
              <w:bottom w:val="nil"/>
              <w:right w:val="nil"/>
            </w:tcBorders>
            <w:tcMar>
              <w:top w:w="0" w:type="dxa"/>
              <w:left w:w="62" w:type="dxa"/>
              <w:bottom w:w="0" w:type="dxa"/>
              <w:right w:w="62" w:type="dxa"/>
            </w:tcMar>
          </w:tcPr>
          <w:p w:rsidR="00000000" w:rsidRPr="00BF7456" w:rsidP="00BF7456">
            <w:pPr>
              <w:pStyle w:val="ListBullet"/>
            </w:pPr>
            <w:r w:rsidRPr="00BF7456">
              <w:t>Check tension of bolts</w:t>
            </w:r>
          </w:p>
          <w:p w:rsidR="00000000" w:rsidRPr="00BF7456" w:rsidP="00BF7456">
            <w:pPr>
              <w:pStyle w:val="ListBullet"/>
            </w:pPr>
            <w:r w:rsidRPr="00BF7456">
              <w:t>Replace a bearing</w:t>
            </w:r>
          </w:p>
          <w:p w:rsidR="00000000" w:rsidRPr="00BF7456" w:rsidP="00BF7456">
            <w:pPr>
              <w:pStyle w:val="ListBullet"/>
            </w:pPr>
            <w:r w:rsidRPr="00BF7456">
              <w:t>Clean slip rings</w:t>
            </w:r>
          </w:p>
          <w:p w:rsidR="00000000" w:rsidP="00BF7456">
            <w:pPr>
              <w:pStyle w:val="ListBullet"/>
              <w:rPr>
                <w:lang w:val="en-NZ"/>
              </w:rPr>
            </w:pPr>
            <w:r w:rsidRPr="00BF7456">
              <w:t>Replace a seal or an o-ring</w:t>
            </w:r>
          </w:p>
        </w:tc>
      </w:tr>
      <w:tr w:rsidTr="00627F4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t>D</w:t>
            </w:r>
          </w:p>
        </w:tc>
        <w:tc>
          <w:tcPr>
            <w:tcW w:w="1710"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t>All of the following</w:t>
            </w:r>
          </w:p>
        </w:tc>
        <w:tc>
          <w:tcPr>
            <w:tcW w:w="4410" w:type="dxa"/>
            <w:tcBorders>
              <w:top w:val="nil"/>
              <w:left w:val="nil"/>
              <w:bottom w:val="nil"/>
              <w:right w:val="nil"/>
            </w:tcBorders>
            <w:tcMar>
              <w:top w:w="0" w:type="dxa"/>
              <w:left w:w="62" w:type="dxa"/>
              <w:bottom w:w="0" w:type="dxa"/>
              <w:right w:w="62" w:type="dxa"/>
            </w:tcMar>
          </w:tcPr>
          <w:p w:rsidR="00000000" w:rsidP="00BF7456">
            <w:pPr>
              <w:pStyle w:val="ListBullet"/>
              <w:rPr>
                <w:lang w:val="en-NZ"/>
              </w:rPr>
            </w:pPr>
            <w:r w:rsidRPr="00BF7456">
              <w:t>Connect a diagnostic computer (or similar) to the system and read and interpret problem-solving data</w:t>
            </w:r>
          </w:p>
        </w:tc>
      </w:tr>
      <w:tr w:rsidTr="00627F4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t>E</w:t>
            </w:r>
          </w:p>
        </w:tc>
        <w:tc>
          <w:tcPr>
            <w:tcW w:w="1710"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t>All of the following</w:t>
            </w:r>
          </w:p>
        </w:tc>
        <w:tc>
          <w:tcPr>
            <w:tcW w:w="4410" w:type="dxa"/>
            <w:tcBorders>
              <w:top w:val="nil"/>
              <w:left w:val="nil"/>
              <w:bottom w:val="nil"/>
              <w:right w:val="nil"/>
            </w:tcBorders>
            <w:tcMar>
              <w:top w:w="0" w:type="dxa"/>
              <w:left w:w="62" w:type="dxa"/>
              <w:bottom w:w="0" w:type="dxa"/>
              <w:right w:w="62" w:type="dxa"/>
            </w:tcMar>
          </w:tcPr>
          <w:p w:rsidR="00000000" w:rsidRPr="00BF7456" w:rsidP="00BF7456">
            <w:pPr>
              <w:pStyle w:val="ListBullet"/>
            </w:pPr>
            <w:r w:rsidRPr="00BF7456">
              <w:t>Replace grease in automatic greasing systems.</w:t>
            </w:r>
          </w:p>
          <w:p w:rsidR="00000000" w:rsidRPr="00BF7456" w:rsidP="00BF7456">
            <w:pPr>
              <w:pStyle w:val="ListBullet"/>
            </w:pPr>
            <w:r w:rsidRPr="00BF7456">
              <w:t>Confirm oil levels and top-up as required.</w:t>
            </w:r>
          </w:p>
          <w:p w:rsidR="00000000" w:rsidP="00BF7456">
            <w:pPr>
              <w:pStyle w:val="ListBullet"/>
              <w:rPr>
                <w:lang w:val="en-NZ"/>
              </w:rPr>
            </w:pPr>
            <w:r w:rsidRPr="00BF7456">
              <w:t>Clean up lubrication spills.</w:t>
            </w:r>
          </w:p>
        </w:tc>
      </w:tr>
      <w:tr w:rsidTr="00627F4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t>F</w:t>
            </w:r>
          </w:p>
        </w:tc>
        <w:tc>
          <w:tcPr>
            <w:tcW w:w="1710"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t xml:space="preserve">All of </w:t>
            </w:r>
            <w:r w:rsidRPr="00BF7456">
              <w:t>the following</w:t>
            </w:r>
          </w:p>
        </w:tc>
        <w:tc>
          <w:tcPr>
            <w:tcW w:w="4410" w:type="dxa"/>
            <w:tcBorders>
              <w:top w:val="nil"/>
              <w:left w:val="nil"/>
              <w:bottom w:val="nil"/>
              <w:right w:val="nil"/>
            </w:tcBorders>
            <w:tcMar>
              <w:top w:w="0" w:type="dxa"/>
              <w:left w:w="62" w:type="dxa"/>
              <w:bottom w:w="0" w:type="dxa"/>
              <w:right w:w="62" w:type="dxa"/>
            </w:tcMar>
          </w:tcPr>
          <w:p w:rsidR="00000000" w:rsidRPr="00BF7456" w:rsidP="00BF7456">
            <w:pPr>
              <w:pStyle w:val="ListBullet"/>
            </w:pPr>
            <w:r w:rsidRPr="00BF7456">
              <w:t>Read a maintenance schedule.</w:t>
            </w:r>
          </w:p>
          <w:p w:rsidR="00000000" w:rsidP="00BF7456">
            <w:pPr>
              <w:pStyle w:val="ListBullet"/>
              <w:rPr>
                <w:lang w:val="en-NZ"/>
              </w:rPr>
            </w:pPr>
            <w:r w:rsidRPr="00BF7456">
              <w:t>Complete enterprise documentation after maintenance activities.</w:t>
            </w:r>
          </w:p>
        </w:tc>
      </w:tr>
      <w:tr w:rsidTr="00627F4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t>G</w:t>
            </w:r>
          </w:p>
        </w:tc>
        <w:tc>
          <w:tcPr>
            <w:tcW w:w="1710"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t>All of the following</w:t>
            </w:r>
          </w:p>
        </w:tc>
        <w:tc>
          <w:tcPr>
            <w:tcW w:w="4410" w:type="dxa"/>
            <w:tcBorders>
              <w:top w:val="nil"/>
              <w:left w:val="nil"/>
              <w:bottom w:val="nil"/>
              <w:right w:val="nil"/>
            </w:tcBorders>
            <w:tcMar>
              <w:top w:w="0" w:type="dxa"/>
              <w:left w:w="62" w:type="dxa"/>
              <w:bottom w:w="0" w:type="dxa"/>
              <w:right w:w="62" w:type="dxa"/>
            </w:tcMar>
          </w:tcPr>
          <w:p w:rsidR="00000000" w:rsidP="00BF7456">
            <w:pPr>
              <w:pStyle w:val="ListBullet"/>
              <w:rPr>
                <w:lang w:val="en-NZ"/>
              </w:rPr>
            </w:pPr>
            <w:r w:rsidRPr="00BF7456">
              <w:t>Remediate surface rust or corrosion</w:t>
            </w:r>
          </w:p>
        </w:tc>
      </w:tr>
      <w:tr w:rsidTr="00627F4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t>H</w:t>
            </w:r>
          </w:p>
        </w:tc>
        <w:tc>
          <w:tcPr>
            <w:tcW w:w="1710"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t>All of the following</w:t>
            </w:r>
          </w:p>
        </w:tc>
        <w:tc>
          <w:tcPr>
            <w:tcW w:w="4410" w:type="dxa"/>
            <w:tcBorders>
              <w:top w:val="nil"/>
              <w:left w:val="nil"/>
              <w:bottom w:val="nil"/>
              <w:right w:val="nil"/>
            </w:tcBorders>
            <w:tcMar>
              <w:top w:w="0" w:type="dxa"/>
              <w:left w:w="62" w:type="dxa"/>
              <w:bottom w:w="0" w:type="dxa"/>
              <w:right w:w="62" w:type="dxa"/>
            </w:tcMar>
          </w:tcPr>
          <w:p w:rsidR="00000000" w:rsidRPr="00BF7456" w:rsidP="00BF7456">
            <w:pPr>
              <w:pStyle w:val="ListBullet"/>
            </w:pPr>
            <w:r w:rsidRPr="00BF7456">
              <w:t>Deal with an unplanned event by drawing on essential knowledge and skills to provide appropriate solutions.</w:t>
            </w:r>
          </w:p>
        </w:tc>
      </w:tr>
    </w:tbl>
    <w:p w:rsidR="00000000" w:rsidRPr="00BF7456" w:rsidP="00BF7456">
      <w:pPr>
        <w:pStyle w:val="BodyText"/>
      </w:pPr>
    </w:p>
    <w:tbl>
      <w:tblPr>
        <w:tblW w:w="0" w:type="auto"/>
        <w:tblLayout w:type="fixed"/>
        <w:tblCellMar>
          <w:left w:w="62" w:type="dxa"/>
          <w:right w:w="62" w:type="dxa"/>
        </w:tblCellMar>
        <w:tblLook w:val="0000"/>
      </w:tblPr>
      <w:tblGrid>
        <w:gridCol w:w="1890"/>
        <w:gridCol w:w="6570"/>
      </w:tblGrid>
      <w:tr w:rsidTr="00627F41">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BF7456" w:rsidP="00BF7456">
            <w:pPr>
              <w:pStyle w:val="BodyText"/>
            </w:pPr>
            <w:r w:rsidRPr="00BF7456">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rPr>
                <w:rStyle w:val="SpecialBold"/>
              </w:rPr>
              <w:t>9.3)</w:t>
            </w:r>
          </w:p>
        </w:tc>
      </w:tr>
      <w:tr w:rsidTr="00627F41">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F7456" w:rsidP="00BF7456">
            <w:pPr>
              <w:pStyle w:val="BodyText"/>
            </w:pPr>
            <w:r w:rsidRPr="00BF7456">
              <w:t>This unit should be assessed as it relates to normal work practice using procedures, information and resources typical of a workplace. This should include:</w:t>
            </w:r>
          </w:p>
          <w:p w:rsidR="00000000" w:rsidRPr="00BF7456" w:rsidP="00BF7456">
            <w:pPr>
              <w:pStyle w:val="ListBullet2"/>
            </w:pPr>
            <w:r w:rsidRPr="00BF7456">
              <w:t>OHS policy and work procedures and instructions.</w:t>
            </w:r>
          </w:p>
          <w:p w:rsidR="00000000" w:rsidRPr="00BF7456" w:rsidP="00BF7456">
            <w:pPr>
              <w:pStyle w:val="ListBullet2"/>
            </w:pPr>
            <w:r w:rsidRPr="00BF7456">
              <w:t>Suitable work environment, facilities, equipment a</w:t>
            </w:r>
            <w:r w:rsidRPr="00BF7456">
              <w:t>nd materials to undertake actual work as prescribed by this unit.</w:t>
            </w:r>
          </w:p>
          <w:p w:rsidR="00000000" w:rsidRPr="00BF7456" w:rsidP="00BF7456">
            <w:pPr>
              <w:pStyle w:val="BodyText"/>
            </w:pPr>
            <w:r w:rsidRPr="00BF7456">
              <w:t>These should be used in the formal learning/assessment environment.</w:t>
            </w:r>
          </w:p>
          <w:p w:rsidR="00000000" w:rsidRPr="00BF7456" w:rsidP="00BF7456">
            <w:pPr>
              <w:pStyle w:val="BodyText"/>
            </w:pPr>
            <w:r w:rsidRPr="00BF7456">
              <w:t>Note:</w:t>
            </w:r>
          </w:p>
          <w:p w:rsidR="00000000" w:rsidRPr="00BF7456" w:rsidP="00BF7456">
            <w:pPr>
              <w:pStyle w:val="BodyText"/>
            </w:pPr>
            <w:r w:rsidRPr="00BF7456">
              <w:t>Where simulation is considered a suitable strategy for assessment, conditions must be authentic and as far as possib</w:t>
            </w:r>
            <w:r w:rsidRPr="00BF7456">
              <w:t>le reproduce and replicate the workplace and be consistent with the approved industry simulation policy.</w:t>
            </w:r>
          </w:p>
          <w:p w:rsidR="00000000" w:rsidRPr="00BF7456" w:rsidP="00BF7456">
            <w:pPr>
              <w:pStyle w:val="BodyText"/>
            </w:pPr>
            <w:r w:rsidRPr="00BF7456">
              <w:t xml:space="preserve">The resources used for assessment should reflect current industry practices in relation to: </w:t>
            </w:r>
          </w:p>
          <w:p w:rsidR="00000000" w:rsidRPr="00BF7456" w:rsidP="00BF7456">
            <w:pPr>
              <w:pStyle w:val="BodyText"/>
            </w:pPr>
            <w:r w:rsidRPr="00BF7456">
              <w:t>Maintain large scale wind turbine generators</w:t>
            </w:r>
          </w:p>
        </w:tc>
      </w:tr>
    </w:tbl>
    <w:p w:rsidR="00000000" w:rsidRPr="00BF7456" w:rsidP="00BF7456">
      <w:pPr>
        <w:pStyle w:val="BodyText"/>
      </w:pPr>
    </w:p>
    <w:tbl>
      <w:tblPr>
        <w:tblW w:w="0" w:type="auto"/>
        <w:tblLayout w:type="fixed"/>
        <w:tblCellMar>
          <w:left w:w="62" w:type="dxa"/>
          <w:right w:w="62" w:type="dxa"/>
        </w:tblCellMar>
        <w:tblLook w:val="0000"/>
      </w:tblPr>
      <w:tblGrid>
        <w:gridCol w:w="1890"/>
        <w:gridCol w:w="6570"/>
      </w:tblGrid>
      <w:tr w:rsidTr="00627F4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F7456" w:rsidP="00BF7456">
            <w:pPr>
              <w:pStyle w:val="BodyText"/>
            </w:pPr>
            <w:r w:rsidRPr="00BF7456">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rPr>
                <w:rStyle w:val="SpecialBold"/>
              </w:rPr>
              <w:t>9.4)</w:t>
            </w:r>
          </w:p>
        </w:tc>
      </w:tr>
      <w:tr w:rsidTr="00627F4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F7456" w:rsidP="00BF7456">
            <w:pPr>
              <w:pStyle w:val="BodyText"/>
            </w:pPr>
            <w:r w:rsidRPr="00BF7456">
              <w:t>This unit shall be assessed by methods given in the Assessment Guidelines, Section 1.3 of this Training Package.</w:t>
            </w:r>
          </w:p>
          <w:p w:rsidR="00000000" w:rsidRPr="00BF7456" w:rsidP="00BF7456">
            <w:pPr>
              <w:pStyle w:val="BodyText"/>
            </w:pPr>
            <w:r w:rsidRPr="00BF7456">
              <w:t xml:space="preserve">Note: </w:t>
            </w:r>
          </w:p>
          <w:p w:rsidR="00000000" w:rsidRPr="00BF7456" w:rsidP="00BF7456">
            <w:pPr>
              <w:pStyle w:val="BodyText"/>
            </w:pPr>
            <w:r w:rsidRPr="00BF7456">
              <w:t>Competent performance with inherent safe working practices is expected in the Industry to which this compete</w:t>
            </w:r>
            <w:r w:rsidRPr="00BF7456">
              <w:t xml:space="preserve">ncy standard unit applies. This requires assessment in a structured environment which is primarily intended for learning/assessment and incorporates all necessary equipment and facilities for learners to develop and demonstrate the essential knowledge and </w:t>
            </w:r>
            <w:r w:rsidRPr="00BF7456">
              <w:t>skills described in this unit.</w:t>
            </w:r>
          </w:p>
        </w:tc>
      </w:tr>
    </w:tbl>
    <w:p w:rsidR="00000000" w:rsidRPr="00BF7456" w:rsidP="00BF7456">
      <w:pPr>
        <w:pStyle w:val="BodyText"/>
      </w:pPr>
    </w:p>
    <w:tbl>
      <w:tblPr>
        <w:tblW w:w="0" w:type="auto"/>
        <w:tblLayout w:type="fixed"/>
        <w:tblCellMar>
          <w:left w:w="62" w:type="dxa"/>
          <w:right w:w="62" w:type="dxa"/>
        </w:tblCellMar>
        <w:tblLook w:val="0000"/>
      </w:tblPr>
      <w:tblGrid>
        <w:gridCol w:w="1890"/>
        <w:gridCol w:w="6570"/>
      </w:tblGrid>
      <w:tr w:rsidTr="00627F4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F7456" w:rsidP="00BF7456">
            <w:pPr>
              <w:pStyle w:val="BodyText"/>
            </w:pPr>
            <w:r w:rsidRPr="00BF7456">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rPr>
                <w:rStyle w:val="SpecialBold"/>
              </w:rPr>
              <w:t>9.5)</w:t>
            </w:r>
          </w:p>
        </w:tc>
      </w:tr>
      <w:tr w:rsidTr="00627F4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F7456" w:rsidP="00BF7456">
            <w:pPr>
              <w:pStyle w:val="BodyText"/>
            </w:pPr>
            <w:r w:rsidRPr="00BF7456">
              <w:t>There are no concurrent assessment recommendations for this unit.</w:t>
            </w:r>
          </w:p>
        </w:tc>
      </w:tr>
    </w:tbl>
    <w:p w:rsidR="00000000" w:rsidRPr="00BF7456" w:rsidP="00BF7456">
      <w:pPr>
        <w:pStyle w:val="BodyText"/>
      </w:pPr>
    </w:p>
    <w:p w:rsidR="00000000" w:rsidRPr="00BF7456" w:rsidP="00BF7456">
      <w:pPr>
        <w:pStyle w:val="AllowPageBreak"/>
      </w:pPr>
    </w:p>
    <w:p w:rsidR="00000000" w:rsidRPr="00BF7456" w:rsidP="00BF7456">
      <w:pPr>
        <w:pStyle w:val="Heading1"/>
      </w:pPr>
      <w:bookmarkStart w:id="11" w:name="O_490876"/>
      <w:bookmarkEnd w:id="11"/>
      <w:r w:rsidRPr="00BF7456">
        <w:t>Range Statement</w:t>
      </w:r>
    </w:p>
    <w:tbl>
      <w:tblPr>
        <w:tblW w:w="0" w:type="auto"/>
        <w:tblLayout w:type="fixed"/>
        <w:tblCellMar>
          <w:left w:w="62" w:type="dxa"/>
          <w:right w:w="62" w:type="dxa"/>
        </w:tblCellMar>
        <w:tblLook w:val="0000"/>
      </w:tblPr>
      <w:tblGrid>
        <w:gridCol w:w="8460"/>
      </w:tblGrid>
      <w:tr w:rsidTr="00627F4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rPr>
                <w:rStyle w:val="SpecialBold"/>
              </w:rPr>
              <w:t>RANGE STATEMENT</w:t>
            </w:r>
          </w:p>
        </w:tc>
      </w:tr>
      <w:tr w:rsidTr="00627F4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F7456" w:rsidP="00BF7456">
            <w:pPr>
              <w:pStyle w:val="BodyText"/>
            </w:pPr>
            <w:r w:rsidRPr="00BF7456">
              <w:rPr>
                <w:rStyle w:val="SpecialBold"/>
              </w:rPr>
              <w:t>10)</w:t>
            </w:r>
            <w:r w:rsidRPr="00BF7456">
              <w:t xml:space="preserve"> This relates to the competency standard unit as a whole providing the range of contexts and conditions to which the Performance Criteria apply. It allows for different work environments and situations that will affect performance.</w:t>
            </w:r>
          </w:p>
          <w:p w:rsidR="00000000" w:rsidRPr="00BF7456" w:rsidP="00BF7456">
            <w:pPr>
              <w:pStyle w:val="BodyText"/>
            </w:pPr>
            <w:r w:rsidRPr="00BF7456">
              <w:t>Climbing equipment inclu</w:t>
            </w:r>
            <w:r w:rsidRPr="00BF7456">
              <w:t>des personnel lifts, climb assist, elevators, ladders</w:t>
            </w:r>
          </w:p>
          <w:p w:rsidR="00000000" w:rsidRPr="00BF7456" w:rsidP="00BF7456">
            <w:pPr>
              <w:pStyle w:val="BodyText"/>
            </w:pPr>
            <w:r w:rsidRPr="00BF7456">
              <w:t>Lifting apparatus includes winches and cranes</w:t>
            </w:r>
          </w:p>
          <w:p w:rsidR="00000000" w:rsidRPr="00BF7456" w:rsidP="00BF7456">
            <w:pPr>
              <w:pStyle w:val="BodyText"/>
            </w:pPr>
            <w:r w:rsidRPr="00BF7456">
              <w:t>Hydraulic equipment includes turbine braking equipment.</w:t>
            </w:r>
          </w:p>
          <w:p w:rsidR="00000000" w:rsidRPr="00BF7456" w:rsidP="00BF7456">
            <w:pPr>
              <w:pStyle w:val="BodyText"/>
            </w:pPr>
            <w:r w:rsidRPr="00BF7456">
              <w:t>Maintenance may include: visual inspections, replacement of mechanical components, checking the tens</w:t>
            </w:r>
            <w:r w:rsidRPr="00BF7456">
              <w:t>ion of bolts, replacing bearings, replacing seals and o-rings, condition monitoring, lubrication, testing of equipment for correct operation, cleaning of slip rings and lubrication of equipment.</w:t>
            </w:r>
          </w:p>
          <w:p w:rsidR="00000000" w:rsidRPr="00BF7456" w:rsidP="00BF7456">
            <w:pPr>
              <w:pStyle w:val="BodyText"/>
            </w:pPr>
            <w:r w:rsidRPr="00BF7456">
              <w:t>Tools may include spanners, screwdrivers, side cutters, plier</w:t>
            </w:r>
            <w:r w:rsidRPr="00BF7456">
              <w:t>s, high torque wrench, grease pump, digital multimeter.</w:t>
            </w:r>
          </w:p>
          <w:p w:rsidR="00000000" w:rsidRPr="00BF7456" w:rsidP="00BF7456">
            <w:pPr>
              <w:pStyle w:val="BodyText"/>
            </w:pPr>
            <w:r w:rsidRPr="00BF7456">
              <w:t>Test equipment may include laser alignment tools, multimeters, laptop computers, PC tablet, smart phones and other data acquisition tools and equipment.</w:t>
            </w:r>
          </w:p>
          <w:p w:rsidR="00000000" w:rsidRPr="00BF7456" w:rsidP="00BF7456">
            <w:pPr>
              <w:pStyle w:val="BodyText"/>
            </w:pPr>
            <w:r w:rsidRPr="00BF7456">
              <w:t>Consumables may include gearbox oils, bearing g</w:t>
            </w:r>
            <w:r w:rsidRPr="00BF7456">
              <w:t>rease, paint, detergents, ‘Loctite’</w:t>
            </w:r>
          </w:p>
          <w:p w:rsidR="00000000" w:rsidRPr="00BF7456" w:rsidP="00BF7456">
            <w:pPr>
              <w:pStyle w:val="BodyText"/>
            </w:pPr>
            <w:r w:rsidRPr="00BF7456">
              <w:t>Cleaning includes the removal of the following from equipment and gear:</w:t>
            </w:r>
          </w:p>
          <w:p w:rsidR="00000000" w:rsidRPr="00BF7456" w:rsidP="00BF7456">
            <w:pPr>
              <w:pStyle w:val="List2"/>
            </w:pPr>
            <w:r w:rsidRPr="00BF7456">
              <w:t>Grease from bearings</w:t>
            </w:r>
          </w:p>
          <w:p w:rsidR="00000000" w:rsidRPr="00BF7456" w:rsidP="00BF7456">
            <w:pPr>
              <w:pStyle w:val="List2"/>
            </w:pPr>
            <w:r w:rsidRPr="00BF7456">
              <w:t>Oil spills</w:t>
            </w:r>
          </w:p>
          <w:p w:rsidR="00000000" w:rsidRPr="00BF7456" w:rsidP="00BF7456">
            <w:pPr>
              <w:pStyle w:val="List2"/>
            </w:pPr>
            <w:r w:rsidRPr="00BF7456">
              <w:t xml:space="preserve">Dust </w:t>
            </w:r>
          </w:p>
          <w:p w:rsidR="00000000" w:rsidRPr="00BF7456" w:rsidP="00BF7456">
            <w:pPr>
              <w:pStyle w:val="BodyText"/>
            </w:pPr>
            <w:r w:rsidRPr="00BF7456">
              <w:t>Large Scale Wind Generators (WTGs) include systems having a rating of greater than 10 kW</w:t>
            </w:r>
          </w:p>
          <w:p w:rsidR="00000000" w:rsidRPr="00BF7456" w:rsidP="00BF7456">
            <w:pPr>
              <w:pStyle w:val="BodyText"/>
            </w:pPr>
            <w:r w:rsidRPr="00BF7456">
              <w:t>Work completion details may include plant and maintenance records, job cards, check sheets, on device labelling updates and reporting and/or documenting equipment defects.</w:t>
            </w:r>
          </w:p>
          <w:p w:rsidR="00000000" w:rsidRPr="00BF7456" w:rsidP="00BF7456">
            <w:pPr>
              <w:pStyle w:val="BodyText"/>
            </w:pPr>
            <w:r w:rsidRPr="00BF7456">
              <w:t>Work site environment may be affected by nearby plant or processes and climatic cond</w:t>
            </w:r>
            <w:r w:rsidRPr="00BF7456">
              <w:t>itions e.g. wind speed, chemical, heat, dust, noise, height and oil.</w:t>
            </w:r>
          </w:p>
          <w:p w:rsidR="00000000" w:rsidRPr="00BF7456" w:rsidP="00BF7456">
            <w:pPr>
              <w:pStyle w:val="BodyText"/>
            </w:pPr>
            <w:r w:rsidRPr="00BF7456">
              <w:t>Location of wind turbine generators may be in urban, suburban, regional or rural locales and environments.</w:t>
            </w:r>
          </w:p>
          <w:p w:rsidR="00000000" w:rsidRPr="00BF7456" w:rsidP="00BF7456">
            <w:pPr>
              <w:pStyle w:val="BodyText"/>
            </w:pPr>
            <w:r w:rsidRPr="00BF7456">
              <w:t>Isolations can refer to electrical/mechanical or other associated processes.</w:t>
            </w:r>
          </w:p>
          <w:p w:rsidR="00000000" w:rsidRPr="00BF7456" w:rsidP="00BF7456">
            <w:pPr>
              <w:pStyle w:val="BodyText"/>
            </w:pPr>
            <w:r w:rsidRPr="00BF7456">
              <w:t>Gen</w:t>
            </w:r>
            <w:r w:rsidRPr="00BF7456">
              <w:t>eric terms used throughout this Vocational Standard shall be regarded as part of the Range Statement in which competency is demonstrated. The definition of these and other terms that apply are given in the Glossaries, Section 2.1 of this Training Package.</w:t>
            </w:r>
          </w:p>
        </w:tc>
      </w:tr>
    </w:tbl>
    <w:p w:rsidR="00000000" w:rsidRPr="00BF7456" w:rsidP="00BF7456">
      <w:pPr>
        <w:pStyle w:val="BodyText"/>
      </w:pPr>
    </w:p>
    <w:p w:rsidR="00000000" w:rsidRPr="00BF7456" w:rsidP="00BF7456">
      <w:pPr>
        <w:pStyle w:val="AllowPageBreak"/>
      </w:pPr>
    </w:p>
    <w:p w:rsidR="00000000" w:rsidRPr="00BF7456" w:rsidP="00BF7456">
      <w:pPr>
        <w:pStyle w:val="Heading1"/>
      </w:pPr>
      <w:bookmarkStart w:id="12" w:name="O_490879"/>
      <w:bookmarkEnd w:id="12"/>
      <w:r w:rsidRPr="00BF7456">
        <w:t>Unit Sector(s)</w:t>
      </w:r>
    </w:p>
    <w:p w:rsidR="00000000" w:rsidRPr="00BF7456" w:rsidP="00BF7456">
      <w:pPr>
        <w:pStyle w:val="BodyText"/>
      </w:pPr>
      <w:r w:rsidRPr="00BF7456">
        <w:t>Not applicable.</w:t>
      </w:r>
    </w:p>
    <w:p w:rsidR="00000000" w:rsidRPr="00BF7456" w:rsidP="00BF7456">
      <w:pPr>
        <w:pStyle w:val="AllowPageBreak"/>
      </w:pPr>
    </w:p>
    <w:p w:rsidR="00000000" w:rsidRPr="00BF7456" w:rsidP="00BF7456">
      <w:pPr>
        <w:pStyle w:val="Heading1"/>
      </w:pPr>
      <w:bookmarkStart w:id="13" w:name="O_490868"/>
      <w:bookmarkEnd w:id="13"/>
      <w:r w:rsidRPr="00BF7456">
        <w:t>Competency Field</w:t>
      </w:r>
    </w:p>
    <w:tbl>
      <w:tblPr>
        <w:tblW w:w="0" w:type="auto"/>
        <w:tblLayout w:type="fixed"/>
        <w:tblCellMar>
          <w:left w:w="62" w:type="dxa"/>
          <w:right w:w="62" w:type="dxa"/>
        </w:tblCellMar>
        <w:tblLook w:val="0000"/>
      </w:tblPr>
      <w:tblGrid>
        <w:gridCol w:w="2700"/>
        <w:gridCol w:w="5760"/>
      </w:tblGrid>
      <w:tr w:rsidTr="00627F4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F7456" w:rsidP="00BF7456">
            <w:pPr>
              <w:pStyle w:val="BodyText"/>
            </w:pPr>
            <w:r w:rsidRPr="00BF745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F7456">
            <w:pPr>
              <w:pStyle w:val="BodyText"/>
              <w:rPr>
                <w:lang w:val="en-NZ"/>
              </w:rPr>
            </w:pPr>
            <w:r w:rsidRPr="00BF7456">
              <w:rPr>
                <w:rStyle w:val="SpecialBold"/>
              </w:rPr>
              <w:t xml:space="preserve">11) </w:t>
            </w:r>
          </w:p>
        </w:tc>
      </w:tr>
      <w:tr w:rsidTr="00627F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F7456" w:rsidP="00BF7456">
            <w:pPr>
              <w:pStyle w:val="BodyText"/>
            </w:pPr>
            <w:r w:rsidRPr="00BF7456">
              <w:t>Maintenance</w:t>
            </w:r>
          </w:p>
        </w:tc>
      </w:tr>
    </w:tbl>
    <w:p w:rsidR="00000000" w:rsidRPr="00BF7456" w:rsidP="00BF7456">
      <w:pPr>
        <w:pStyle w:val="BodyText"/>
      </w:pPr>
    </w:p>
    <w:p w:rsidR="00000000" w:rsidRPr="00BF7456" w:rsidP="00BF7456"/>
    <w:sectPr w:rsidSect="00BF74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4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456" w:rsidRPr="00627F41" w:rsidP="00627F4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4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F41" w:rsidP="00BF745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27F41" w:rsidP="00BF745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627F41" w:rsidP="00BF74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4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456" w:rsidRPr="00627F41" w:rsidP="00627F4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4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F41" w:rsidRPr="002D2AF8" w:rsidP="00BF7456">
    <w:pPr>
      <w:pStyle w:val="Header"/>
      <w:framePr w:wrap="around"/>
    </w:pPr>
    <w:r>
      <w:fldChar w:fldCharType="begin"/>
    </w:r>
    <w:r>
      <w:instrText xml:space="preserve"> TITLE   \* MERGEFORMAT </w:instrText>
    </w:r>
    <w:r>
      <w:fldChar w:fldCharType="separate"/>
    </w:r>
    <w:r>
      <w:t>UEPMNT371A Maintain large scale wind turbine generators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March 2013</w:t>
    </w:r>
    <w:r>
      <w:fldChar w:fldCharType="end"/>
    </w:r>
  </w:p>
  <w:p w:rsidR="00627F41" w:rsidP="00BF74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BEB6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42FA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2670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74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7456"/>
    <w:pPr>
      <w:spacing w:before="360" w:after="60"/>
      <w:outlineLvl w:val="0"/>
    </w:pPr>
    <w:rPr>
      <w:sz w:val="32"/>
    </w:rPr>
  </w:style>
  <w:style w:type="paragraph" w:styleId="Heading2">
    <w:name w:val="heading 2"/>
    <w:basedOn w:val="HeadingBase"/>
    <w:next w:val="BodyText"/>
    <w:link w:val="Heading2Char"/>
    <w:qFormat/>
    <w:rsid w:val="00BF7456"/>
    <w:pPr>
      <w:keepLines/>
      <w:spacing w:before="240" w:after="120"/>
      <w:outlineLvl w:val="1"/>
    </w:pPr>
    <w:rPr>
      <w:sz w:val="28"/>
      <w:szCs w:val="40"/>
    </w:rPr>
  </w:style>
  <w:style w:type="paragraph" w:styleId="Heading3">
    <w:name w:val="heading 3"/>
    <w:basedOn w:val="HeadingBase"/>
    <w:next w:val="BodyText"/>
    <w:link w:val="Heading3Char"/>
    <w:qFormat/>
    <w:rsid w:val="00BF7456"/>
    <w:pPr>
      <w:spacing w:before="180" w:after="120"/>
      <w:outlineLvl w:val="2"/>
    </w:pPr>
    <w:rPr>
      <w:spacing w:val="-10"/>
      <w:kern w:val="32"/>
    </w:rPr>
  </w:style>
  <w:style w:type="paragraph" w:styleId="Heading4">
    <w:name w:val="heading 4"/>
    <w:basedOn w:val="HeadingBase"/>
    <w:next w:val="BodyText"/>
    <w:link w:val="Heading4Char"/>
    <w:qFormat/>
    <w:rsid w:val="00BF7456"/>
    <w:pPr>
      <w:spacing w:before="160" w:after="120"/>
      <w:outlineLvl w:val="3"/>
    </w:pPr>
    <w:rPr>
      <w:sz w:val="22"/>
    </w:rPr>
  </w:style>
  <w:style w:type="paragraph" w:styleId="Heading5">
    <w:name w:val="heading 5"/>
    <w:basedOn w:val="HeadingBase"/>
    <w:next w:val="Normal"/>
    <w:link w:val="Heading5Char"/>
    <w:qFormat/>
    <w:rsid w:val="00BF7456"/>
    <w:pPr>
      <w:spacing w:before="80"/>
      <w:outlineLvl w:val="4"/>
    </w:pPr>
    <w:rPr>
      <w:color w:val="918585"/>
      <w:sz w:val="20"/>
    </w:rPr>
  </w:style>
  <w:style w:type="paragraph" w:styleId="Heading6">
    <w:name w:val="heading 6"/>
    <w:basedOn w:val="HeadingBase"/>
    <w:next w:val="Normal"/>
    <w:link w:val="Heading6Char"/>
    <w:qFormat/>
    <w:rsid w:val="00BF7456"/>
    <w:pPr>
      <w:spacing w:before="60"/>
      <w:outlineLvl w:val="5"/>
    </w:pPr>
    <w:rPr>
      <w:color w:val="918585"/>
      <w:sz w:val="20"/>
    </w:rPr>
  </w:style>
  <w:style w:type="paragraph" w:styleId="Heading7">
    <w:name w:val="heading 7"/>
    <w:basedOn w:val="Normal"/>
    <w:next w:val="Normal"/>
    <w:link w:val="Heading7Char"/>
    <w:qFormat/>
    <w:rsid w:val="00BF7456"/>
    <w:pPr>
      <w:ind w:left="720"/>
      <w:outlineLvl w:val="6"/>
    </w:pPr>
    <w:rPr>
      <w:i/>
    </w:rPr>
  </w:style>
  <w:style w:type="paragraph" w:styleId="Heading8">
    <w:name w:val="heading 8"/>
    <w:basedOn w:val="Normal"/>
    <w:next w:val="Normal"/>
    <w:link w:val="Heading8Char"/>
    <w:qFormat/>
    <w:rsid w:val="00BF7456"/>
    <w:pPr>
      <w:ind w:left="720"/>
      <w:outlineLvl w:val="7"/>
    </w:pPr>
    <w:rPr>
      <w:i/>
    </w:rPr>
  </w:style>
  <w:style w:type="paragraph" w:styleId="Heading9">
    <w:name w:val="heading 9"/>
    <w:basedOn w:val="Normal"/>
    <w:next w:val="Normal"/>
    <w:link w:val="Heading9Char"/>
    <w:qFormat/>
    <w:rsid w:val="00BF7456"/>
    <w:pPr>
      <w:ind w:left="720"/>
      <w:outlineLvl w:val="8"/>
    </w:pPr>
    <w:rPr>
      <w:i/>
    </w:rPr>
  </w:style>
  <w:style w:type="character" w:default="1" w:styleId="DefaultParagraphFont">
    <w:name w:val="Default Paragraph Font"/>
    <w:uiPriority w:val="1"/>
    <w:unhideWhenUsed/>
    <w:rsid w:val="00BF74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7456"/>
  </w:style>
  <w:style w:type="character" w:customStyle="1" w:styleId="Heading1Char">
    <w:name w:val="Heading 1 Char"/>
    <w:basedOn w:val="DefaultParagraphFont"/>
    <w:link w:val="Heading1"/>
    <w:rsid w:val="00BF7456"/>
    <w:rPr>
      <w:rFonts w:ascii="Times New Roman" w:eastAsia="Times New Roman" w:hAnsi="Times New Roman" w:cs="Times New Roman"/>
      <w:b/>
      <w:sz w:val="32"/>
      <w:szCs w:val="20"/>
      <w:lang w:eastAsia="en-US"/>
    </w:rPr>
  </w:style>
  <w:style w:type="paragraph" w:styleId="BodyText">
    <w:name w:val="Body Text"/>
    <w:basedOn w:val="Normal"/>
    <w:link w:val="BodyTextChar"/>
    <w:rsid w:val="00BF74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7456"/>
    <w:rPr>
      <w:rFonts w:ascii="Times New Roman" w:eastAsia="Times New Roman" w:hAnsi="Times New Roman" w:cs="Times New Roman"/>
      <w:sz w:val="24"/>
      <w:lang w:eastAsia="en-US"/>
    </w:rPr>
  </w:style>
  <w:style w:type="paragraph" w:styleId="ListBullet">
    <w:name w:val="List Bullet"/>
    <w:basedOn w:val="List"/>
    <w:rsid w:val="00BF7456"/>
    <w:pPr>
      <w:numPr>
        <w:numId w:val="13"/>
      </w:numPr>
      <w:tabs>
        <w:tab w:val="clear" w:pos="340"/>
      </w:tabs>
      <w:spacing w:before="40" w:after="40"/>
    </w:pPr>
  </w:style>
  <w:style w:type="character" w:customStyle="1" w:styleId="SpecialBold">
    <w:name w:val="Special Bold"/>
    <w:basedOn w:val="DefaultParagraphFont"/>
    <w:rsid w:val="00BF7456"/>
    <w:rPr>
      <w:b/>
      <w:spacing w:val="0"/>
    </w:rPr>
  </w:style>
  <w:style w:type="paragraph" w:styleId="ListBullet2">
    <w:name w:val="List Bullet 2"/>
    <w:basedOn w:val="List2"/>
    <w:rsid w:val="00BF7456"/>
    <w:pPr>
      <w:numPr>
        <w:numId w:val="14"/>
      </w:numPr>
      <w:tabs>
        <w:tab w:val="clear" w:pos="680"/>
      </w:tabs>
    </w:pPr>
  </w:style>
  <w:style w:type="paragraph" w:customStyle="1" w:styleId="SuperHeading">
    <w:name w:val="SuperHeading"/>
    <w:basedOn w:val="Normal"/>
    <w:rsid w:val="00BF7456"/>
    <w:pPr>
      <w:spacing w:before="240" w:after="120"/>
      <w:outlineLvl w:val="0"/>
    </w:pPr>
    <w:rPr>
      <w:rFonts w:ascii="Times New Roman" w:hAnsi="Times New Roman"/>
      <w:b/>
      <w:sz w:val="32"/>
    </w:rPr>
  </w:style>
  <w:style w:type="paragraph" w:customStyle="1" w:styleId="AllowPageBreak">
    <w:name w:val="AllowPageBreak"/>
    <w:rsid w:val="00BF745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F7456"/>
    <w:pPr>
      <w:tabs>
        <w:tab w:val="left" w:pos="680"/>
      </w:tabs>
      <w:spacing w:before="60" w:after="60"/>
      <w:ind w:left="680" w:hanging="340"/>
    </w:pPr>
  </w:style>
  <w:style w:type="character" w:customStyle="1" w:styleId="Heading2Char">
    <w:name w:val="Heading 2 Char"/>
    <w:basedOn w:val="DefaultParagraphFont"/>
    <w:link w:val="Heading2"/>
    <w:rsid w:val="00BF74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74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74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74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74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74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74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7456"/>
    <w:rPr>
      <w:rFonts w:ascii="Courier New" w:eastAsia="Times New Roman" w:hAnsi="Courier New" w:cs="Times New Roman"/>
      <w:i/>
      <w:szCs w:val="20"/>
      <w:lang w:eastAsia="en-US"/>
    </w:rPr>
  </w:style>
  <w:style w:type="paragraph" w:customStyle="1" w:styleId="HeadingBase">
    <w:name w:val="Heading Base"/>
    <w:rsid w:val="00BF74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7456"/>
    <w:pPr>
      <w:tabs>
        <w:tab w:val="right" w:leader="dot" w:pos="9072"/>
      </w:tabs>
      <w:ind w:left="567"/>
    </w:pPr>
    <w:rPr>
      <w:szCs w:val="22"/>
    </w:rPr>
  </w:style>
  <w:style w:type="paragraph" w:customStyle="1" w:styleId="TOCBase">
    <w:name w:val="TOC Base"/>
    <w:rsid w:val="00BF74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7456"/>
    <w:pPr>
      <w:tabs>
        <w:tab w:val="right" w:leader="dot" w:pos="9072"/>
      </w:tabs>
      <w:spacing w:before="40" w:after="40"/>
      <w:ind w:left="284"/>
    </w:pPr>
    <w:rPr>
      <w:rFonts w:ascii="Times New Roman" w:hAnsi="Times New Roman"/>
    </w:rPr>
  </w:style>
  <w:style w:type="paragraph" w:styleId="TOC1">
    <w:name w:val="toc 1"/>
    <w:basedOn w:val="TOCBase"/>
    <w:next w:val="Normal"/>
    <w:rsid w:val="00BF74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74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7456"/>
    <w:rPr>
      <w:rFonts w:ascii="Times New Roman" w:eastAsia="Times New Roman" w:hAnsi="Times New Roman" w:cs="Times New Roman"/>
      <w:sz w:val="16"/>
      <w:lang w:eastAsia="en-US"/>
    </w:rPr>
  </w:style>
  <w:style w:type="paragraph" w:styleId="Title">
    <w:name w:val="Title"/>
    <w:basedOn w:val="HeadingBase"/>
    <w:link w:val="TitleChar"/>
    <w:qFormat/>
    <w:rsid w:val="00BF7456"/>
    <w:pPr>
      <w:spacing w:before="5040"/>
      <w:jc w:val="center"/>
    </w:pPr>
    <w:rPr>
      <w:sz w:val="48"/>
      <w:szCs w:val="72"/>
      <w:lang w:val="en-US"/>
    </w:rPr>
  </w:style>
  <w:style w:type="character" w:customStyle="1" w:styleId="TitleChar">
    <w:name w:val="Title Char"/>
    <w:basedOn w:val="DefaultParagraphFont"/>
    <w:link w:val="Title"/>
    <w:rsid w:val="00BF74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7456"/>
    <w:pPr>
      <w:tabs>
        <w:tab w:val="left" w:pos="3600"/>
        <w:tab w:val="left" w:pos="3958"/>
      </w:tabs>
    </w:pPr>
  </w:style>
  <w:style w:type="paragraph" w:styleId="List">
    <w:name w:val="List"/>
    <w:basedOn w:val="BodyText"/>
    <w:next w:val="BodyText"/>
    <w:rsid w:val="00BF7456"/>
    <w:pPr>
      <w:tabs>
        <w:tab w:val="left" w:pos="340"/>
      </w:tabs>
      <w:spacing w:before="60" w:after="60"/>
      <w:ind w:left="340" w:hanging="340"/>
    </w:pPr>
  </w:style>
  <w:style w:type="paragraph" w:customStyle="1" w:styleId="Note">
    <w:name w:val="Note"/>
    <w:basedOn w:val="BodyText"/>
    <w:rsid w:val="00BF74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7456"/>
    <w:pPr>
      <w:framePr w:wrap="auto" w:hAnchor="text" w:y="6049"/>
    </w:pPr>
    <w:rPr>
      <w:color w:val="000000"/>
      <w:sz w:val="40"/>
    </w:rPr>
  </w:style>
  <w:style w:type="paragraph" w:customStyle="1" w:styleId="TOCTitle">
    <w:name w:val="TOCTitle"/>
    <w:basedOn w:val="Heading1"/>
    <w:rsid w:val="00BF7456"/>
    <w:pPr>
      <w:spacing w:after="240"/>
      <w:jc w:val="center"/>
      <w:outlineLvl w:val="9"/>
    </w:pPr>
    <w:rPr>
      <w:caps/>
    </w:rPr>
  </w:style>
  <w:style w:type="paragraph" w:customStyle="1" w:styleId="Version">
    <w:name w:val="Version"/>
    <w:rsid w:val="00BF74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7456"/>
    <w:pPr>
      <w:keepNext w:val="0"/>
      <w:tabs>
        <w:tab w:val="right" w:pos="4176"/>
      </w:tabs>
      <w:ind w:left="198" w:hanging="198"/>
    </w:pPr>
    <w:rPr>
      <w:rFonts w:ascii="Garamond" w:hAnsi="Garamond"/>
    </w:rPr>
  </w:style>
  <w:style w:type="paragraph" w:styleId="IndexHeading">
    <w:name w:val="index heading"/>
    <w:basedOn w:val="Normal"/>
    <w:next w:val="Index1"/>
    <w:semiHidden/>
    <w:rsid w:val="00BF7456"/>
    <w:pPr>
      <w:spacing w:before="120" w:after="120"/>
    </w:pPr>
    <w:rPr>
      <w:rFonts w:ascii="Arial" w:hAnsi="Arial"/>
      <w:b/>
      <w:color w:val="918585"/>
      <w:sz w:val="24"/>
    </w:rPr>
  </w:style>
  <w:style w:type="paragraph" w:styleId="Header">
    <w:name w:val="header"/>
    <w:basedOn w:val="Normal"/>
    <w:link w:val="HeaderChar"/>
    <w:rsid w:val="00BF74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7456"/>
    <w:rPr>
      <w:rFonts w:ascii="Times New Roman" w:eastAsia="Times New Roman" w:hAnsi="Times New Roman" w:cs="Times New Roman"/>
      <w:sz w:val="16"/>
      <w:szCs w:val="20"/>
      <w:lang w:val="en-GB" w:eastAsia="en-US"/>
    </w:rPr>
  </w:style>
  <w:style w:type="paragraph" w:customStyle="1" w:styleId="Chapter">
    <w:name w:val="Chapter"/>
    <w:basedOn w:val="Normal"/>
    <w:rsid w:val="00BF7456"/>
    <w:pPr>
      <w:spacing w:before="240"/>
    </w:pPr>
    <w:rPr>
      <w:rFonts w:ascii="Times New Roman" w:hAnsi="Times New Roman"/>
      <w:smallCaps/>
      <w:spacing w:val="80"/>
      <w:sz w:val="28"/>
    </w:rPr>
  </w:style>
  <w:style w:type="paragraph" w:customStyle="1" w:styleId="InChapter">
    <w:name w:val="InChapter"/>
    <w:basedOn w:val="Heading3"/>
    <w:rsid w:val="00BF7456"/>
    <w:pPr>
      <w:spacing w:after="240"/>
      <w:outlineLvl w:val="9"/>
    </w:pPr>
    <w:rPr>
      <w:noProof/>
    </w:rPr>
  </w:style>
  <w:style w:type="paragraph" w:styleId="Index2">
    <w:name w:val="index 2"/>
    <w:basedOn w:val="Normal"/>
    <w:next w:val="Normal"/>
    <w:semiHidden/>
    <w:rsid w:val="00BF7456"/>
    <w:pPr>
      <w:tabs>
        <w:tab w:val="right" w:pos="4176"/>
      </w:tabs>
      <w:ind w:left="568" w:hanging="284"/>
    </w:pPr>
    <w:rPr>
      <w:rFonts w:ascii="Garamond" w:hAnsi="Garamond"/>
    </w:rPr>
  </w:style>
  <w:style w:type="paragraph" w:customStyle="1" w:styleId="Byline">
    <w:name w:val="Byline"/>
    <w:rsid w:val="00BF74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7456"/>
    <w:pPr>
      <w:tabs>
        <w:tab w:val="clear" w:pos="3600"/>
        <w:tab w:val="clear" w:pos="3958"/>
      </w:tabs>
      <w:jc w:val="right"/>
    </w:pPr>
  </w:style>
  <w:style w:type="character" w:styleId="Emphasis">
    <w:name w:val="Emphasis"/>
    <w:basedOn w:val="DefaultParagraphFont"/>
    <w:qFormat/>
    <w:rsid w:val="00BF7456"/>
    <w:rPr>
      <w:i/>
    </w:rPr>
  </w:style>
  <w:style w:type="paragraph" w:styleId="Caption">
    <w:name w:val="caption"/>
    <w:basedOn w:val="BodyText"/>
    <w:next w:val="Normal"/>
    <w:qFormat/>
    <w:rsid w:val="00BF7456"/>
    <w:pPr>
      <w:framePr w:w="2268" w:hSpace="181" w:vSpace="181" w:wrap="around" w:vAnchor="text" w:hAnchor="page" w:x="1135" w:y="285" w:anchorLock="1"/>
    </w:pPr>
    <w:rPr>
      <w:i/>
    </w:rPr>
  </w:style>
  <w:style w:type="paragraph" w:customStyle="1" w:styleId="MiniTOCTitle">
    <w:name w:val="MiniTOCTitle"/>
    <w:basedOn w:val="Heading4"/>
    <w:rsid w:val="00BF7456"/>
    <w:pPr>
      <w:spacing w:before="240"/>
      <w:outlineLvl w:val="9"/>
    </w:pPr>
    <w:rPr>
      <w:noProof/>
      <w:sz w:val="24"/>
    </w:rPr>
  </w:style>
  <w:style w:type="paragraph" w:customStyle="1" w:styleId="MiniTOCItem">
    <w:name w:val="MiniTOCItem"/>
    <w:basedOn w:val="ListBullet"/>
    <w:rsid w:val="00BF7456"/>
    <w:pPr>
      <w:numPr>
        <w:numId w:val="0"/>
      </w:numPr>
      <w:tabs>
        <w:tab w:val="right" w:leader="dot" w:pos="6521"/>
      </w:tabs>
      <w:spacing w:before="0" w:after="0"/>
    </w:pPr>
  </w:style>
  <w:style w:type="paragraph" w:customStyle="1" w:styleId="TOFTitle">
    <w:name w:val="TOFTitle"/>
    <w:basedOn w:val="TOCTitle"/>
    <w:rsid w:val="00BF7456"/>
  </w:style>
  <w:style w:type="paragraph" w:styleId="TableofFigures">
    <w:name w:val="table of figures"/>
    <w:basedOn w:val="Normal"/>
    <w:next w:val="Normal"/>
    <w:semiHidden/>
    <w:rsid w:val="00BF7456"/>
    <w:pPr>
      <w:tabs>
        <w:tab w:val="right" w:leader="dot" w:pos="9072"/>
      </w:tabs>
      <w:ind w:left="970" w:hanging="403"/>
    </w:pPr>
    <w:rPr>
      <w:rFonts w:ascii="Times New Roman" w:hAnsi="Times New Roman"/>
      <w:b/>
    </w:rPr>
  </w:style>
  <w:style w:type="paragraph" w:styleId="ListNumber">
    <w:name w:val="List Number"/>
    <w:basedOn w:val="List"/>
    <w:rsid w:val="00BF7456"/>
    <w:pPr>
      <w:numPr>
        <w:numId w:val="11"/>
      </w:numPr>
    </w:pPr>
  </w:style>
  <w:style w:type="character" w:customStyle="1" w:styleId="WingdingSymbols">
    <w:name w:val="Wingding Symbols"/>
    <w:rsid w:val="00BF7456"/>
    <w:rPr>
      <w:rFonts w:ascii="Wingdings" w:hAnsi="Wingdings"/>
    </w:rPr>
  </w:style>
  <w:style w:type="paragraph" w:customStyle="1" w:styleId="TableHeading">
    <w:name w:val="Table Heading"/>
    <w:basedOn w:val="HeadingBase"/>
    <w:rsid w:val="00BF7456"/>
    <w:pPr>
      <w:keepLines/>
      <w:pBdr>
        <w:bottom w:val="single" w:sz="6" w:space="1" w:color="918585"/>
      </w:pBdr>
      <w:spacing w:before="240"/>
    </w:pPr>
  </w:style>
  <w:style w:type="character" w:customStyle="1" w:styleId="HotSpot">
    <w:name w:val="HotSpot"/>
    <w:rsid w:val="00BF7456"/>
    <w:rPr>
      <w:color w:val="0033CC"/>
      <w:u w:val="none"/>
    </w:rPr>
  </w:style>
  <w:style w:type="paragraph" w:customStyle="1" w:styleId="BodyTextRight">
    <w:name w:val="Body Text Right"/>
    <w:basedOn w:val="BodyText"/>
    <w:rsid w:val="00BF7456"/>
    <w:pPr>
      <w:spacing w:before="0" w:after="0"/>
      <w:jc w:val="right"/>
    </w:pPr>
  </w:style>
  <w:style w:type="paragraph" w:styleId="Index3">
    <w:name w:val="index 3"/>
    <w:basedOn w:val="ListNumber2"/>
    <w:next w:val="Normal"/>
    <w:semiHidden/>
    <w:rsid w:val="00BF7456"/>
    <w:pPr>
      <w:numPr>
        <w:numId w:val="0"/>
      </w:numPr>
      <w:tabs>
        <w:tab w:val="right" w:leader="dot" w:pos="4176"/>
      </w:tabs>
    </w:pPr>
  </w:style>
  <w:style w:type="paragraph" w:styleId="ListNumber2">
    <w:name w:val="List Number 2"/>
    <w:basedOn w:val="List2"/>
    <w:rsid w:val="00BF7456"/>
    <w:pPr>
      <w:numPr>
        <w:numId w:val="10"/>
      </w:numPr>
      <w:tabs>
        <w:tab w:val="clear" w:pos="1060"/>
      </w:tabs>
    </w:pPr>
  </w:style>
  <w:style w:type="paragraph" w:customStyle="1" w:styleId="MarginNote">
    <w:name w:val="Margin Note"/>
    <w:basedOn w:val="BodyText"/>
    <w:rsid w:val="00BF74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74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74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7456"/>
    <w:rPr>
      <w:sz w:val="32"/>
    </w:rPr>
  </w:style>
  <w:style w:type="paragraph" w:customStyle="1" w:styleId="HeadingProcedure">
    <w:name w:val="Heading Procedure"/>
    <w:basedOn w:val="HeadingBase"/>
    <w:next w:val="Normal"/>
    <w:rsid w:val="00BF7456"/>
    <w:pPr>
      <w:tabs>
        <w:tab w:val="left" w:pos="0"/>
      </w:tabs>
      <w:spacing w:before="120" w:after="60"/>
    </w:pPr>
    <w:rPr>
      <w:i/>
      <w:color w:val="918585"/>
      <w:sz w:val="22"/>
    </w:rPr>
  </w:style>
  <w:style w:type="paragraph" w:customStyle="1" w:styleId="TableBodyText">
    <w:name w:val="Table Body Text"/>
    <w:basedOn w:val="BodyText"/>
    <w:rsid w:val="00BF7456"/>
    <w:pPr>
      <w:spacing w:before="60" w:after="60"/>
    </w:pPr>
  </w:style>
  <w:style w:type="paragraph" w:styleId="ListContinue">
    <w:name w:val="List Continue"/>
    <w:basedOn w:val="List"/>
    <w:rsid w:val="00BF7456"/>
    <w:pPr>
      <w:ind w:firstLine="0"/>
    </w:pPr>
  </w:style>
  <w:style w:type="paragraph" w:customStyle="1" w:styleId="ListNote">
    <w:name w:val="List Note"/>
    <w:basedOn w:val="List"/>
    <w:rsid w:val="00BF7456"/>
    <w:pPr>
      <w:pBdr>
        <w:top w:val="single" w:sz="6" w:space="2" w:color="918585"/>
        <w:bottom w:val="single" w:sz="6" w:space="2" w:color="918585"/>
      </w:pBdr>
      <w:tabs>
        <w:tab w:val="left" w:pos="1021"/>
      </w:tabs>
      <w:ind w:firstLine="0"/>
    </w:pPr>
  </w:style>
  <w:style w:type="paragraph" w:customStyle="1" w:styleId="Warning">
    <w:name w:val="Warning"/>
    <w:basedOn w:val="BodyText"/>
    <w:rsid w:val="00BF7456"/>
    <w:pPr>
      <w:shd w:val="clear" w:color="auto" w:fill="D9D9D9"/>
      <w:tabs>
        <w:tab w:val="left" w:pos="992"/>
      </w:tabs>
      <w:ind w:left="119" w:right="119"/>
    </w:pPr>
    <w:rPr>
      <w:sz w:val="20"/>
    </w:rPr>
  </w:style>
  <w:style w:type="paragraph" w:customStyle="1" w:styleId="MarginIcons">
    <w:name w:val="Margin Icons"/>
    <w:basedOn w:val="BodyText"/>
    <w:rsid w:val="00BF74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7456"/>
    <w:rPr>
      <w:rFonts w:ascii="Courier New" w:hAnsi="Courier New"/>
    </w:rPr>
  </w:style>
  <w:style w:type="paragraph" w:customStyle="1" w:styleId="NoteBullet">
    <w:name w:val="Note Bullet"/>
    <w:basedOn w:val="Note"/>
    <w:rsid w:val="00BF7456"/>
    <w:pPr>
      <w:tabs>
        <w:tab w:val="clear" w:pos="680"/>
      </w:tabs>
      <w:spacing w:before="60" w:after="60"/>
    </w:pPr>
  </w:style>
  <w:style w:type="paragraph" w:customStyle="1" w:styleId="SubHeading2">
    <w:name w:val="SubHeading2"/>
    <w:basedOn w:val="HeadingBase"/>
    <w:rsid w:val="00BF7456"/>
    <w:pPr>
      <w:spacing w:before="240" w:after="60"/>
    </w:pPr>
    <w:rPr>
      <w:sz w:val="20"/>
    </w:rPr>
  </w:style>
  <w:style w:type="paragraph" w:customStyle="1" w:styleId="SubHeading1">
    <w:name w:val="SubHeading1"/>
    <w:basedOn w:val="HeadingBase"/>
    <w:rsid w:val="00BF7456"/>
    <w:pPr>
      <w:spacing w:before="240" w:after="60"/>
    </w:pPr>
    <w:rPr>
      <w:color w:val="918585"/>
      <w:sz w:val="22"/>
    </w:rPr>
  </w:style>
  <w:style w:type="paragraph" w:customStyle="1" w:styleId="SideHeading">
    <w:name w:val="Side Heading"/>
    <w:basedOn w:val="HeadingBase"/>
    <w:rsid w:val="00BF74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7456"/>
    <w:pPr>
      <w:numPr>
        <w:numId w:val="12"/>
      </w:numPr>
    </w:pPr>
  </w:style>
  <w:style w:type="paragraph" w:styleId="PlainText">
    <w:name w:val="Plain Text"/>
    <w:basedOn w:val="Normal"/>
    <w:link w:val="PlainTextChar"/>
    <w:rsid w:val="00BF7456"/>
    <w:rPr>
      <w:sz w:val="20"/>
    </w:rPr>
  </w:style>
  <w:style w:type="character" w:customStyle="1" w:styleId="PlainTextChar">
    <w:name w:val="Plain Text Char"/>
    <w:basedOn w:val="DefaultParagraphFont"/>
    <w:link w:val="PlainText"/>
    <w:rsid w:val="00BF7456"/>
    <w:rPr>
      <w:rFonts w:ascii="Courier New" w:eastAsia="Times New Roman" w:hAnsi="Courier New" w:cs="Times New Roman"/>
      <w:sz w:val="20"/>
      <w:szCs w:val="20"/>
      <w:lang w:eastAsia="en-US"/>
    </w:rPr>
  </w:style>
  <w:style w:type="character" w:customStyle="1" w:styleId="MenuOption">
    <w:name w:val="Menu Option"/>
    <w:basedOn w:val="DefaultParagraphFont"/>
    <w:rsid w:val="00BF7456"/>
    <w:rPr>
      <w:b/>
      <w:smallCaps/>
    </w:rPr>
  </w:style>
  <w:style w:type="paragraph" w:customStyle="1" w:styleId="TableListNumber">
    <w:name w:val="Table List Number"/>
    <w:basedOn w:val="ListNumber"/>
    <w:rsid w:val="00BF7456"/>
    <w:pPr>
      <w:numPr>
        <w:numId w:val="0"/>
      </w:numPr>
    </w:pPr>
  </w:style>
  <w:style w:type="paragraph" w:styleId="TOC4">
    <w:name w:val="toc 4"/>
    <w:basedOn w:val="TOCBase"/>
    <w:next w:val="Normal"/>
    <w:semiHidden/>
    <w:rsid w:val="00BF7456"/>
    <w:pPr>
      <w:tabs>
        <w:tab w:val="right" w:leader="dot" w:pos="9071"/>
      </w:tabs>
      <w:ind w:left="1701"/>
    </w:pPr>
  </w:style>
  <w:style w:type="paragraph" w:customStyle="1" w:styleId="ListAlpha">
    <w:name w:val="List Alpha"/>
    <w:basedOn w:val="List"/>
    <w:rsid w:val="00BF7456"/>
    <w:pPr>
      <w:numPr>
        <w:numId w:val="9"/>
      </w:numPr>
    </w:pPr>
  </w:style>
  <w:style w:type="paragraph" w:customStyle="1" w:styleId="ListAlpha2">
    <w:name w:val="List Alpha 2"/>
    <w:basedOn w:val="List2"/>
    <w:rsid w:val="00BF7456"/>
    <w:pPr>
      <w:numPr>
        <w:numId w:val="8"/>
      </w:numPr>
    </w:pPr>
  </w:style>
  <w:style w:type="paragraph" w:styleId="List3">
    <w:name w:val="List 3"/>
    <w:basedOn w:val="BodyText"/>
    <w:rsid w:val="00BF7456"/>
    <w:pPr>
      <w:tabs>
        <w:tab w:val="left" w:pos="1021"/>
      </w:tabs>
      <w:spacing w:before="60" w:after="60"/>
      <w:ind w:left="1020" w:hanging="340"/>
    </w:pPr>
  </w:style>
  <w:style w:type="paragraph" w:styleId="List4">
    <w:name w:val="List 4"/>
    <w:basedOn w:val="BodyText"/>
    <w:rsid w:val="00BF7456"/>
    <w:pPr>
      <w:tabs>
        <w:tab w:val="left" w:pos="1361"/>
      </w:tabs>
      <w:spacing w:before="60" w:after="60"/>
      <w:ind w:left="1361" w:hanging="340"/>
    </w:pPr>
  </w:style>
  <w:style w:type="paragraph" w:styleId="List5">
    <w:name w:val="List 5"/>
    <w:basedOn w:val="BodyText"/>
    <w:rsid w:val="00BF7456"/>
    <w:pPr>
      <w:tabs>
        <w:tab w:val="left" w:pos="1701"/>
      </w:tabs>
      <w:spacing w:before="60" w:after="60"/>
      <w:ind w:left="1701" w:hanging="340"/>
    </w:pPr>
  </w:style>
  <w:style w:type="paragraph" w:styleId="ListBullet3">
    <w:name w:val="List Bullet 3"/>
    <w:basedOn w:val="List3"/>
    <w:rsid w:val="00BF7456"/>
    <w:pPr>
      <w:numPr>
        <w:numId w:val="15"/>
      </w:numPr>
      <w:tabs>
        <w:tab w:val="clear" w:pos="1021"/>
      </w:tabs>
      <w:ind w:left="1037" w:hanging="357"/>
    </w:pPr>
  </w:style>
  <w:style w:type="paragraph" w:styleId="ListBullet4">
    <w:name w:val="List Bullet 4"/>
    <w:basedOn w:val="List4"/>
    <w:rsid w:val="00BF7456"/>
    <w:pPr>
      <w:numPr>
        <w:numId w:val="3"/>
      </w:numPr>
    </w:pPr>
  </w:style>
  <w:style w:type="paragraph" w:styleId="ListBullet5">
    <w:name w:val="List Bullet 5"/>
    <w:basedOn w:val="List5"/>
    <w:rsid w:val="00BF7456"/>
    <w:pPr>
      <w:numPr>
        <w:numId w:val="4"/>
      </w:numPr>
    </w:pPr>
  </w:style>
  <w:style w:type="paragraph" w:styleId="ListContinue2">
    <w:name w:val="List Continue 2"/>
    <w:basedOn w:val="List2"/>
    <w:rsid w:val="00BF7456"/>
    <w:pPr>
      <w:ind w:firstLine="0"/>
    </w:pPr>
  </w:style>
  <w:style w:type="paragraph" w:styleId="ListContinue3">
    <w:name w:val="List Continue 3"/>
    <w:basedOn w:val="List3"/>
    <w:rsid w:val="00BF7456"/>
    <w:pPr>
      <w:ind w:left="1021" w:firstLine="0"/>
    </w:pPr>
  </w:style>
  <w:style w:type="paragraph" w:styleId="ListContinue4">
    <w:name w:val="List Continue 4"/>
    <w:basedOn w:val="List4"/>
    <w:rsid w:val="00BF7456"/>
    <w:pPr>
      <w:ind w:firstLine="0"/>
    </w:pPr>
  </w:style>
  <w:style w:type="paragraph" w:styleId="ListContinue5">
    <w:name w:val="List Continue 5"/>
    <w:basedOn w:val="List5"/>
    <w:rsid w:val="00BF7456"/>
    <w:pPr>
      <w:ind w:firstLine="0"/>
    </w:pPr>
  </w:style>
  <w:style w:type="paragraph" w:styleId="ListNumber3">
    <w:name w:val="List Number 3"/>
    <w:basedOn w:val="List3"/>
    <w:rsid w:val="00BF7456"/>
    <w:pPr>
      <w:numPr>
        <w:numId w:val="5"/>
      </w:numPr>
    </w:pPr>
  </w:style>
  <w:style w:type="paragraph" w:styleId="ListNumber4">
    <w:name w:val="List Number 4"/>
    <w:basedOn w:val="List4"/>
    <w:rsid w:val="00BF7456"/>
    <w:pPr>
      <w:numPr>
        <w:numId w:val="6"/>
      </w:numPr>
    </w:pPr>
  </w:style>
  <w:style w:type="paragraph" w:styleId="ListNumber5">
    <w:name w:val="List Number 5"/>
    <w:basedOn w:val="List5"/>
    <w:rsid w:val="00BF7456"/>
    <w:pPr>
      <w:numPr>
        <w:numId w:val="7"/>
      </w:numPr>
    </w:pPr>
  </w:style>
  <w:style w:type="paragraph" w:styleId="BlockText">
    <w:name w:val="Block Text"/>
    <w:basedOn w:val="Normal"/>
    <w:rsid w:val="00BF7456"/>
    <w:pPr>
      <w:spacing w:after="120"/>
      <w:ind w:left="1440" w:right="1440"/>
    </w:pPr>
  </w:style>
  <w:style w:type="character" w:customStyle="1" w:styleId="Subscript">
    <w:name w:val="Subscript"/>
    <w:basedOn w:val="DefaultParagraphFont"/>
    <w:rsid w:val="00BF7456"/>
    <w:rPr>
      <w:sz w:val="16"/>
      <w:vertAlign w:val="subscript"/>
    </w:rPr>
  </w:style>
  <w:style w:type="character" w:customStyle="1" w:styleId="Superscript">
    <w:name w:val="Superscript"/>
    <w:basedOn w:val="DefaultParagraphFont"/>
    <w:rsid w:val="00BF7456"/>
    <w:rPr>
      <w:sz w:val="16"/>
      <w:vertAlign w:val="superscript"/>
    </w:rPr>
  </w:style>
  <w:style w:type="character" w:customStyle="1" w:styleId="Symbols">
    <w:name w:val="Symbols"/>
    <w:basedOn w:val="DefaultParagraphFont"/>
    <w:rsid w:val="00BF7456"/>
    <w:rPr>
      <w:rFonts w:ascii="Symbol" w:hAnsi="Symbol"/>
    </w:rPr>
  </w:style>
  <w:style w:type="character" w:customStyle="1" w:styleId="MenuOptions">
    <w:name w:val="Menu Options"/>
    <w:basedOn w:val="DefaultParagraphFont"/>
    <w:rsid w:val="00BF7456"/>
    <w:rPr>
      <w:rFonts w:ascii="Arial Narrow" w:hAnsi="Arial Narrow"/>
      <w:smallCaps/>
    </w:rPr>
  </w:style>
  <w:style w:type="character" w:customStyle="1" w:styleId="Buttons">
    <w:name w:val="Buttons"/>
    <w:basedOn w:val="DefaultParagraphFont"/>
    <w:rsid w:val="00BF7456"/>
    <w:rPr>
      <w:b/>
    </w:rPr>
  </w:style>
  <w:style w:type="character" w:customStyle="1" w:styleId="Underlined">
    <w:name w:val="Underlined"/>
    <w:basedOn w:val="DefaultParagraphFont"/>
    <w:rsid w:val="00BF7456"/>
    <w:rPr>
      <w:u w:val="single"/>
    </w:rPr>
  </w:style>
  <w:style w:type="paragraph" w:customStyle="1" w:styleId="TableBodyTextRight">
    <w:name w:val="Table Body Text Right"/>
    <w:basedOn w:val="TableBodyText"/>
    <w:rsid w:val="00BF7456"/>
    <w:pPr>
      <w:widowControl w:val="0"/>
      <w:autoSpaceDE w:val="0"/>
      <w:autoSpaceDN w:val="0"/>
      <w:adjustRightInd w:val="0"/>
      <w:jc w:val="right"/>
    </w:pPr>
    <w:rPr>
      <w:rFonts w:cs="Arial"/>
      <w:szCs w:val="18"/>
    </w:rPr>
  </w:style>
  <w:style w:type="paragraph" w:customStyle="1" w:styleId="CopyrightText">
    <w:name w:val="Copyright Text"/>
    <w:basedOn w:val="BodyText"/>
    <w:rsid w:val="00BF7456"/>
    <w:rPr>
      <w:sz w:val="18"/>
    </w:rPr>
  </w:style>
  <w:style w:type="paragraph" w:customStyle="1" w:styleId="BodySmallRight">
    <w:name w:val="Body Small Right"/>
    <w:basedOn w:val="BodyTextRight"/>
    <w:rsid w:val="00BF7456"/>
    <w:rPr>
      <w:sz w:val="18"/>
      <w:szCs w:val="18"/>
    </w:rPr>
  </w:style>
  <w:style w:type="paragraph" w:customStyle="1" w:styleId="MarginEdition">
    <w:name w:val="Margin Edition"/>
    <w:basedOn w:val="MarginNote"/>
    <w:rsid w:val="00BF7456"/>
    <w:pPr>
      <w:spacing w:before="0" w:after="0"/>
    </w:pPr>
    <w:rPr>
      <w:rFonts w:ascii="Times New Roman" w:hAnsi="Times New Roman"/>
      <w:color w:val="999999"/>
    </w:rPr>
  </w:style>
  <w:style w:type="paragraph" w:customStyle="1" w:styleId="Spacer">
    <w:name w:val="Spacer"/>
    <w:basedOn w:val="Normal"/>
    <w:rsid w:val="00BF7456"/>
    <w:rPr>
      <w:sz w:val="2"/>
      <w:szCs w:val="2"/>
    </w:rPr>
  </w:style>
  <w:style w:type="character" w:customStyle="1" w:styleId="Small">
    <w:name w:val="Small"/>
    <w:basedOn w:val="DefaultParagraphFont"/>
    <w:rsid w:val="00BF7456"/>
    <w:rPr>
      <w:sz w:val="16"/>
    </w:rPr>
  </w:style>
  <w:style w:type="paragraph" w:customStyle="1" w:styleId="WideTable">
    <w:name w:val="Wide Table"/>
    <w:basedOn w:val="Normal"/>
    <w:rsid w:val="00BF7456"/>
    <w:pPr>
      <w:ind w:left="-1418"/>
    </w:pPr>
    <w:rPr>
      <w:sz w:val="2"/>
      <w:szCs w:val="2"/>
    </w:rPr>
  </w:style>
  <w:style w:type="character" w:styleId="PageNumber">
    <w:name w:val="page number"/>
    <w:basedOn w:val="DefaultParagraphFont"/>
    <w:rsid w:val="00BF7456"/>
  </w:style>
  <w:style w:type="paragraph" w:styleId="Quote">
    <w:name w:val="Quote"/>
    <w:basedOn w:val="Heading1"/>
    <w:link w:val="QuoteChar"/>
    <w:qFormat/>
    <w:rsid w:val="00BF7456"/>
    <w:rPr>
      <w:b w:val="0"/>
      <w:sz w:val="72"/>
      <w:szCs w:val="72"/>
      <w:lang w:val="en-NZ"/>
    </w:rPr>
  </w:style>
  <w:style w:type="character" w:customStyle="1" w:styleId="QuoteChar">
    <w:name w:val="Quote Char"/>
    <w:basedOn w:val="DefaultParagraphFont"/>
    <w:link w:val="Quote"/>
    <w:rsid w:val="00BF74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7456"/>
    <w:pPr>
      <w:pageBreakBefore/>
    </w:pPr>
  </w:style>
  <w:style w:type="paragraph" w:customStyle="1" w:styleId="Border">
    <w:name w:val="Border"/>
    <w:basedOn w:val="Normal"/>
    <w:qFormat/>
    <w:rsid w:val="00BF74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7456"/>
    <w:rPr>
      <w:b/>
      <w:bCs/>
      <w:i/>
      <w:iCs/>
      <w:color w:val="auto"/>
    </w:rPr>
  </w:style>
  <w:style w:type="paragraph" w:styleId="IntenseQuote">
    <w:name w:val="Intense Quote"/>
    <w:basedOn w:val="Normal"/>
    <w:next w:val="Normal"/>
    <w:link w:val="IntenseQuoteChar"/>
    <w:uiPriority w:val="30"/>
    <w:qFormat/>
    <w:rsid w:val="00BF74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74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7456"/>
    <w:rPr>
      <w:smallCaps/>
      <w:color w:val="auto"/>
      <w:u w:val="single"/>
    </w:rPr>
  </w:style>
  <w:style w:type="character" w:styleId="IntenseReference">
    <w:name w:val="Intense Reference"/>
    <w:basedOn w:val="DefaultParagraphFont"/>
    <w:uiPriority w:val="32"/>
    <w:qFormat/>
    <w:rsid w:val="00BF7456"/>
    <w:rPr>
      <w:b/>
      <w:bCs/>
      <w:smallCaps/>
      <w:color w:val="auto"/>
      <w:spacing w:val="5"/>
      <w:u w:val="single"/>
    </w:rPr>
  </w:style>
  <w:style w:type="paragraph" w:customStyle="1" w:styleId="2ColumnHeading">
    <w:name w:val="2Column Heading"/>
    <w:basedOn w:val="BodyText"/>
    <w:qFormat/>
    <w:rsid w:val="00BF7456"/>
    <w:pPr>
      <w:spacing w:after="60"/>
      <w:ind w:left="-2268"/>
    </w:pPr>
    <w:rPr>
      <w:b/>
    </w:rPr>
  </w:style>
  <w:style w:type="paragraph" w:customStyle="1" w:styleId="Heading1TOC">
    <w:name w:val="Heading1 TOC"/>
    <w:basedOn w:val="Normal"/>
    <w:qFormat/>
    <w:rsid w:val="00BF7456"/>
    <w:pPr>
      <w:spacing w:before="240" w:after="120"/>
    </w:pPr>
    <w:rPr>
      <w:rFonts w:ascii="Times New Roman" w:hAnsi="Times New Roman"/>
      <w:b/>
      <w:sz w:val="32"/>
    </w:rPr>
  </w:style>
  <w:style w:type="paragraph" w:customStyle="1" w:styleId="Heading2TOC">
    <w:name w:val="Heading2 TOC"/>
    <w:basedOn w:val="Normal"/>
    <w:qFormat/>
    <w:rsid w:val="00BF7456"/>
    <w:pPr>
      <w:spacing w:before="240" w:after="60"/>
    </w:pPr>
    <w:rPr>
      <w:rFonts w:ascii="Times New Roman" w:hAnsi="Times New Roman"/>
      <w:b/>
      <w:sz w:val="28"/>
    </w:rPr>
  </w:style>
  <w:style w:type="character" w:customStyle="1" w:styleId="Underline">
    <w:name w:val="Underline"/>
    <w:basedOn w:val="DefaultParagraphFont"/>
    <w:qFormat/>
    <w:rsid w:val="00BF7456"/>
    <w:rPr>
      <w:u w:val="single"/>
    </w:rPr>
  </w:style>
  <w:style w:type="character" w:customStyle="1" w:styleId="BoldandItalics">
    <w:name w:val="Bold and Italics"/>
    <w:qFormat/>
    <w:rsid w:val="00BF7456"/>
    <w:rPr>
      <w:b/>
      <w:i/>
      <w:u w:val="none"/>
    </w:rPr>
  </w:style>
  <w:style w:type="paragraph" w:styleId="BalloonText">
    <w:name w:val="Balloon Text"/>
    <w:basedOn w:val="Normal"/>
    <w:link w:val="BalloonTextChar"/>
    <w:rsid w:val="00BF7456"/>
    <w:rPr>
      <w:rFonts w:ascii="Tahoma" w:hAnsi="Tahoma" w:cs="Tahoma"/>
      <w:sz w:val="16"/>
      <w:szCs w:val="16"/>
    </w:rPr>
  </w:style>
  <w:style w:type="character" w:customStyle="1" w:styleId="BalloonTextChar">
    <w:name w:val="Balloon Text Char"/>
    <w:basedOn w:val="DefaultParagraphFont"/>
    <w:link w:val="BalloonText"/>
    <w:rsid w:val="00BF74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74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74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7456"/>
    <w:rPr>
      <w:b/>
      <w:color w:val="660033"/>
      <w:spacing w:val="0"/>
    </w:rPr>
  </w:style>
  <w:style w:type="paragraph" w:customStyle="1" w:styleId="Nameditemlist">
    <w:name w:val="Named item list"/>
    <w:basedOn w:val="BodyText"/>
    <w:qFormat/>
    <w:rsid w:val="00BF745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2169</Words>
  <Characters>13159</Characters>
  <Application>Microsoft Office Word</Application>
  <DocSecurity>0</DocSecurity>
  <Lines>513</Lines>
  <Paragraphs>230</Paragraphs>
  <ScaleCrop>false</ScaleCrop>
  <Company>Author-it Software Corporation Ltd.</Company>
  <LinksUpToDate>false</LinksUpToDate>
  <CharactersWithSpaces>15156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UEPMNT371A Maintain large scale wind turbine generators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2013-03-14T22:14:00Z</dcterms:created>
  <dcterms:modified xsi:type="dcterms:W3CDTF">2013-03-14T22:14:00Z</dcterms:modified>
</cp:coreProperties>
</file>