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AF2" w:rsidP="008B6AF2">
      <w:pPr>
        <w:pStyle w:val="Title"/>
      </w:pPr>
      <w:bookmarkStart w:id="0" w:name="_GoBack"/>
      <w:bookmarkEnd w:id="0"/>
      <w:r>
        <w:fldChar w:fldCharType="begin"/>
      </w:r>
      <w:r>
        <w:instrText xml:space="preserve"> TITLE   \* MERGEFORMAT </w:instrText>
      </w:r>
      <w:r>
        <w:fldChar w:fldCharType="separate"/>
      </w:r>
      <w:r>
        <w:t>UEPMNT368A Repair and maintain stationary gas fuelled reciprocating engines</w:t>
      </w:r>
      <w:r>
        <w:fldChar w:fldCharType="end"/>
      </w:r>
    </w:p>
    <w:p w:rsidR="008B6AF2" w:rsidP="008B6AF2">
      <w:pPr>
        <w:pStyle w:val="Version"/>
        <w:sectPr w:rsidSect="00094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5F9" w:rsidP="000945F9">
      <w:pPr>
        <w:pStyle w:val="SuperHeading"/>
      </w:pPr>
      <w:r w:rsidRPr="000945F9">
        <w:t>UEPMNT368A Repair and maintain stationary gas fuelled reciprocating engines</w:t>
      </w:r>
    </w:p>
    <w:p w:rsidR="00000000" w:rsidRPr="000945F9" w:rsidP="000945F9">
      <w:pPr>
        <w:pStyle w:val="Heading1"/>
      </w:pPr>
      <w:bookmarkStart w:id="1" w:name="O_470168"/>
      <w:bookmarkEnd w:id="1"/>
      <w:r w:rsidRPr="000945F9">
        <w:t>Modification History</w:t>
      </w:r>
    </w:p>
    <w:p w:rsidR="00000000" w:rsidRPr="000945F9" w:rsidP="000945F9">
      <w:pPr>
        <w:pStyle w:val="BodyText"/>
      </w:pPr>
      <w:r w:rsidRPr="000945F9">
        <w:t>Not applicable.</w:t>
      </w:r>
    </w:p>
    <w:p w:rsidR="00000000" w:rsidRPr="000945F9" w:rsidP="000945F9">
      <w:pPr>
        <w:pStyle w:val="AllowPageBreak"/>
      </w:pPr>
    </w:p>
    <w:p w:rsidR="00000000" w:rsidRPr="000945F9" w:rsidP="000945F9">
      <w:pPr>
        <w:pStyle w:val="Heading1"/>
      </w:pPr>
      <w:bookmarkStart w:id="2" w:name="O_470166"/>
      <w:bookmarkEnd w:id="2"/>
      <w:r w:rsidRPr="000945F9">
        <w:t>Unit Descriptor</w:t>
      </w:r>
    </w:p>
    <w:tbl>
      <w:tblPr>
        <w:tblW w:w="0" w:type="auto"/>
        <w:tblLayout w:type="fixed"/>
        <w:tblCellMar>
          <w:left w:w="62" w:type="dxa"/>
          <w:right w:w="62" w:type="dxa"/>
        </w:tblCellMar>
        <w:tblLook w:val="0000"/>
      </w:tblPr>
      <w:tblGrid>
        <w:gridCol w:w="2700"/>
        <w:gridCol w:w="5760"/>
      </w:tblGrid>
      <w:tr w:rsidTr="008B6A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1)</w:t>
            </w:r>
            <w:r w:rsidRPr="000945F9">
              <w:t xml:space="preserve"> </w:t>
            </w:r>
            <w:r w:rsidRPr="000945F9">
              <w:rPr>
                <w:rStyle w:val="SpecialBold"/>
              </w:rPr>
              <w:t>Scope:</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5F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1.1) Descriptor</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This unit covers the isolation, disconnecting, repairing, reconnecting and maintenance of stationary gas fuelled reciprocating engines for approval where required. It encompasses working safely and to relevant standards disconnecting, carry out repairs and</w:t>
            </w:r>
            <w:r w:rsidRPr="000945F9">
              <w:t xml:space="preserve"> replacement of fuel train components to given specifications. Reconnecting the engine including: pre start tests, start up, adjusting components and controls to safe and efficient operation.  Completing all required documentation.</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3" w:name="O_470155"/>
      <w:bookmarkEnd w:id="3"/>
      <w:r w:rsidRPr="000945F9">
        <w:t>Appli</w:t>
      </w:r>
      <w:r w:rsidRPr="000945F9">
        <w:t>cation of the Unit</w:t>
      </w:r>
    </w:p>
    <w:tbl>
      <w:tblPr>
        <w:tblW w:w="0" w:type="auto"/>
        <w:tblLayout w:type="fixed"/>
        <w:tblCellMar>
          <w:left w:w="62" w:type="dxa"/>
          <w:right w:w="62" w:type="dxa"/>
        </w:tblCellMar>
        <w:tblLook w:val="0000"/>
      </w:tblPr>
      <w:tblGrid>
        <w:gridCol w:w="2672"/>
        <w:gridCol w:w="5699"/>
      </w:tblGrid>
      <w:tr w:rsidTr="008B6AF2">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2)</w:t>
            </w:r>
          </w:p>
        </w:tc>
      </w:tr>
      <w:tr w:rsidTr="008B6A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 xml:space="preserve">General Application </w:t>
            </w:r>
          </w:p>
        </w:tc>
        <w:tc>
          <w:tcPr>
            <w:tcW w:w="5699"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2.1)</w:t>
            </w:r>
          </w:p>
        </w:tc>
      </w:tr>
      <w:tr w:rsidTr="008B6A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 xml:space="preserve">This competency standard unit is suitable for employment-based programs under an approved contract of training at the AQF level of the qualification </w:t>
            </w:r>
            <w:r w:rsidRPr="000945F9">
              <w:t>in which the unit is first packaged or higher.</w:t>
            </w:r>
          </w:p>
          <w:p w:rsidR="00000000" w:rsidRPr="000945F9" w:rsidP="000945F9">
            <w:pPr>
              <w:pStyle w:val="BodyText"/>
            </w:pPr>
            <w:r w:rsidRPr="000945F9">
              <w:t>The unit may be selected as an elective unit (see qualification packaging rules) provided that all prerequisite units are undertaken or addressed through recognition processes.</w:t>
            </w:r>
          </w:p>
          <w:p w:rsidR="00000000" w:rsidP="000945F9">
            <w:pPr>
              <w:pStyle w:val="BodyText"/>
              <w:rPr>
                <w:lang w:val="en-NZ"/>
              </w:rPr>
            </w:pPr>
            <w:r w:rsidRPr="000945F9">
              <w:t>This unit may be included in a s</w:t>
            </w:r>
            <w:r w:rsidRPr="000945F9">
              <w:t>kill set.</w:t>
            </w:r>
          </w:p>
        </w:tc>
      </w:tr>
      <w:tr w:rsidTr="008B6A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 xml:space="preserve">Importation </w:t>
            </w:r>
          </w:p>
        </w:tc>
        <w:tc>
          <w:tcPr>
            <w:tcW w:w="5699"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2.2)</w:t>
            </w:r>
          </w:p>
        </w:tc>
      </w:tr>
      <w:tr w:rsidTr="008B6A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 xml:space="preserve">RTOs wishing to import this unit into any qualification under the flexibility provisions of NQC/NSSC Training Package Policy should ensure all pre-requiste units are </w:t>
            </w:r>
            <w:r w:rsidRPr="000945F9">
              <w:t>also imported into the relevant Training Package and qualif</w:t>
            </w:r>
            <w:r w:rsidRPr="000945F9">
              <w:t>ication.</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4" w:name="O_470162"/>
      <w:bookmarkEnd w:id="4"/>
      <w:r w:rsidRPr="000945F9">
        <w:t>Licensing/Regulatory Information</w:t>
      </w:r>
    </w:p>
    <w:tbl>
      <w:tblPr>
        <w:tblW w:w="0" w:type="auto"/>
        <w:tblLayout w:type="fixed"/>
        <w:tblCellMar>
          <w:left w:w="62" w:type="dxa"/>
          <w:right w:w="62" w:type="dxa"/>
        </w:tblCellMar>
        <w:tblLook w:val="0000"/>
      </w:tblPr>
      <w:tblGrid>
        <w:gridCol w:w="2700"/>
        <w:gridCol w:w="5760"/>
      </w:tblGrid>
      <w:tr w:rsidTr="008B6AF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 xml:space="preserve">3) </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 xml:space="preserve">During Training: Competency development activities are subject to regulations directly related to licensing, occupational health and safety </w:t>
            </w:r>
            <w:r w:rsidRPr="000945F9">
              <w:t>and where applicable contracts of training such as apprenticeships.</w:t>
            </w:r>
          </w:p>
          <w:p w:rsidR="00000000" w:rsidRPr="000945F9" w:rsidP="000945F9">
            <w:pPr>
              <w:pStyle w:val="BodyText"/>
            </w:pPr>
            <w:r w:rsidRPr="000945F9">
              <w:t>In the workplace: The application of the skills and knowledge described in this unit in some States/Territories requires an authority to practice in the workplace. Other conditions may app</w:t>
            </w:r>
            <w:r w:rsidRPr="000945F9">
              <w:t>ly under State and Territory legislative and regulatory requirements.</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5" w:name="O_470163"/>
      <w:bookmarkEnd w:id="5"/>
      <w:r w:rsidRPr="000945F9">
        <w:t>Pre-Requisites</w:t>
      </w:r>
    </w:p>
    <w:tbl>
      <w:tblPr>
        <w:tblW w:w="0" w:type="auto"/>
        <w:tblLayout w:type="fixed"/>
        <w:tblCellMar>
          <w:left w:w="62" w:type="dxa"/>
          <w:right w:w="62" w:type="dxa"/>
        </w:tblCellMar>
        <w:tblLook w:val="0000"/>
      </w:tblPr>
      <w:tblGrid>
        <w:gridCol w:w="2700"/>
        <w:gridCol w:w="2068"/>
        <w:gridCol w:w="3696"/>
      </w:tblGrid>
      <w:tr w:rsidTr="008B6A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 xml:space="preserve">4) </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4.1)</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Granting of competency in this unit shall be made only after competency in the following unit(s) has/have been confirmed.</w:t>
            </w:r>
          </w:p>
          <w:p w:rsidR="00000000" w:rsidRPr="000945F9" w:rsidP="000945F9">
            <w:pPr>
              <w:pStyle w:val="BodyText"/>
            </w:pPr>
            <w:r w:rsidRPr="000945F9">
              <w:t>Where pre-requisite pathways have been identified. All competencies in the Common Unit Group must be have been completed.</w:t>
            </w:r>
          </w:p>
          <w:p w:rsidR="00000000" w:rsidP="000945F9">
            <w:pPr>
              <w:pStyle w:val="BodyText"/>
              <w:rPr>
                <w:lang w:val="en-NZ"/>
              </w:rPr>
            </w:pPr>
            <w:r w:rsidRPr="000945F9">
              <w:t xml:space="preserve">Common Unit </w:t>
            </w:r>
            <w:r w:rsidRPr="000945F9">
              <w:t>Group</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Unit Code</w:t>
            </w:r>
            <w:r w:rsidRPr="000945F9">
              <w:tab/>
            </w:r>
          </w:p>
        </w:tc>
        <w:tc>
          <w:tcPr>
            <w:tcW w:w="3696"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Unit Title</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UEENEEE101A</w:t>
            </w:r>
          </w:p>
        </w:tc>
        <w:tc>
          <w:tcPr>
            <w:tcW w:w="3696"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Apply Occupational Health and Safety regulations, codes and practices in the workplace</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CPCCOHS1001A </w:t>
            </w:r>
          </w:p>
        </w:tc>
        <w:tc>
          <w:tcPr>
            <w:tcW w:w="3696"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Work safely in the construction industry</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HLTCPR201A</w:t>
            </w:r>
          </w:p>
        </w:tc>
        <w:tc>
          <w:tcPr>
            <w:tcW w:w="3696"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Perform CPR</w:t>
            </w:r>
          </w:p>
        </w:tc>
      </w:tr>
    </w:tbl>
    <w:p w:rsidR="00000000" w:rsidRPr="000945F9" w:rsidP="000945F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B6A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 xml:space="preserve">4.2) </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Participants are best equipped to achieve this unit if they have reading, writing and numeracy skills indicated by the following levels. A description of what each level entails is provided in Section 2.3.1 Language, Literacy and Numeracy.</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Reading</w:t>
            </w: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4</w:t>
            </w:r>
          </w:p>
        </w:tc>
        <w:tc>
          <w:tcPr>
            <w:tcW w:w="99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Writing</w:t>
            </w:r>
          </w:p>
        </w:tc>
        <w:tc>
          <w:tcPr>
            <w:tcW w:w="90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4</w:t>
            </w:r>
          </w:p>
        </w:tc>
        <w:tc>
          <w:tcPr>
            <w:tcW w:w="12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Numeracy</w:t>
            </w:r>
          </w:p>
        </w:tc>
        <w:tc>
          <w:tcPr>
            <w:tcW w:w="72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4</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6" w:name="O_470159"/>
      <w:bookmarkEnd w:id="6"/>
      <w:r w:rsidRPr="000945F9">
        <w:t>Employability Skills Information</w:t>
      </w:r>
    </w:p>
    <w:tbl>
      <w:tblPr>
        <w:tblW w:w="0" w:type="auto"/>
        <w:tblLayout w:type="fixed"/>
        <w:tblCellMar>
          <w:left w:w="62" w:type="dxa"/>
          <w:right w:w="62" w:type="dxa"/>
        </w:tblCellMar>
        <w:tblLook w:val="0000"/>
      </w:tblPr>
      <w:tblGrid>
        <w:gridCol w:w="2700"/>
        <w:gridCol w:w="5760"/>
      </w:tblGrid>
      <w:tr w:rsidTr="008B6A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 xml:space="preserve">5) </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This unit contains Employability Skills</w:t>
            </w:r>
          </w:p>
          <w:p w:rsidR="00000000" w:rsidRPr="000945F9" w:rsidP="000945F9">
            <w:pPr>
              <w:pStyle w:val="BodyText"/>
            </w:pPr>
            <w:r w:rsidRPr="000945F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45F9">
              <w:t>requirements.</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7" w:name="O_470158"/>
      <w:bookmarkEnd w:id="7"/>
      <w:r w:rsidRPr="000945F9">
        <w:t>Elements and Performance Criteria Pre-Content</w:t>
      </w:r>
    </w:p>
    <w:tbl>
      <w:tblPr>
        <w:tblW w:w="0" w:type="auto"/>
        <w:tblLayout w:type="fixed"/>
        <w:tblCellMar>
          <w:left w:w="62" w:type="dxa"/>
          <w:right w:w="62" w:type="dxa"/>
        </w:tblCellMar>
        <w:tblLook w:val="0000"/>
      </w:tblPr>
      <w:tblGrid>
        <w:gridCol w:w="2700"/>
        <w:gridCol w:w="5760"/>
      </w:tblGrid>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6)</w:t>
            </w:r>
            <w:r w:rsidRPr="000945F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Performance Criteria describe the required performance needed to demonstrate achievement of the element. Assessment of performance is to be consistent with the Evidence Guide.</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8" w:name="O_470157"/>
      <w:bookmarkEnd w:id="8"/>
      <w:r w:rsidRPr="000945F9">
        <w:t>Elements and Performance Criteria</w:t>
      </w:r>
    </w:p>
    <w:tbl>
      <w:tblPr>
        <w:tblW w:w="0" w:type="auto"/>
        <w:tblLayout w:type="fixed"/>
        <w:tblCellMar>
          <w:left w:w="62" w:type="dxa"/>
          <w:right w:w="62" w:type="dxa"/>
        </w:tblCellMar>
        <w:tblLook w:val="0000"/>
      </w:tblPr>
      <w:tblGrid>
        <w:gridCol w:w="425"/>
        <w:gridCol w:w="2275"/>
        <w:gridCol w:w="810"/>
        <w:gridCol w:w="4950"/>
      </w:tblGrid>
      <w:tr w:rsidTr="008B6A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PERFORMANCE CRITER</w:t>
            </w:r>
            <w:r w:rsidRPr="000945F9">
              <w:rPr>
                <w:rStyle w:val="SpecialBold"/>
              </w:rPr>
              <w:t>IA</w:t>
            </w:r>
          </w:p>
        </w:tc>
      </w:tr>
      <w:tr w:rsidTr="008B6AF2">
        <w:tblPrEx>
          <w:tblW w:w="0" w:type="auto"/>
          <w:tblLayout w:type="fixed"/>
          <w:tblCellMar>
            <w:left w:w="62" w:type="dxa"/>
            <w:right w:w="62" w:type="dxa"/>
          </w:tblCellMar>
          <w:tblLook w:val="0000"/>
        </w:tblPrEx>
        <w:trPr>
          <w:trHeight w:val="640"/>
        </w:trPr>
        <w:tc>
          <w:tcPr>
            <w:tcW w:w="425"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w:t>
            </w:r>
          </w:p>
        </w:tc>
        <w:tc>
          <w:tcPr>
            <w:tcW w:w="2275" w:type="dxa"/>
            <w:vMerge w:val="restart"/>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Prepare to repair and maintain gas fuelled reciprocating engines</w:t>
            </w:r>
          </w:p>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1.1</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OHS procedures for a given work area are identified, obtained and understood. </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1.2</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Health and safety risks are identified and established risk control measures and procedures in preparation for the work are followed.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1.3</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Safety hazards that have not previously been identified are noted and established risk control measures are implemented.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1.4</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Formal authority to proceed with repair and maintenance is obtained before commencing work, in accordance with regulatory and co</w:t>
            </w:r>
            <w:r w:rsidRPr="000945F9">
              <w:t>de of practice requirements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1.5</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Repair and maintenance is prepared in consultation with others affected by the work and sequenced appropriately. </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1.5</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The nature and locatio</w:t>
            </w:r>
            <w:r w:rsidRPr="000945F9">
              <w:t>n of the work is determined from documentation or appropriate person to establish the scope of work to be undertaken.</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1.6</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Plant, equipment and component specifications and manufacturer manuals are obtained for planned work activity</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1.7</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Material neede</w:t>
            </w:r>
            <w:r w:rsidRPr="000945F9">
              <w:t>d for the repair and maintenance work is obtained in accordance with established procedures and checked against job requirements.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1.8</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Tools, equipment, including personal protective equipment, and testing devices needed to for the repair and maintenance</w:t>
            </w:r>
            <w:r w:rsidRPr="000945F9">
              <w:t xml:space="preserve"> work are obtained in accordance with established procedures and checked for correct operation and safety.</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1.9</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Preparatory work is checked to ensure no damage has occurred and complies with requirements.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w:t>
            </w:r>
          </w:p>
        </w:tc>
        <w:tc>
          <w:tcPr>
            <w:tcW w:w="2275" w:type="dxa"/>
            <w:vMerge w:val="restart"/>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Repair and maintain gas fuelled reciprocating engines</w:t>
            </w:r>
          </w:p>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OHS risk control measures and procedures for carrying out the work are followed.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2.2</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Regulatory and code of practice recording and reporting requirements are satisfied at appropriate times throu</w:t>
            </w:r>
            <w:r w:rsidRPr="000945F9">
              <w:t>ghout the work sequence.</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2.3</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Gas and electrical circuits/machines/plant are checked and recorded as being isolated and safe where necessary in strict accordance authority and OHS requirements and procedures before work is commenced.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2.4</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Nature and possible cause of faults or out of specification performance are identified from defect reports or operational records.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2.5</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Fault finding is approached methodically drawing on knowledge of gas fuelled reciprocating engines using observation, </w:t>
            </w:r>
            <w:r w:rsidRPr="000945F9">
              <w:t xml:space="preserve">measurement, calculations and comparison with normal system and component parameters/values. </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2.6</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Faults beyond the scope of gas fuel train, ignition or fume exhaust work are identified and arrangements are made for appropriately competent </w:t>
            </w:r>
            <w:r w:rsidRPr="000945F9">
              <w:t>and authorised person to rectify faults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2.7</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Engine is disconnected where necessary to carry out maintenance and repairs in strict accordance authority and OHS requirements and procedures. Note: No modifications are permitted.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2.8</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Components are remov</w:t>
            </w:r>
            <w:r w:rsidRPr="000945F9">
              <w:t>ed/dismantled where necessary and parts stored to protect them against loss or damage</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2.9</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Faulty components are rechecked and their fault status confirmed.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2.10</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Materials required to rectify faults are sourced and obtained in accordance with established procedures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2.11</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Repair and maintenance work is carried out efficiently without unnecessary waste of materials or damage to apparatus, circuits, the surrounding </w:t>
            </w:r>
            <w:r w:rsidRPr="000945F9">
              <w:t>environment or services and using sustainable energy principles.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2.12</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Effectiveness of the repair is tested in accordance with established procedures.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2.13</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System is reassembled, reconnected and finally tested to ensure it is operating safely, effect</w:t>
            </w:r>
            <w:r w:rsidRPr="000945F9">
              <w:t>ively and complies with relevant requirements.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2.14</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Unexpected situations are dealt with safely and with the approval of an authorised person.</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w:t>
            </w:r>
          </w:p>
        </w:tc>
        <w:tc>
          <w:tcPr>
            <w:tcW w:w="2275" w:type="dxa"/>
            <w:vMerge w:val="restart"/>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Completion and report repair and maintenance</w:t>
            </w:r>
          </w:p>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3.1</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OHS work completion risk control measures and procedures are followed.</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3.2</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Final check of the engine is made to verify that it complies with all requirements, including any certification requirements by local authorities.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3.3</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Work area is cleared and materials disposed of or recycled in accordance with federal, state and territory legislation and workplace procedures.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3.4</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Tools and equipment are cleaned, checked, serviced and stored in accordance with manufacturer recommenda</w:t>
            </w:r>
            <w:r w:rsidRPr="000945F9">
              <w:t>tions and workplace procedures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3.5</w:t>
            </w:r>
          </w:p>
        </w:tc>
        <w:tc>
          <w:tcPr>
            <w:tcW w:w="495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Work site is cleaned and made safe in accordance with established procedures.</w:t>
            </w:r>
          </w:p>
        </w:tc>
      </w:tr>
      <w:tr w:rsidTr="008B6A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3.6</w:t>
            </w:r>
          </w:p>
        </w:tc>
        <w:tc>
          <w:tcPr>
            <w:tcW w:w="495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Maintenance and repair work is documented and an appropriate person or persons notified in accordance with established procedures.</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9" w:name="O_470165"/>
      <w:bookmarkEnd w:id="9"/>
      <w:r w:rsidRPr="000945F9">
        <w:t>Required Skills and Knowledge</w:t>
      </w:r>
    </w:p>
    <w:tbl>
      <w:tblPr>
        <w:tblW w:w="0" w:type="auto"/>
        <w:tblLayout w:type="fixed"/>
        <w:tblCellMar>
          <w:left w:w="62" w:type="dxa"/>
          <w:right w:w="62" w:type="dxa"/>
        </w:tblCellMar>
        <w:tblLook w:val="0000"/>
      </w:tblPr>
      <w:tblGrid>
        <w:gridCol w:w="8460"/>
      </w:tblGrid>
      <w:tr w:rsidTr="008B6A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REQUIRED SKILLS AND KNOWLEDGE</w:t>
            </w:r>
          </w:p>
        </w:tc>
      </w:tr>
      <w:tr w:rsidTr="008B6A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8)</w:t>
            </w:r>
            <w:r w:rsidRPr="000945F9">
              <w:t xml:space="preserve"> This describes the essential skills and knowledge and their level, required for this unit.</w:t>
            </w:r>
          </w:p>
          <w:p w:rsidR="00000000" w:rsidRPr="000945F9" w:rsidP="000945F9">
            <w:pPr>
              <w:pStyle w:val="BodyText"/>
            </w:pPr>
            <w:r w:rsidRPr="000945F9">
              <w:t>Evidence shall show that knowledge has been acquired of safe working practices and r</w:t>
            </w:r>
            <w:r w:rsidRPr="000945F9">
              <w:t>epairing and maintaining gas fuelled reciprocating engines.</w:t>
            </w:r>
          </w:p>
          <w:p w:rsidR="00000000" w:rsidRPr="000945F9" w:rsidP="000945F9">
            <w:pPr>
              <w:pStyle w:val="BodyText"/>
            </w:pPr>
            <w:r w:rsidRPr="000945F9">
              <w:t>All knowledge and skills detailed in this unit should be contextualised to current industry standards, technologies and practices.</w:t>
            </w:r>
          </w:p>
          <w:p w:rsidR="00000000" w:rsidRPr="000945F9" w:rsidP="000945F9">
            <w:pPr>
              <w:pStyle w:val="BodyText"/>
            </w:pPr>
            <w:r w:rsidRPr="000945F9">
              <w:t>The extent of the essential knowledge and associated skills (EKAS</w:t>
            </w:r>
            <w:r w:rsidRPr="000945F9">
              <w:t>) required is given below.  It forms an integral part of this unit.</w:t>
            </w:r>
          </w:p>
          <w:p w:rsidR="00000000" w:rsidRPr="000945F9" w:rsidP="000945F9">
            <w:pPr>
              <w:pStyle w:val="BodyText"/>
            </w:pPr>
            <w:r w:rsidRPr="000945F9">
              <w:t>KS01-PM368A</w:t>
            </w:r>
            <w:r w:rsidRPr="000945F9">
              <w:tab/>
              <w:t>Repairing and maintaining gas fuelled reciprocating engines</w:t>
            </w:r>
          </w:p>
          <w:p w:rsidR="00000000" w:rsidRPr="000945F9" w:rsidP="000945F9">
            <w:pPr>
              <w:pStyle w:val="BodyText"/>
            </w:pPr>
            <w:r w:rsidRPr="000945F9">
              <w:t>Evidence shall show an understanding of repairing and maintaining sta</w:t>
            </w:r>
            <w:r w:rsidRPr="000945F9">
              <w:t>tionary gas fuelled reciprocating engines, applying safe working practices and relevant Standards, Codes and Regulations to an extent indicated by the following aspects:</w:t>
            </w:r>
          </w:p>
          <w:p w:rsidR="00000000" w:rsidRPr="000945F9" w:rsidP="000945F9">
            <w:pPr>
              <w:pStyle w:val="BodyText"/>
            </w:pPr>
            <w:r w:rsidRPr="000945F9">
              <w:t>T1.</w:t>
            </w:r>
            <w:r w:rsidRPr="000945F9">
              <w:tab/>
              <w:t>Gas fuels encompassing:</w:t>
            </w:r>
          </w:p>
          <w:p w:rsidR="00000000" w:rsidRPr="000945F9" w:rsidP="000945F9">
            <w:pPr>
              <w:pStyle w:val="ListBullet"/>
            </w:pPr>
            <w:r w:rsidRPr="000945F9">
              <w:t>Types, properties and applications</w:t>
            </w:r>
          </w:p>
          <w:p w:rsidR="00000000" w:rsidRPr="000945F9" w:rsidP="000945F9">
            <w:pPr>
              <w:pStyle w:val="ListBullet"/>
            </w:pPr>
            <w:r w:rsidRPr="000945F9">
              <w:t>Safety</w:t>
            </w:r>
          </w:p>
          <w:p w:rsidR="00000000" w:rsidRPr="000945F9" w:rsidP="000945F9">
            <w:pPr>
              <w:pStyle w:val="ListBullet"/>
            </w:pPr>
            <w:r w:rsidRPr="000945F9">
              <w:t>Hazards</w:t>
            </w:r>
          </w:p>
          <w:p w:rsidR="00000000" w:rsidRPr="000945F9" w:rsidP="000945F9">
            <w:pPr>
              <w:pStyle w:val="ListBullet"/>
            </w:pPr>
            <w:r w:rsidRPr="000945F9">
              <w:t>Combust</w:t>
            </w:r>
            <w:r w:rsidRPr="000945F9">
              <w:t>ion</w:t>
            </w:r>
          </w:p>
          <w:p w:rsidR="00000000" w:rsidRPr="000945F9" w:rsidP="000945F9">
            <w:pPr>
              <w:pStyle w:val="ListBullet"/>
            </w:pPr>
            <w:r w:rsidRPr="000945F9">
              <w:t>Ignition types</w:t>
            </w:r>
          </w:p>
          <w:p w:rsidR="00000000" w:rsidRPr="000945F9" w:rsidP="000945F9">
            <w:pPr>
              <w:pStyle w:val="BodyText"/>
            </w:pPr>
            <w:r w:rsidRPr="000945F9">
              <w:t>T2.</w:t>
            </w:r>
            <w:r w:rsidRPr="000945F9">
              <w:tab/>
              <w:t>Gas fuelled reciprocating engines encompassing:</w:t>
            </w:r>
          </w:p>
          <w:p w:rsidR="00000000" w:rsidRPr="000945F9" w:rsidP="000945F9">
            <w:pPr>
              <w:pStyle w:val="ListBullet"/>
            </w:pPr>
            <w:r w:rsidRPr="000945F9">
              <w:t>Types</w:t>
            </w:r>
          </w:p>
          <w:p w:rsidR="00000000" w:rsidRPr="000945F9" w:rsidP="000945F9">
            <w:pPr>
              <w:pStyle w:val="ListBullet"/>
            </w:pPr>
            <w:r w:rsidRPr="000945F9">
              <w:t>Major components</w:t>
            </w:r>
          </w:p>
          <w:p w:rsidR="00000000" w:rsidRPr="000945F9" w:rsidP="000945F9">
            <w:pPr>
              <w:pStyle w:val="ListBullet"/>
            </w:pPr>
            <w:r w:rsidRPr="000945F9">
              <w:t>Operating principles</w:t>
            </w:r>
          </w:p>
          <w:p w:rsidR="00000000" w:rsidRPr="000945F9" w:rsidP="000945F9">
            <w:pPr>
              <w:pStyle w:val="ListBullet"/>
            </w:pPr>
            <w:r w:rsidRPr="000945F9">
              <w:t>Manufacturer’s specifications and diagrams</w:t>
            </w:r>
          </w:p>
          <w:p w:rsidR="00000000" w:rsidRPr="000945F9" w:rsidP="000945F9">
            <w:pPr>
              <w:pStyle w:val="BodyText"/>
            </w:pPr>
            <w:r w:rsidRPr="000945F9">
              <w:t>T3.</w:t>
            </w:r>
            <w:r w:rsidRPr="000945F9">
              <w:tab/>
              <w:t>Fuel train requirements encompassing:</w:t>
            </w:r>
          </w:p>
          <w:p w:rsidR="00000000" w:rsidRPr="000945F9" w:rsidP="000945F9">
            <w:pPr>
              <w:pStyle w:val="ListBullet"/>
            </w:pPr>
            <w:r w:rsidRPr="000945F9">
              <w:t xml:space="preserve">Pipe-work and connections </w:t>
            </w:r>
          </w:p>
          <w:p w:rsidR="00000000" w:rsidRPr="000945F9" w:rsidP="000945F9">
            <w:pPr>
              <w:pStyle w:val="ListBullet"/>
            </w:pPr>
            <w:r w:rsidRPr="000945F9">
              <w:t xml:space="preserve">Valves </w:t>
            </w:r>
          </w:p>
          <w:p w:rsidR="00000000" w:rsidRPr="000945F9" w:rsidP="000945F9">
            <w:pPr>
              <w:pStyle w:val="ListBullet"/>
            </w:pPr>
            <w:r w:rsidRPr="000945F9">
              <w:t>Metering devices</w:t>
            </w:r>
          </w:p>
          <w:p w:rsidR="00000000" w:rsidRPr="000945F9" w:rsidP="000945F9">
            <w:pPr>
              <w:pStyle w:val="ListBullet"/>
            </w:pPr>
            <w:r w:rsidRPr="000945F9">
              <w:t>Re</w:t>
            </w:r>
            <w:r w:rsidRPr="000945F9">
              <w:t>gulating valves</w:t>
            </w:r>
          </w:p>
          <w:p w:rsidR="00000000" w:rsidRPr="000945F9" w:rsidP="000945F9">
            <w:pPr>
              <w:pStyle w:val="ListBullet"/>
            </w:pPr>
            <w:r w:rsidRPr="000945F9">
              <w:t>Electrical controls</w:t>
            </w:r>
          </w:p>
          <w:p w:rsidR="00000000" w:rsidRPr="000945F9" w:rsidP="000945F9">
            <w:pPr>
              <w:pStyle w:val="BodyText"/>
            </w:pPr>
            <w:r w:rsidRPr="000945F9">
              <w:t>T4.</w:t>
            </w:r>
            <w:r w:rsidRPr="000945F9">
              <w:tab/>
              <w:t>Exhaust/flue requirements encompassing:</w:t>
            </w:r>
          </w:p>
          <w:p w:rsidR="00000000" w:rsidRPr="000945F9" w:rsidP="000945F9">
            <w:pPr>
              <w:pStyle w:val="ListBullet"/>
            </w:pPr>
            <w:r w:rsidRPr="000945F9">
              <w:t>Materials</w:t>
            </w:r>
          </w:p>
          <w:p w:rsidR="00000000" w:rsidRPr="000945F9" w:rsidP="000945F9">
            <w:pPr>
              <w:pStyle w:val="ListBullet"/>
            </w:pPr>
            <w:r w:rsidRPr="000945F9">
              <w:t>Terminations</w:t>
            </w:r>
          </w:p>
          <w:p w:rsidR="00000000" w:rsidRPr="000945F9" w:rsidP="000945F9">
            <w:pPr>
              <w:pStyle w:val="ListBullet"/>
            </w:pPr>
            <w:r w:rsidRPr="000945F9">
              <w:t>Sizing</w:t>
            </w:r>
          </w:p>
          <w:p w:rsidR="00000000" w:rsidRPr="000945F9" w:rsidP="000945F9">
            <w:pPr>
              <w:pStyle w:val="BodyText"/>
            </w:pPr>
            <w:r w:rsidRPr="000945F9">
              <w:t>T5.</w:t>
            </w:r>
            <w:r w:rsidRPr="000945F9">
              <w:tab/>
              <w:t>Location’s ventilation requirements encompassing:</w:t>
            </w:r>
          </w:p>
          <w:p w:rsidR="00000000" w:rsidRPr="000945F9" w:rsidP="000945F9">
            <w:pPr>
              <w:pStyle w:val="ListBullet"/>
            </w:pPr>
            <w:r w:rsidRPr="000945F9">
              <w:t>Locations</w:t>
            </w:r>
          </w:p>
          <w:p w:rsidR="00000000" w:rsidRPr="000945F9" w:rsidP="000945F9">
            <w:pPr>
              <w:pStyle w:val="ListBullet"/>
            </w:pPr>
            <w:r w:rsidRPr="000945F9">
              <w:t>Materials</w:t>
            </w:r>
          </w:p>
          <w:p w:rsidR="00000000" w:rsidRPr="000945F9" w:rsidP="000945F9">
            <w:pPr>
              <w:pStyle w:val="ListBullet"/>
            </w:pPr>
            <w:r w:rsidRPr="000945F9">
              <w:t>Calculations</w:t>
            </w:r>
          </w:p>
          <w:p w:rsidR="00000000" w:rsidRPr="000945F9" w:rsidP="000945F9">
            <w:pPr>
              <w:pStyle w:val="ListBullet"/>
            </w:pPr>
            <w:r w:rsidRPr="000945F9">
              <w:t>Interlocks</w:t>
            </w:r>
          </w:p>
          <w:p w:rsidR="00000000" w:rsidRPr="000945F9" w:rsidP="000945F9">
            <w:pPr>
              <w:pStyle w:val="BodyText"/>
            </w:pPr>
            <w:r w:rsidRPr="000945F9">
              <w:t>T6.</w:t>
            </w:r>
            <w:r w:rsidRPr="000945F9">
              <w:tab/>
              <w:t>Hazardous area requirements encompassing:</w:t>
            </w:r>
          </w:p>
          <w:p w:rsidR="00000000" w:rsidRPr="000945F9" w:rsidP="000945F9">
            <w:pPr>
              <w:pStyle w:val="ListBullet"/>
            </w:pPr>
            <w:r w:rsidRPr="000945F9">
              <w:t>Locations</w:t>
            </w:r>
          </w:p>
          <w:p w:rsidR="00000000" w:rsidRPr="000945F9" w:rsidP="000945F9">
            <w:pPr>
              <w:pStyle w:val="ListBullet"/>
            </w:pPr>
            <w:r w:rsidRPr="000945F9">
              <w:t>Housing requirements</w:t>
            </w:r>
          </w:p>
          <w:p w:rsidR="00000000" w:rsidRPr="000945F9" w:rsidP="000945F9">
            <w:pPr>
              <w:pStyle w:val="ListBullet"/>
            </w:pPr>
            <w:r w:rsidRPr="000945F9">
              <w:t>Distances</w:t>
            </w:r>
          </w:p>
          <w:p w:rsidR="00000000" w:rsidRPr="000945F9" w:rsidP="000945F9">
            <w:pPr>
              <w:pStyle w:val="BodyText"/>
            </w:pPr>
            <w:r w:rsidRPr="000945F9">
              <w:t>T7.</w:t>
            </w:r>
            <w:r w:rsidRPr="000945F9">
              <w:tab/>
              <w:t>Codes,  regulations and standards encompassing:</w:t>
            </w:r>
            <w:r w:rsidRPr="000945F9">
              <w:tab/>
            </w:r>
          </w:p>
          <w:p w:rsidR="00000000" w:rsidRPr="000945F9" w:rsidP="000945F9">
            <w:pPr>
              <w:pStyle w:val="ListBullet"/>
            </w:pPr>
            <w:r w:rsidRPr="000945F9">
              <w:t>AS 3814</w:t>
            </w:r>
          </w:p>
          <w:p w:rsidR="00000000" w:rsidRPr="000945F9" w:rsidP="000945F9">
            <w:pPr>
              <w:pStyle w:val="ListBullet"/>
            </w:pPr>
            <w:r w:rsidRPr="000945F9">
              <w:t>AS 5601</w:t>
            </w:r>
          </w:p>
          <w:p w:rsidR="00000000" w:rsidRPr="000945F9" w:rsidP="000945F9">
            <w:pPr>
              <w:pStyle w:val="BodyText"/>
            </w:pPr>
            <w:r w:rsidRPr="000945F9">
              <w:t>T8.</w:t>
            </w:r>
            <w:r w:rsidRPr="000945F9">
              <w:tab/>
              <w:t>Design specifications encompassing:</w:t>
            </w:r>
          </w:p>
          <w:p w:rsidR="00000000" w:rsidRPr="000945F9" w:rsidP="000945F9">
            <w:pPr>
              <w:pStyle w:val="ListBullet"/>
            </w:pPr>
            <w:r w:rsidRPr="000945F9">
              <w:t>Accessing</w:t>
            </w:r>
          </w:p>
          <w:p w:rsidR="00000000" w:rsidRPr="000945F9" w:rsidP="000945F9">
            <w:pPr>
              <w:pStyle w:val="ListBullet"/>
            </w:pPr>
            <w:r w:rsidRPr="000945F9">
              <w:t xml:space="preserve">Analysis and interpretation </w:t>
            </w:r>
          </w:p>
          <w:p w:rsidR="00000000" w:rsidRPr="000945F9" w:rsidP="000945F9">
            <w:pPr>
              <w:pStyle w:val="ListBullet"/>
            </w:pPr>
            <w:r w:rsidRPr="000945F9">
              <w:t>Calculations</w:t>
            </w:r>
          </w:p>
          <w:p w:rsidR="00000000" w:rsidRPr="000945F9" w:rsidP="000945F9">
            <w:pPr>
              <w:pStyle w:val="BodyText"/>
            </w:pPr>
            <w:r w:rsidRPr="000945F9">
              <w:t>T9.</w:t>
            </w:r>
            <w:r w:rsidRPr="000945F9">
              <w:tab/>
              <w:t>Required authority to proceed encompassing:</w:t>
            </w:r>
          </w:p>
          <w:p w:rsidR="00000000" w:rsidRPr="000945F9" w:rsidP="000945F9">
            <w:pPr>
              <w:pStyle w:val="ListBullet"/>
            </w:pPr>
            <w:r w:rsidRPr="000945F9">
              <w:t>Re</w:t>
            </w:r>
            <w:r w:rsidRPr="000945F9">
              <w:t>gulatory requirements (Scope and restrictions)</w:t>
            </w:r>
          </w:p>
          <w:p w:rsidR="00000000" w:rsidRPr="000945F9" w:rsidP="000945F9">
            <w:pPr>
              <w:pStyle w:val="ListBullet"/>
            </w:pPr>
            <w:r w:rsidRPr="000945F9">
              <w:t>Standards and code of practice requirements.</w:t>
            </w:r>
          </w:p>
          <w:p w:rsidR="00000000" w:rsidRPr="000945F9" w:rsidP="000945F9">
            <w:pPr>
              <w:pStyle w:val="ListBullet"/>
            </w:pPr>
            <w:r w:rsidRPr="000945F9">
              <w:t>Required documentation and submissions</w:t>
            </w:r>
          </w:p>
          <w:p w:rsidR="00000000" w:rsidRPr="000945F9" w:rsidP="000945F9">
            <w:pPr>
              <w:pStyle w:val="BodyText"/>
            </w:pPr>
            <w:r w:rsidRPr="000945F9">
              <w:t>T10.</w:t>
            </w:r>
            <w:r w:rsidRPr="000945F9">
              <w:tab/>
              <w:t>Site Arrangements encompassing:</w:t>
            </w:r>
            <w:r w:rsidRPr="000945F9">
              <w:tab/>
            </w:r>
          </w:p>
          <w:p w:rsidR="00000000" w:rsidRPr="000945F9" w:rsidP="000945F9">
            <w:pPr>
              <w:pStyle w:val="ListBullet"/>
            </w:pPr>
            <w:r w:rsidRPr="000945F9">
              <w:t>Location and environment</w:t>
            </w:r>
          </w:p>
          <w:p w:rsidR="00000000" w:rsidRPr="000945F9" w:rsidP="000945F9">
            <w:pPr>
              <w:pStyle w:val="ListBullet"/>
            </w:pPr>
            <w:r w:rsidRPr="000945F9">
              <w:t>Piping requirements for gas fuel train pipe-work</w:t>
            </w:r>
          </w:p>
          <w:p w:rsidR="00000000" w:rsidRPr="000945F9" w:rsidP="000945F9">
            <w:pPr>
              <w:pStyle w:val="ListBullet"/>
            </w:pPr>
            <w:r w:rsidRPr="000945F9">
              <w:t>Suitable equipment/equipment plant locations</w:t>
            </w:r>
          </w:p>
          <w:p w:rsidR="00000000" w:rsidRPr="000945F9" w:rsidP="000945F9">
            <w:pPr>
              <w:pStyle w:val="BodyText"/>
            </w:pPr>
            <w:r w:rsidRPr="000945F9">
              <w:t>T11.</w:t>
            </w:r>
            <w:r w:rsidRPr="000945F9">
              <w:tab/>
              <w:t>Site Safety encompassing:</w:t>
            </w:r>
          </w:p>
          <w:p w:rsidR="00000000" w:rsidRPr="000945F9" w:rsidP="000945F9">
            <w:pPr>
              <w:pStyle w:val="ListBullet"/>
            </w:pPr>
            <w:r w:rsidRPr="000945F9">
              <w:t xml:space="preserve">Hazards </w:t>
            </w:r>
          </w:p>
          <w:p w:rsidR="00000000" w:rsidRPr="000945F9" w:rsidP="000945F9">
            <w:pPr>
              <w:pStyle w:val="ListBullet"/>
            </w:pPr>
            <w:r w:rsidRPr="000945F9">
              <w:t>Checklists</w:t>
            </w:r>
          </w:p>
          <w:p w:rsidR="00000000" w:rsidRPr="000945F9" w:rsidP="000945F9">
            <w:pPr>
              <w:pStyle w:val="ListBullet"/>
            </w:pPr>
            <w:r w:rsidRPr="000945F9">
              <w:t>Reports</w:t>
            </w:r>
          </w:p>
          <w:p w:rsidR="00000000" w:rsidRPr="000945F9" w:rsidP="000945F9">
            <w:pPr>
              <w:pStyle w:val="BodyText"/>
            </w:pPr>
            <w:r w:rsidRPr="000945F9">
              <w:t>T12.</w:t>
            </w:r>
            <w:r w:rsidRPr="000945F9">
              <w:tab/>
              <w:t>Engine diagrams encompassing:</w:t>
            </w:r>
            <w:r w:rsidRPr="000945F9">
              <w:tab/>
            </w:r>
          </w:p>
          <w:p w:rsidR="00000000" w:rsidRPr="000945F9" w:rsidP="000945F9">
            <w:pPr>
              <w:pStyle w:val="ListBullet"/>
            </w:pPr>
            <w:r w:rsidRPr="000945F9">
              <w:t>Mechanical layouts</w:t>
            </w:r>
          </w:p>
          <w:p w:rsidR="00000000" w:rsidRPr="000945F9" w:rsidP="000945F9">
            <w:pPr>
              <w:pStyle w:val="ListBullet"/>
            </w:pPr>
            <w:r w:rsidRPr="000945F9">
              <w:t>Gas pipe-work drawings</w:t>
            </w:r>
          </w:p>
          <w:p w:rsidR="00000000" w:rsidRPr="000945F9" w:rsidP="000945F9">
            <w:pPr>
              <w:pStyle w:val="ListBullet"/>
            </w:pPr>
            <w:r w:rsidRPr="000945F9">
              <w:t>Electrical circuits</w:t>
            </w:r>
          </w:p>
          <w:p w:rsidR="00000000" w:rsidRPr="000945F9" w:rsidP="000945F9">
            <w:pPr>
              <w:pStyle w:val="BodyText"/>
            </w:pPr>
            <w:r w:rsidRPr="000945F9">
              <w:t>T13.</w:t>
            </w:r>
            <w:r w:rsidRPr="000945F9">
              <w:tab/>
              <w:t xml:space="preserve">Fault finding encompassing: </w:t>
            </w:r>
          </w:p>
          <w:p w:rsidR="00000000" w:rsidRPr="000945F9" w:rsidP="000945F9">
            <w:pPr>
              <w:pStyle w:val="ListBullet"/>
            </w:pPr>
            <w:r w:rsidRPr="000945F9">
              <w:t>Taking readings a</w:t>
            </w:r>
            <w:r w:rsidRPr="000945F9">
              <w:t xml:space="preserve">nd gathering information </w:t>
            </w:r>
          </w:p>
          <w:p w:rsidR="00000000" w:rsidRPr="000945F9" w:rsidP="000945F9">
            <w:pPr>
              <w:pStyle w:val="ListBullet"/>
            </w:pPr>
            <w:r w:rsidRPr="000945F9">
              <w:t>Symptoms and possible faults</w:t>
            </w:r>
          </w:p>
          <w:p w:rsidR="00000000" w:rsidRPr="000945F9" w:rsidP="000945F9">
            <w:pPr>
              <w:pStyle w:val="ListBullet"/>
            </w:pPr>
            <w:r w:rsidRPr="000945F9">
              <w:t>Logical fault diagnosis sequence and flow charts</w:t>
            </w:r>
          </w:p>
          <w:p w:rsidR="00000000" w:rsidRPr="000945F9" w:rsidP="000945F9">
            <w:pPr>
              <w:pStyle w:val="ListBullet"/>
            </w:pPr>
            <w:r w:rsidRPr="000945F9">
              <w:t>Manufacturer’s fault diagnosis tables</w:t>
            </w:r>
          </w:p>
          <w:p w:rsidR="00000000" w:rsidRPr="000945F9" w:rsidP="000945F9">
            <w:pPr>
              <w:pStyle w:val="ListBullet"/>
            </w:pPr>
            <w:r w:rsidRPr="000945F9">
              <w:t>Confirming actual fault</w:t>
            </w:r>
          </w:p>
          <w:p w:rsidR="00000000" w:rsidRPr="000945F9" w:rsidP="000945F9">
            <w:pPr>
              <w:pStyle w:val="BodyText"/>
            </w:pPr>
            <w:r w:rsidRPr="000945F9">
              <w:t>T14.</w:t>
            </w:r>
            <w:r w:rsidRPr="000945F9">
              <w:tab/>
              <w:t>Disconnect requirements and procedures encompassing:</w:t>
            </w:r>
          </w:p>
          <w:p w:rsidR="00000000" w:rsidRPr="000945F9" w:rsidP="000945F9">
            <w:pPr>
              <w:pStyle w:val="ListBullet"/>
            </w:pPr>
            <w:r w:rsidRPr="000945F9">
              <w:t>Regulator, business and customer requirements</w:t>
            </w:r>
          </w:p>
          <w:p w:rsidR="00000000" w:rsidRPr="000945F9" w:rsidP="000945F9">
            <w:pPr>
              <w:pStyle w:val="ListBullet"/>
            </w:pPr>
            <w:r w:rsidRPr="000945F9">
              <w:t>Manufacturers specifications and procedures</w:t>
            </w:r>
          </w:p>
          <w:p w:rsidR="00000000" w:rsidRPr="000945F9" w:rsidP="000945F9">
            <w:pPr>
              <w:pStyle w:val="BodyText"/>
            </w:pPr>
            <w:r w:rsidRPr="000945F9">
              <w:t>T15.</w:t>
            </w:r>
            <w:r w:rsidRPr="000945F9">
              <w:tab/>
              <w:t>Repairs and maintenance requirements and procedures encompassing:</w:t>
            </w:r>
          </w:p>
          <w:p w:rsidR="00000000" w:rsidRPr="000945F9" w:rsidP="000945F9">
            <w:pPr>
              <w:pStyle w:val="ListBullet"/>
            </w:pPr>
            <w:r w:rsidRPr="000945F9">
              <w:t>Gas train pipe-work and components</w:t>
            </w:r>
          </w:p>
          <w:p w:rsidR="00000000" w:rsidRPr="000945F9" w:rsidP="000945F9">
            <w:pPr>
              <w:pStyle w:val="ListBullet"/>
            </w:pPr>
            <w:r w:rsidRPr="000945F9">
              <w:t>Exhaust/flue system</w:t>
            </w:r>
          </w:p>
          <w:p w:rsidR="00000000" w:rsidRPr="000945F9" w:rsidP="000945F9">
            <w:pPr>
              <w:pStyle w:val="ListBullet"/>
            </w:pPr>
            <w:r w:rsidRPr="000945F9">
              <w:t>Ventilation system</w:t>
            </w:r>
          </w:p>
          <w:p w:rsidR="00000000" w:rsidRPr="000945F9" w:rsidP="000945F9">
            <w:pPr>
              <w:pStyle w:val="ListBullet"/>
            </w:pPr>
            <w:r w:rsidRPr="000945F9">
              <w:t>Oil change</w:t>
            </w:r>
          </w:p>
          <w:p w:rsidR="00000000" w:rsidRPr="000945F9" w:rsidP="000945F9">
            <w:pPr>
              <w:pStyle w:val="ListBullet"/>
            </w:pPr>
            <w:r w:rsidRPr="000945F9">
              <w:t>Oil and a</w:t>
            </w:r>
            <w:r w:rsidRPr="000945F9">
              <w:t>ir filter replacement</w:t>
            </w:r>
          </w:p>
          <w:p w:rsidR="00000000" w:rsidRPr="000945F9" w:rsidP="000945F9">
            <w:pPr>
              <w:pStyle w:val="BodyText"/>
            </w:pPr>
            <w:r w:rsidRPr="000945F9">
              <w:t>T16.</w:t>
            </w:r>
            <w:r w:rsidRPr="000945F9">
              <w:tab/>
              <w:t xml:space="preserve">Reconnection requirements and procedures encompassing: </w:t>
            </w:r>
          </w:p>
          <w:p w:rsidR="00000000" w:rsidRPr="000945F9" w:rsidP="000945F9">
            <w:pPr>
              <w:pStyle w:val="ListBullet"/>
            </w:pPr>
            <w:r w:rsidRPr="000945F9">
              <w:t>Regulator, business and customer requirements</w:t>
            </w:r>
          </w:p>
          <w:p w:rsidR="00000000" w:rsidRPr="000945F9" w:rsidP="000945F9">
            <w:pPr>
              <w:pStyle w:val="ListBullet"/>
            </w:pPr>
            <w:r w:rsidRPr="000945F9">
              <w:t>Manufacturers specifications and procedures</w:t>
            </w:r>
          </w:p>
          <w:p w:rsidR="00000000" w:rsidRPr="000945F9" w:rsidP="000945F9">
            <w:pPr>
              <w:pStyle w:val="ListBullet"/>
            </w:pPr>
            <w:r w:rsidRPr="000945F9">
              <w:t xml:space="preserve">Inspection of the installed engine, pipe-work, components and accessories </w:t>
            </w:r>
          </w:p>
          <w:p w:rsidR="00000000" w:rsidRPr="000945F9" w:rsidP="000945F9">
            <w:pPr>
              <w:pStyle w:val="ListBullet"/>
            </w:pPr>
            <w:r w:rsidRPr="000945F9">
              <w:t>Pressur</w:t>
            </w:r>
            <w:r w:rsidRPr="000945F9">
              <w:t>e testing and purging</w:t>
            </w:r>
          </w:p>
          <w:p w:rsidR="00000000" w:rsidRPr="000945F9" w:rsidP="000945F9">
            <w:pPr>
              <w:pStyle w:val="ListBullet"/>
            </w:pPr>
            <w:r w:rsidRPr="000945F9">
              <w:t>Testing engine operation first without and then with fuel</w:t>
            </w:r>
          </w:p>
          <w:p w:rsidR="00000000" w:rsidRPr="000945F9" w:rsidP="000945F9">
            <w:pPr>
              <w:pStyle w:val="ListBullet"/>
            </w:pPr>
            <w:r w:rsidRPr="000945F9">
              <w:t>Testing and adjusting regulator, operation and safety controls</w:t>
            </w:r>
          </w:p>
          <w:p w:rsidR="00000000" w:rsidRPr="000945F9" w:rsidP="000945F9">
            <w:pPr>
              <w:pStyle w:val="ListBullet"/>
            </w:pPr>
            <w:r w:rsidRPr="000945F9">
              <w:t>Exhaust gases analysis.</w:t>
            </w:r>
          </w:p>
          <w:p w:rsidR="00000000" w:rsidRPr="000945F9" w:rsidP="000945F9">
            <w:pPr>
              <w:pStyle w:val="ListBullet"/>
            </w:pPr>
            <w:r w:rsidRPr="000945F9">
              <w:t>Compliance with design specification, regulations, codes, standards and manufacturers spe</w:t>
            </w:r>
            <w:r w:rsidRPr="000945F9">
              <w:t>cifications back to Commissioned settings</w:t>
            </w:r>
          </w:p>
          <w:p w:rsidR="00000000" w:rsidRPr="000945F9" w:rsidP="000945F9">
            <w:pPr>
              <w:pStyle w:val="ListBullet"/>
            </w:pPr>
            <w:r w:rsidRPr="000945F9">
              <w:t>Documentation and reports</w:t>
            </w:r>
          </w:p>
          <w:p w:rsidR="00000000" w:rsidRPr="000945F9" w:rsidP="000945F9">
            <w:pPr>
              <w:pStyle w:val="ListBullet2"/>
            </w:pPr>
            <w:r w:rsidRPr="000945F9">
              <w:t>As-installed’ plant and equipment components, pipe-work, flue/exhaust systems and accessories are documented and reported</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10" w:name="O_470160"/>
      <w:bookmarkEnd w:id="10"/>
      <w:r w:rsidRPr="000945F9">
        <w:t>Evidence Guide</w:t>
      </w:r>
    </w:p>
    <w:tbl>
      <w:tblPr>
        <w:tblW w:w="0" w:type="auto"/>
        <w:tblLayout w:type="fixed"/>
        <w:tblCellMar>
          <w:left w:w="62" w:type="dxa"/>
          <w:right w:w="62" w:type="dxa"/>
        </w:tblCellMar>
        <w:tblLook w:val="0000"/>
      </w:tblPr>
      <w:tblGrid>
        <w:gridCol w:w="8460"/>
      </w:tblGrid>
      <w:tr w:rsidTr="008B6A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EVIDENCE GUIDE</w:t>
            </w:r>
          </w:p>
        </w:tc>
      </w:tr>
      <w:tr w:rsidTr="008B6A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9)</w:t>
            </w:r>
            <w:r w:rsidRPr="000945F9">
              <w:t xml:space="preserve"> The evidence guide provides advice on assessment and must be read in conjunction with the Performance Criteria, Required Skills and Knowledge, the Range Statement and the Assessment Guidelines for this Training Package. </w:t>
            </w:r>
          </w:p>
          <w:p w:rsidR="00000000" w:rsidRPr="000945F9" w:rsidP="000945F9">
            <w:pPr>
              <w:pStyle w:val="BodyText"/>
            </w:pPr>
            <w:r w:rsidRPr="000945F9">
              <w:t>The Evi</w:t>
            </w:r>
            <w:r w:rsidRPr="000945F9">
              <w:t>dence Guide forms an integral part of this unit. It must be used in conjunction with all parts of this unit and performed in accordance with the Assessment Guidelines of this Training Package.</w:t>
            </w:r>
          </w:p>
        </w:tc>
      </w:tr>
    </w:tbl>
    <w:p w:rsidR="00000000" w:rsidRPr="000945F9" w:rsidP="000945F9">
      <w:pPr>
        <w:pStyle w:val="BodyText"/>
      </w:pPr>
    </w:p>
    <w:tbl>
      <w:tblPr>
        <w:tblW w:w="0" w:type="auto"/>
        <w:tblLayout w:type="fixed"/>
        <w:tblCellMar>
          <w:left w:w="62" w:type="dxa"/>
          <w:right w:w="62" w:type="dxa"/>
        </w:tblCellMar>
        <w:tblLook w:val="0000"/>
      </w:tblPr>
      <w:tblGrid>
        <w:gridCol w:w="1890"/>
        <w:gridCol w:w="6570"/>
      </w:tblGrid>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9.1)</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Longitudinal competency develop</w:t>
            </w:r>
            <w:r w:rsidRPr="000945F9">
              <w:t>ment approaches to assessment, such as Profiling, require data to be reliably gathered in a form that can be consistently interpreted over time. This approach is best utilised in Apprenticeship programs and reduces assessment intervention. It is the Indust</w:t>
            </w:r>
            <w:r w:rsidRPr="000945F9">
              <w:t>ry’s preferred model for apprenticeships. However, where summative (or final) assessment is used it is to include the application of the competency in the normal work environment or, at a minimum, the application of the competency in a realistically simula</w:t>
            </w:r>
            <w:r w:rsidRPr="000945F9">
              <w:t>ted work environment. It is recognised that, in some circumstances, assessment in part or full can occur outside the workplace. However, it must be in accordance with industry and regulatory policy.</w:t>
            </w:r>
          </w:p>
          <w:p w:rsidR="00000000" w:rsidRPr="000945F9" w:rsidP="000945F9">
            <w:pPr>
              <w:pStyle w:val="BodyText"/>
            </w:pPr>
            <w:r w:rsidRPr="000945F9">
              <w:t>Methods chosen for a particular assessment will be influe</w:t>
            </w:r>
            <w:r w:rsidRPr="000945F9">
              <w:t>nced by various factors. These include the extent of the assessment, the most effective locations for the assessment activities to take place, access to physical resources, additional safety measures that may be required and the critical nature of the comp</w:t>
            </w:r>
            <w:r w:rsidRPr="000945F9">
              <w:t>etencies being assessed.</w:t>
            </w:r>
          </w:p>
          <w:p w:rsidR="00000000" w:rsidRPr="000945F9" w:rsidP="000945F9">
            <w:pPr>
              <w:pStyle w:val="BodyText"/>
            </w:pPr>
            <w:r w:rsidRPr="000945F9">
              <w:t>The critical safety nature of working with electricity, electrical equipment, gas or any other hazardous substance/material carries risk in deeming a person competent. Sources of evidence need to be ‘rich’ in nature to minimise err</w:t>
            </w:r>
            <w:r w:rsidRPr="000945F9">
              <w:t>or in judgment.</w:t>
            </w:r>
          </w:p>
          <w:p w:rsidR="00000000" w:rsidRPr="000945F9" w:rsidP="000945F9">
            <w:pPr>
              <w:pStyle w:val="BodyText"/>
            </w:pPr>
            <w:r w:rsidRPr="000945F9">
              <w:t xml:space="preserve">Activities associated with normal every day work have a bearing on the decision as to how much and how detailed the data gathered will contribute to its ‘richness’. Some skills are more critical to safety and operational requirements while </w:t>
            </w:r>
            <w:r w:rsidRPr="000945F9">
              <w:t>the same skills may be more or less frequently practised. These points are raised for the assessors to consider when choosing an assessment method and developing assessment instruments. Sample assessment instruments are included for Assessors in the Assess</w:t>
            </w:r>
            <w:r w:rsidRPr="000945F9">
              <w:t>ment Guidelines of this Training Package.</w:t>
            </w:r>
          </w:p>
        </w:tc>
      </w:tr>
    </w:tbl>
    <w:p w:rsidR="00000000" w:rsidRPr="000945F9" w:rsidP="000945F9">
      <w:pPr>
        <w:pStyle w:val="BodyText"/>
      </w:pPr>
    </w:p>
    <w:tbl>
      <w:tblPr>
        <w:tblW w:w="0" w:type="auto"/>
        <w:tblLayout w:type="fixed"/>
        <w:tblCellMar>
          <w:left w:w="62" w:type="dxa"/>
          <w:right w:w="62" w:type="dxa"/>
        </w:tblCellMar>
        <w:tblLook w:val="0000"/>
      </w:tblPr>
      <w:tblGrid>
        <w:gridCol w:w="1890"/>
        <w:gridCol w:w="709"/>
        <w:gridCol w:w="821"/>
        <w:gridCol w:w="5040"/>
      </w:tblGrid>
      <w:tr w:rsidTr="008B6AF2">
        <w:tblPrEx>
          <w:tblW w:w="0" w:type="auto"/>
          <w:tblLayout w:type="fixed"/>
          <w:tblCellMar>
            <w:left w:w="62" w:type="dxa"/>
            <w:right w:w="62" w:type="dxa"/>
          </w:tblCellMar>
          <w:tblLook w:val="0000"/>
        </w:tblPrEx>
        <w:trPr>
          <w:trHeight w:val="1310"/>
        </w:trPr>
        <w:tc>
          <w:tcPr>
            <w:tcW w:w="189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9.2)</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Before the critical aspects of evidence are considered all prerequisites shall be met.</w:t>
            </w:r>
          </w:p>
          <w:p w:rsidR="00000000" w:rsidRPr="000945F9" w:rsidP="000945F9">
            <w:pPr>
              <w:pStyle w:val="BodyText"/>
            </w:pPr>
            <w:r w:rsidRPr="000945F9">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0945F9" w:rsidP="000945F9">
            <w:pPr>
              <w:pStyle w:val="ListBullet"/>
            </w:pPr>
            <w:r w:rsidRPr="000945F9">
              <w:t>A representative body of work performance demonstrated within the timeframes typically expected of the discipline, work function and industrial environment. In particular this shall incorporate evidence that shows a candidate is able to:</w:t>
            </w:r>
          </w:p>
          <w:p w:rsidR="00000000" w:rsidRPr="000945F9" w:rsidP="000945F9">
            <w:pPr>
              <w:pStyle w:val="ListBullet2"/>
            </w:pPr>
            <w:r w:rsidRPr="000945F9">
              <w:t>Implement Occupa</w:t>
            </w:r>
            <w:r w:rsidRPr="000945F9">
              <w:t>tional Health and Safety workplace procedures and practices including the use of risk control measures as specified in the performance criteria and range statement</w:t>
            </w:r>
          </w:p>
          <w:p w:rsidR="00000000" w:rsidRPr="000945F9" w:rsidP="000945F9">
            <w:pPr>
              <w:pStyle w:val="ListBullet2"/>
            </w:pPr>
            <w:r w:rsidRPr="000945F9">
              <w:t>Apply sustainable energy principles and practices as specified in the performance criteria and range statement</w:t>
            </w:r>
          </w:p>
          <w:p w:rsidR="00000000" w:rsidRPr="000945F9" w:rsidP="000945F9">
            <w:pPr>
              <w:pStyle w:val="ListBullet2"/>
            </w:pPr>
            <w:r w:rsidRPr="000945F9">
              <w:t>Demonstrate an understanding of the essential knowledge and associated skills as described in this unit.  It may be required by some jurisdiction</w:t>
            </w:r>
            <w:r w:rsidRPr="000945F9">
              <w:t xml:space="preserve">s that RTOs provide a percentile graded result for the purpose of regulatory or licensing requirements.   </w:t>
            </w:r>
          </w:p>
          <w:p w:rsidR="00000000" w:rsidRPr="000945F9" w:rsidP="000945F9">
            <w:pPr>
              <w:pStyle w:val="ListBullet2"/>
            </w:pPr>
            <w:r w:rsidRPr="000945F9">
              <w:t>Demonstrate an appropriate level of employability skills</w:t>
            </w:r>
          </w:p>
          <w:p w:rsidR="00000000" w:rsidRPr="000945F9" w:rsidP="000945F9">
            <w:pPr>
              <w:pStyle w:val="ListBullet2"/>
            </w:pPr>
            <w:r w:rsidRPr="000945F9">
              <w:t>Conduct work observing the relevant Anti-Discrimination legislation, regulations, polices an</w:t>
            </w:r>
            <w:r w:rsidRPr="000945F9">
              <w:t>d workplace procedures</w:t>
            </w:r>
          </w:p>
          <w:p w:rsidR="00000000" w:rsidRPr="000945F9" w:rsidP="000945F9">
            <w:pPr>
              <w:pStyle w:val="ListBullet"/>
            </w:pPr>
            <w:r w:rsidRPr="000945F9">
              <w:t>Demonstrated consistent performance across a representative range of contexts from the prescribed items below:</w:t>
            </w:r>
          </w:p>
          <w:p w:rsidR="00000000" w:rsidP="000945F9">
            <w:pPr>
              <w:pStyle w:val="ListBullet2"/>
              <w:rPr>
                <w:lang w:val="en-NZ"/>
              </w:rPr>
            </w:pPr>
            <w:r w:rsidRPr="000945F9">
              <w:t>Repairing and maintaining gas fuelled reciprocating engines as described as described in 8) and including:</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A</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 xml:space="preserve">Conducting maintenance </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B</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Finding faults efficiently</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C</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Disconnecting engine</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D</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Rectifying faults without damage</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E</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Reconnecting</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F</w:t>
            </w:r>
          </w:p>
        </w:tc>
        <w:tc>
          <w:tcPr>
            <w:tcW w:w="504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Providing written reports on work undertaken</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t>G</w:t>
            </w:r>
          </w:p>
        </w:tc>
        <w:tc>
          <w:tcPr>
            <w:tcW w:w="504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 xml:space="preserve">Dealing with unplanned events </w:t>
            </w:r>
          </w:p>
        </w:tc>
      </w:tr>
    </w:tbl>
    <w:p w:rsidR="00000000" w:rsidRPr="000945F9" w:rsidP="000945F9">
      <w:pPr>
        <w:pStyle w:val="BodyText"/>
      </w:pPr>
    </w:p>
    <w:tbl>
      <w:tblPr>
        <w:tblW w:w="0" w:type="auto"/>
        <w:tblLayout w:type="fixed"/>
        <w:tblCellMar>
          <w:left w:w="62" w:type="dxa"/>
          <w:right w:w="62" w:type="dxa"/>
        </w:tblCellMar>
        <w:tblLook w:val="0000"/>
      </w:tblPr>
      <w:tblGrid>
        <w:gridCol w:w="1890"/>
        <w:gridCol w:w="6570"/>
      </w:tblGrid>
      <w:tr w:rsidTr="008B6A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9.3)</w:t>
            </w:r>
          </w:p>
        </w:tc>
      </w:tr>
      <w:tr w:rsidTr="008B6A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This unit should be assessed as it relates to normal work practice using procedures, information and resources typical of a workplace. This should include:</w:t>
            </w:r>
          </w:p>
          <w:p w:rsidR="00000000" w:rsidRPr="000945F9" w:rsidP="000945F9">
            <w:pPr>
              <w:pStyle w:val="ListBullet"/>
            </w:pPr>
            <w:r w:rsidRPr="000945F9">
              <w:t>OHS policy and work procedures and instructions.</w:t>
            </w:r>
          </w:p>
          <w:p w:rsidR="00000000" w:rsidRPr="000945F9" w:rsidP="000945F9">
            <w:pPr>
              <w:pStyle w:val="ListBullet"/>
            </w:pPr>
            <w:r w:rsidRPr="000945F9">
              <w:t>Suitable work environment, facilities, equipment and materials to undertake actual work as prescribed by this unit.</w:t>
            </w:r>
          </w:p>
          <w:p w:rsidR="00000000" w:rsidRPr="000945F9" w:rsidP="000945F9">
            <w:pPr>
              <w:pStyle w:val="BodyText"/>
            </w:pPr>
            <w:r w:rsidRPr="000945F9">
              <w:t>These should be part of the formal learning/assessment environment.</w:t>
            </w:r>
          </w:p>
          <w:p w:rsidR="00000000" w:rsidRPr="000945F9" w:rsidP="000945F9">
            <w:pPr>
              <w:pStyle w:val="BodyText"/>
            </w:pPr>
            <w:r w:rsidRPr="000945F9">
              <w:t>Note:</w:t>
            </w:r>
          </w:p>
          <w:p w:rsidR="00000000" w:rsidRPr="000945F9" w:rsidP="000945F9">
            <w:pPr>
              <w:pStyle w:val="BodyText"/>
            </w:pPr>
            <w:r w:rsidRPr="000945F9">
              <w:t xml:space="preserve">Where simulation </w:t>
            </w:r>
            <w:r w:rsidRPr="000945F9">
              <w:t>is considered a suitable strategy for assessment, conditions must be authentic and as far as possible reproduce and replicate the workplace and be consistent with the approved industry simulation policy.</w:t>
            </w:r>
          </w:p>
          <w:p w:rsidR="00000000" w:rsidRPr="000945F9" w:rsidP="000945F9">
            <w:pPr>
              <w:pStyle w:val="BodyText"/>
            </w:pPr>
            <w:r w:rsidRPr="000945F9">
              <w:t>The resources used for assessment should reflect cur</w:t>
            </w:r>
            <w:r w:rsidRPr="000945F9">
              <w:t>rent industry practices in relation to installing low voltage electrical apparatus and associated equipment.</w:t>
            </w:r>
          </w:p>
        </w:tc>
      </w:tr>
    </w:tbl>
    <w:p w:rsidR="00000000" w:rsidRPr="000945F9" w:rsidP="000945F9">
      <w:pPr>
        <w:pStyle w:val="BodyText"/>
      </w:pPr>
    </w:p>
    <w:tbl>
      <w:tblPr>
        <w:tblW w:w="0" w:type="auto"/>
        <w:tblLayout w:type="fixed"/>
        <w:tblCellMar>
          <w:left w:w="62" w:type="dxa"/>
          <w:right w:w="62" w:type="dxa"/>
        </w:tblCellMar>
        <w:tblLook w:val="0000"/>
      </w:tblPr>
      <w:tblGrid>
        <w:gridCol w:w="1890"/>
        <w:gridCol w:w="6570"/>
      </w:tblGrid>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9.4)</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This unit shall be assessed by methods given in Section 1.3.00 Assessment Guidelines.</w:t>
            </w:r>
          </w:p>
          <w:p w:rsidR="00000000" w:rsidRPr="000945F9" w:rsidP="000945F9">
            <w:pPr>
              <w:pStyle w:val="BodyText"/>
            </w:pPr>
            <w:r w:rsidRPr="000945F9">
              <w:t xml:space="preserve">Note: </w:t>
            </w:r>
          </w:p>
          <w:p w:rsidR="00000000" w:rsidRPr="000945F9" w:rsidP="000945F9">
            <w:pPr>
              <w:pStyle w:val="BodyText"/>
            </w:pPr>
            <w:r w:rsidRPr="000945F9">
              <w:t>Competent performance with inherent safe working practices is expected in the industry to which this unit applies. This requires assessment in a structured environment which is primarily intended for learning/assessment and incorporates all necessary equip</w:t>
            </w:r>
            <w:r w:rsidRPr="000945F9">
              <w:t>ment and facilities for learners to develop and demonstrate the essential knowledge and skills described in this unit.</w:t>
            </w:r>
          </w:p>
        </w:tc>
      </w:tr>
    </w:tbl>
    <w:p w:rsidR="00000000" w:rsidRPr="000945F9" w:rsidP="000945F9">
      <w:pPr>
        <w:pStyle w:val="BodyText"/>
      </w:pPr>
    </w:p>
    <w:tbl>
      <w:tblPr>
        <w:tblW w:w="0" w:type="auto"/>
        <w:tblLayout w:type="fixed"/>
        <w:tblCellMar>
          <w:left w:w="62" w:type="dxa"/>
          <w:right w:w="62" w:type="dxa"/>
        </w:tblCellMar>
        <w:tblLook w:val="0000"/>
      </w:tblPr>
      <w:tblGrid>
        <w:gridCol w:w="1890"/>
        <w:gridCol w:w="6570"/>
      </w:tblGrid>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9.5)</w:t>
            </w:r>
          </w:p>
        </w:tc>
      </w:tr>
      <w:tr w:rsidTr="008B6A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There are no concurrent assessment recommendations for this unit.</w:t>
            </w:r>
          </w:p>
          <w:p w:rsidR="00000000" w:rsidRPr="000945F9" w:rsidP="000945F9">
            <w:pPr>
              <w:pStyle w:val="BodyText"/>
            </w:pPr>
            <w:r w:rsidRPr="000945F9">
              <w:t>The cr</w:t>
            </w:r>
            <w:r w:rsidRPr="000945F9">
              <w:t>itical aspects of occupational health and safety covered in either UEENEEE101A or CPCCOHS1001A and HLTCPR201A and other discipline specific occupational health and safety units shall be incorporated in relation to this unit.</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11" w:name="O_470164"/>
      <w:bookmarkEnd w:id="11"/>
      <w:r w:rsidRPr="000945F9">
        <w:t>Range Statement</w:t>
      </w:r>
    </w:p>
    <w:tbl>
      <w:tblPr>
        <w:tblW w:w="0" w:type="auto"/>
        <w:tblLayout w:type="fixed"/>
        <w:tblCellMar>
          <w:left w:w="62" w:type="dxa"/>
          <w:right w:w="62" w:type="dxa"/>
        </w:tblCellMar>
        <w:tblLook w:val="0000"/>
      </w:tblPr>
      <w:tblGrid>
        <w:gridCol w:w="8460"/>
      </w:tblGrid>
      <w:tr w:rsidTr="008B6A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ANGE STATEMENT</w:t>
            </w:r>
          </w:p>
        </w:tc>
      </w:tr>
      <w:tr w:rsidTr="008B6A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10)</w:t>
            </w:r>
            <w:r w:rsidRPr="000945F9">
              <w:t xml:space="preserve"> This relates to the unit as a whole providing the range of contexts and conditions to which the performance criteria apply. It allows for different work environments and situations that will affect performance.</w:t>
            </w:r>
          </w:p>
          <w:p w:rsidR="00000000" w:rsidRPr="000945F9" w:rsidP="000945F9">
            <w:pPr>
              <w:pStyle w:val="BodyText"/>
            </w:pPr>
            <w:r w:rsidRPr="000945F9">
              <w:t>This unit shall be demonstrated in relation to repairing and maintaining stationary gas fuelled reciprocating engines as follows:</w:t>
            </w:r>
          </w:p>
          <w:p w:rsidR="00000000" w:rsidRPr="000945F9" w:rsidP="000945F9">
            <w:pPr>
              <w:pStyle w:val="BodyText"/>
            </w:pPr>
            <w:r w:rsidRPr="000945F9">
              <w:t>Each of the following:</w:t>
            </w:r>
          </w:p>
          <w:p w:rsidR="00000000" w:rsidRPr="000945F9" w:rsidP="000945F9">
            <w:pPr>
              <w:pStyle w:val="ListBullet"/>
            </w:pPr>
            <w:r w:rsidRPr="000945F9">
              <w:t>Gas fuel train pipe-work, regulators, valves, metering and protective devices from gas pipeline to the</w:t>
            </w:r>
            <w:r w:rsidRPr="000945F9">
              <w:t xml:space="preserve"> engine.</w:t>
            </w:r>
          </w:p>
          <w:p w:rsidR="00000000" w:rsidRPr="000945F9" w:rsidP="000945F9">
            <w:pPr>
              <w:pStyle w:val="ListBullet"/>
            </w:pPr>
            <w:r w:rsidRPr="000945F9">
              <w:t>Flue/exhaust system</w:t>
            </w:r>
          </w:p>
          <w:p w:rsidR="00000000" w:rsidRPr="000945F9" w:rsidP="000945F9">
            <w:pPr>
              <w:pStyle w:val="ListBullet"/>
            </w:pPr>
            <w:r w:rsidRPr="000945F9">
              <w:t>Pressure testing and purging gas fuel train</w:t>
            </w:r>
          </w:p>
          <w:p w:rsidR="00000000" w:rsidRPr="000945F9" w:rsidP="000945F9">
            <w:pPr>
              <w:pStyle w:val="ListBullet"/>
            </w:pPr>
            <w:r w:rsidRPr="000945F9">
              <w:t xml:space="preserve">Disconnecting and reconnecting gas fuelled reciprocating engines, adjusting components and controls to safe and efficient operation. </w:t>
            </w:r>
          </w:p>
          <w:p w:rsidR="00000000" w:rsidRPr="000945F9" w:rsidP="000945F9">
            <w:pPr>
              <w:pStyle w:val="BodyText"/>
            </w:pPr>
            <w:r w:rsidRPr="000945F9">
              <w:t xml:space="preserve">It does not include the following: </w:t>
            </w:r>
          </w:p>
          <w:p w:rsidR="00000000" w:rsidRPr="000945F9" w:rsidP="000945F9">
            <w:pPr>
              <w:pStyle w:val="ListBullet"/>
            </w:pPr>
            <w:r w:rsidRPr="000945F9">
              <w:t>Repairs the internal mechanical components of the engine</w:t>
            </w:r>
          </w:p>
          <w:p w:rsidR="00000000" w:rsidRPr="000945F9" w:rsidP="000945F9">
            <w:pPr>
              <w:pStyle w:val="BodyText"/>
            </w:pPr>
            <w:r w:rsidRPr="000945F9">
              <w:t xml:space="preserve">The gas fuel can be from gas gathering lines, gas transmission pipelines, distribution pipeline, and consumer gas installations. Gas Fuels can be natural gas, LPG, SNG, bio-gas, waste gas or  sewage </w:t>
            </w:r>
            <w:r w:rsidRPr="000945F9">
              <w:t>gas, used as a single gas fuel or part of a duel fuel system.</w:t>
            </w:r>
          </w:p>
          <w:p w:rsidR="00000000" w:rsidRPr="000945F9" w:rsidP="000945F9">
            <w:pPr>
              <w:pStyle w:val="BodyText"/>
            </w:pPr>
            <w:r w:rsidRPr="000945F9">
              <w:t>Generic terms used throughout this Vocational Standard shall be regarded as part of the Range Statement in which competency is demonstrated. The definition of these and other terms that apply ar</w:t>
            </w:r>
            <w:r w:rsidRPr="000945F9">
              <w:t>e given in Section 2.1.00 Preliminary Information and Glossaries.</w:t>
            </w:r>
          </w:p>
        </w:tc>
      </w:tr>
    </w:tbl>
    <w:p w:rsidR="00000000" w:rsidRPr="000945F9" w:rsidP="000945F9">
      <w:pPr>
        <w:pStyle w:val="BodyText"/>
      </w:pPr>
    </w:p>
    <w:p w:rsidR="00000000" w:rsidRPr="000945F9" w:rsidP="000945F9">
      <w:pPr>
        <w:pStyle w:val="AllowPageBreak"/>
      </w:pPr>
    </w:p>
    <w:p w:rsidR="00000000" w:rsidRPr="000945F9" w:rsidP="000945F9">
      <w:pPr>
        <w:pStyle w:val="Heading1"/>
      </w:pPr>
      <w:bookmarkStart w:id="12" w:name="O_470167"/>
      <w:bookmarkEnd w:id="12"/>
      <w:r w:rsidRPr="000945F9">
        <w:t>Unit Sector(s)</w:t>
      </w:r>
    </w:p>
    <w:p w:rsidR="00000000" w:rsidRPr="000945F9" w:rsidP="000945F9">
      <w:pPr>
        <w:pStyle w:val="BodyText"/>
      </w:pPr>
      <w:r w:rsidRPr="000945F9">
        <w:t>Not applicable.</w:t>
      </w:r>
    </w:p>
    <w:p w:rsidR="00000000" w:rsidRPr="000945F9" w:rsidP="000945F9">
      <w:pPr>
        <w:pStyle w:val="AllowPageBreak"/>
      </w:pPr>
    </w:p>
    <w:p w:rsidR="00000000" w:rsidRPr="000945F9" w:rsidP="000945F9">
      <w:pPr>
        <w:pStyle w:val="Heading1"/>
      </w:pPr>
      <w:bookmarkStart w:id="13" w:name="O_470156"/>
      <w:bookmarkEnd w:id="13"/>
      <w:r w:rsidRPr="000945F9">
        <w:t>Competency Field</w:t>
      </w:r>
    </w:p>
    <w:tbl>
      <w:tblPr>
        <w:tblW w:w="0" w:type="auto"/>
        <w:tblLayout w:type="fixed"/>
        <w:tblCellMar>
          <w:left w:w="62" w:type="dxa"/>
          <w:right w:w="62" w:type="dxa"/>
        </w:tblCellMar>
        <w:tblLook w:val="0000"/>
      </w:tblPr>
      <w:tblGrid>
        <w:gridCol w:w="2700"/>
        <w:gridCol w:w="5760"/>
      </w:tblGrid>
      <w:tr w:rsidTr="008B6A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45F9">
            <w:pPr>
              <w:pStyle w:val="BodyText"/>
              <w:rPr>
                <w:lang w:val="en-NZ"/>
              </w:rPr>
            </w:pPr>
            <w:r w:rsidRPr="000945F9">
              <w:rPr>
                <w:rStyle w:val="SpecialBold"/>
              </w:rPr>
              <w:t xml:space="preserve">11) </w:t>
            </w:r>
          </w:p>
        </w:tc>
      </w:tr>
      <w:tr w:rsidTr="008B6A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5F9" w:rsidP="000945F9">
            <w:pPr>
              <w:pStyle w:val="BodyText"/>
            </w:pPr>
            <w:r w:rsidRPr="000945F9">
              <w:t>Maintenance</w:t>
            </w:r>
          </w:p>
        </w:tc>
      </w:tr>
    </w:tbl>
    <w:p w:rsidR="00000000" w:rsidRPr="000945F9" w:rsidP="000945F9">
      <w:pPr>
        <w:pStyle w:val="BodyText"/>
      </w:pPr>
    </w:p>
    <w:p w:rsidR="00000000" w:rsidRPr="000945F9" w:rsidP="000945F9"/>
    <w:sectPr w:rsidSect="00094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6AF2" w:rsidP="008B6A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F2" w:rsidP="000945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6AF2" w:rsidP="00094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6AF2" w:rsidP="00094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F9" w:rsidRPr="008B6AF2" w:rsidP="008B6A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F2" w:rsidRPr="002D2AF8" w:rsidP="000945F9">
    <w:pPr>
      <w:pStyle w:val="Header"/>
      <w:framePr w:wrap="around"/>
    </w:pPr>
    <w:r>
      <w:fldChar w:fldCharType="begin"/>
    </w:r>
    <w:r>
      <w:instrText xml:space="preserve"> TITLE   \* MERGEFORMAT </w:instrText>
    </w:r>
    <w:r>
      <w:fldChar w:fldCharType="separate"/>
    </w:r>
    <w:r>
      <w:t>UEPMNT368A Repair and maintain stationary gas fuelled reciprocating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B6AF2" w:rsidP="00094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C7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83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CCB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5F9"/>
    <w:pPr>
      <w:spacing w:before="360" w:after="60"/>
      <w:outlineLvl w:val="0"/>
    </w:pPr>
    <w:rPr>
      <w:sz w:val="32"/>
    </w:rPr>
  </w:style>
  <w:style w:type="paragraph" w:styleId="Heading2">
    <w:name w:val="heading 2"/>
    <w:basedOn w:val="HeadingBase"/>
    <w:next w:val="BodyText"/>
    <w:link w:val="Heading2Char"/>
    <w:qFormat/>
    <w:rsid w:val="000945F9"/>
    <w:pPr>
      <w:keepLines/>
      <w:spacing w:before="240" w:after="120"/>
      <w:outlineLvl w:val="1"/>
    </w:pPr>
    <w:rPr>
      <w:sz w:val="28"/>
      <w:szCs w:val="40"/>
    </w:rPr>
  </w:style>
  <w:style w:type="paragraph" w:styleId="Heading3">
    <w:name w:val="heading 3"/>
    <w:basedOn w:val="HeadingBase"/>
    <w:next w:val="BodyText"/>
    <w:link w:val="Heading3Char"/>
    <w:qFormat/>
    <w:rsid w:val="000945F9"/>
    <w:pPr>
      <w:spacing w:before="180" w:after="120"/>
      <w:outlineLvl w:val="2"/>
    </w:pPr>
    <w:rPr>
      <w:spacing w:val="-10"/>
      <w:kern w:val="32"/>
    </w:rPr>
  </w:style>
  <w:style w:type="paragraph" w:styleId="Heading4">
    <w:name w:val="heading 4"/>
    <w:basedOn w:val="HeadingBase"/>
    <w:next w:val="BodyText"/>
    <w:link w:val="Heading4Char"/>
    <w:qFormat/>
    <w:rsid w:val="000945F9"/>
    <w:pPr>
      <w:spacing w:before="160" w:after="120"/>
      <w:outlineLvl w:val="3"/>
    </w:pPr>
    <w:rPr>
      <w:sz w:val="22"/>
    </w:rPr>
  </w:style>
  <w:style w:type="paragraph" w:styleId="Heading5">
    <w:name w:val="heading 5"/>
    <w:basedOn w:val="HeadingBase"/>
    <w:next w:val="Normal"/>
    <w:link w:val="Heading5Char"/>
    <w:qFormat/>
    <w:rsid w:val="000945F9"/>
    <w:pPr>
      <w:spacing w:before="80"/>
      <w:outlineLvl w:val="4"/>
    </w:pPr>
    <w:rPr>
      <w:color w:val="918585"/>
      <w:sz w:val="20"/>
    </w:rPr>
  </w:style>
  <w:style w:type="paragraph" w:styleId="Heading6">
    <w:name w:val="heading 6"/>
    <w:basedOn w:val="HeadingBase"/>
    <w:next w:val="Normal"/>
    <w:link w:val="Heading6Char"/>
    <w:qFormat/>
    <w:rsid w:val="000945F9"/>
    <w:pPr>
      <w:spacing w:before="60"/>
      <w:outlineLvl w:val="5"/>
    </w:pPr>
    <w:rPr>
      <w:color w:val="918585"/>
      <w:sz w:val="20"/>
    </w:rPr>
  </w:style>
  <w:style w:type="paragraph" w:styleId="Heading7">
    <w:name w:val="heading 7"/>
    <w:basedOn w:val="Normal"/>
    <w:next w:val="Normal"/>
    <w:link w:val="Heading7Char"/>
    <w:qFormat/>
    <w:rsid w:val="000945F9"/>
    <w:pPr>
      <w:ind w:left="720"/>
      <w:outlineLvl w:val="6"/>
    </w:pPr>
    <w:rPr>
      <w:i/>
    </w:rPr>
  </w:style>
  <w:style w:type="paragraph" w:styleId="Heading8">
    <w:name w:val="heading 8"/>
    <w:basedOn w:val="Normal"/>
    <w:next w:val="Normal"/>
    <w:link w:val="Heading8Char"/>
    <w:qFormat/>
    <w:rsid w:val="000945F9"/>
    <w:pPr>
      <w:ind w:left="720"/>
      <w:outlineLvl w:val="7"/>
    </w:pPr>
    <w:rPr>
      <w:i/>
    </w:rPr>
  </w:style>
  <w:style w:type="paragraph" w:styleId="Heading9">
    <w:name w:val="heading 9"/>
    <w:basedOn w:val="Normal"/>
    <w:next w:val="Normal"/>
    <w:link w:val="Heading9Char"/>
    <w:qFormat/>
    <w:rsid w:val="000945F9"/>
    <w:pPr>
      <w:ind w:left="720"/>
      <w:outlineLvl w:val="8"/>
    </w:pPr>
    <w:rPr>
      <w:i/>
    </w:rPr>
  </w:style>
  <w:style w:type="character" w:default="1" w:styleId="DefaultParagraphFont">
    <w:name w:val="Default Paragraph Font"/>
    <w:uiPriority w:val="1"/>
    <w:unhideWhenUsed/>
    <w:rsid w:val="00094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5F9"/>
  </w:style>
  <w:style w:type="character" w:customStyle="1" w:styleId="Heading1Char">
    <w:name w:val="Heading 1 Char"/>
    <w:basedOn w:val="DefaultParagraphFont"/>
    <w:link w:val="Heading1"/>
    <w:rsid w:val="000945F9"/>
    <w:rPr>
      <w:rFonts w:ascii="Times New Roman" w:eastAsia="Times New Roman" w:hAnsi="Times New Roman" w:cs="Times New Roman"/>
      <w:b/>
      <w:sz w:val="32"/>
      <w:szCs w:val="20"/>
      <w:lang w:eastAsia="en-US"/>
    </w:rPr>
  </w:style>
  <w:style w:type="paragraph" w:styleId="BodyText">
    <w:name w:val="Body Text"/>
    <w:basedOn w:val="Normal"/>
    <w:link w:val="BodyTextChar"/>
    <w:rsid w:val="00094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5F9"/>
    <w:rPr>
      <w:rFonts w:ascii="Times New Roman" w:eastAsia="Times New Roman" w:hAnsi="Times New Roman" w:cs="Times New Roman"/>
      <w:sz w:val="24"/>
      <w:lang w:eastAsia="en-US"/>
    </w:rPr>
  </w:style>
  <w:style w:type="paragraph" w:styleId="Footer">
    <w:name w:val="footer"/>
    <w:basedOn w:val="Normal"/>
    <w:link w:val="FooterChar"/>
    <w:rsid w:val="00094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5F9"/>
    <w:rPr>
      <w:rFonts w:ascii="Times New Roman" w:eastAsia="Times New Roman" w:hAnsi="Times New Roman" w:cs="Times New Roman"/>
      <w:sz w:val="16"/>
      <w:lang w:eastAsia="en-US"/>
    </w:rPr>
  </w:style>
  <w:style w:type="paragraph" w:styleId="ListBullet">
    <w:name w:val="List Bullet"/>
    <w:basedOn w:val="List"/>
    <w:rsid w:val="000945F9"/>
    <w:pPr>
      <w:numPr>
        <w:numId w:val="13"/>
      </w:numPr>
      <w:tabs>
        <w:tab w:val="clear" w:pos="340"/>
      </w:tabs>
      <w:spacing w:before="40" w:after="40"/>
    </w:pPr>
  </w:style>
  <w:style w:type="character" w:customStyle="1" w:styleId="SpecialBold">
    <w:name w:val="Special Bold"/>
    <w:basedOn w:val="DefaultParagraphFont"/>
    <w:rsid w:val="000945F9"/>
    <w:rPr>
      <w:b/>
      <w:spacing w:val="0"/>
    </w:rPr>
  </w:style>
  <w:style w:type="paragraph" w:styleId="ListBullet2">
    <w:name w:val="List Bullet 2"/>
    <w:basedOn w:val="List2"/>
    <w:rsid w:val="000945F9"/>
    <w:pPr>
      <w:numPr>
        <w:numId w:val="14"/>
      </w:numPr>
      <w:tabs>
        <w:tab w:val="clear" w:pos="680"/>
      </w:tabs>
    </w:pPr>
  </w:style>
  <w:style w:type="paragraph" w:customStyle="1" w:styleId="SuperHeading">
    <w:name w:val="SuperHeading"/>
    <w:basedOn w:val="Normal"/>
    <w:rsid w:val="000945F9"/>
    <w:pPr>
      <w:spacing w:before="240" w:after="120"/>
      <w:outlineLvl w:val="0"/>
    </w:pPr>
    <w:rPr>
      <w:rFonts w:ascii="Times New Roman" w:hAnsi="Times New Roman"/>
      <w:b/>
      <w:sz w:val="28"/>
    </w:rPr>
  </w:style>
  <w:style w:type="paragraph" w:customStyle="1" w:styleId="AllowPageBreak">
    <w:name w:val="AllowPageBreak"/>
    <w:rsid w:val="00094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5F9"/>
    <w:rPr>
      <w:rFonts w:ascii="Courier New" w:eastAsia="Times New Roman" w:hAnsi="Courier New" w:cs="Times New Roman"/>
      <w:i/>
      <w:szCs w:val="20"/>
      <w:lang w:eastAsia="en-US"/>
    </w:rPr>
  </w:style>
  <w:style w:type="paragraph" w:customStyle="1" w:styleId="HeadingBase">
    <w:name w:val="Heading Base"/>
    <w:rsid w:val="00094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5F9"/>
    <w:pPr>
      <w:tabs>
        <w:tab w:val="right" w:leader="dot" w:pos="9072"/>
      </w:tabs>
      <w:ind w:left="567"/>
    </w:pPr>
    <w:rPr>
      <w:szCs w:val="22"/>
    </w:rPr>
  </w:style>
  <w:style w:type="paragraph" w:customStyle="1" w:styleId="TOCBase">
    <w:name w:val="TOC Base"/>
    <w:rsid w:val="00094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5F9"/>
    <w:pPr>
      <w:tabs>
        <w:tab w:val="right" w:leader="dot" w:pos="9072"/>
      </w:tabs>
      <w:spacing w:before="40" w:after="40"/>
      <w:ind w:left="284"/>
    </w:pPr>
    <w:rPr>
      <w:rFonts w:ascii="Times New Roman" w:hAnsi="Times New Roman"/>
    </w:rPr>
  </w:style>
  <w:style w:type="paragraph" w:styleId="TOC1">
    <w:name w:val="toc 1"/>
    <w:basedOn w:val="TOCBase"/>
    <w:next w:val="Normal"/>
    <w:rsid w:val="00094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5F9"/>
    <w:pPr>
      <w:spacing w:before="5040"/>
      <w:jc w:val="center"/>
    </w:pPr>
    <w:rPr>
      <w:sz w:val="48"/>
      <w:szCs w:val="72"/>
      <w:lang w:val="en-US"/>
    </w:rPr>
  </w:style>
  <w:style w:type="character" w:customStyle="1" w:styleId="TitleChar">
    <w:name w:val="Title Char"/>
    <w:basedOn w:val="DefaultParagraphFont"/>
    <w:link w:val="Title"/>
    <w:rsid w:val="00094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5F9"/>
    <w:pPr>
      <w:tabs>
        <w:tab w:val="left" w:pos="3600"/>
        <w:tab w:val="left" w:pos="3958"/>
      </w:tabs>
    </w:pPr>
  </w:style>
  <w:style w:type="paragraph" w:styleId="List">
    <w:name w:val="List"/>
    <w:basedOn w:val="BodyText"/>
    <w:next w:val="BodyText"/>
    <w:rsid w:val="000945F9"/>
    <w:pPr>
      <w:tabs>
        <w:tab w:val="left" w:pos="340"/>
      </w:tabs>
      <w:spacing w:before="60" w:after="60"/>
      <w:ind w:left="340" w:hanging="340"/>
    </w:pPr>
  </w:style>
  <w:style w:type="paragraph" w:customStyle="1" w:styleId="Note">
    <w:name w:val="Note"/>
    <w:basedOn w:val="BodyText"/>
    <w:rsid w:val="00094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5F9"/>
    <w:pPr>
      <w:framePr w:wrap="auto" w:hAnchor="text" w:y="6049"/>
    </w:pPr>
    <w:rPr>
      <w:color w:val="000000"/>
      <w:sz w:val="40"/>
    </w:rPr>
  </w:style>
  <w:style w:type="paragraph" w:customStyle="1" w:styleId="TOCTitle">
    <w:name w:val="TOCTitle"/>
    <w:basedOn w:val="Heading1"/>
    <w:rsid w:val="000945F9"/>
    <w:pPr>
      <w:spacing w:after="240"/>
      <w:jc w:val="center"/>
      <w:outlineLvl w:val="9"/>
    </w:pPr>
    <w:rPr>
      <w:caps/>
    </w:rPr>
  </w:style>
  <w:style w:type="paragraph" w:customStyle="1" w:styleId="Version">
    <w:name w:val="Version"/>
    <w:rsid w:val="00094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5F9"/>
    <w:pPr>
      <w:keepNext w:val="0"/>
      <w:tabs>
        <w:tab w:val="right" w:pos="4176"/>
      </w:tabs>
      <w:ind w:left="198" w:hanging="198"/>
    </w:pPr>
    <w:rPr>
      <w:rFonts w:ascii="Garamond" w:hAnsi="Garamond"/>
    </w:rPr>
  </w:style>
  <w:style w:type="paragraph" w:styleId="IndexHeading">
    <w:name w:val="index heading"/>
    <w:basedOn w:val="Normal"/>
    <w:next w:val="Index1"/>
    <w:semiHidden/>
    <w:rsid w:val="000945F9"/>
    <w:pPr>
      <w:spacing w:before="120" w:after="120"/>
    </w:pPr>
    <w:rPr>
      <w:rFonts w:ascii="Arial" w:hAnsi="Arial"/>
      <w:b/>
      <w:color w:val="918585"/>
      <w:sz w:val="24"/>
    </w:rPr>
  </w:style>
  <w:style w:type="paragraph" w:styleId="Header">
    <w:name w:val="header"/>
    <w:basedOn w:val="Normal"/>
    <w:link w:val="HeaderChar"/>
    <w:rsid w:val="00094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5F9"/>
    <w:rPr>
      <w:rFonts w:ascii="Times New Roman" w:eastAsia="Times New Roman" w:hAnsi="Times New Roman" w:cs="Times New Roman"/>
      <w:sz w:val="16"/>
      <w:szCs w:val="20"/>
      <w:lang w:val="en-GB" w:eastAsia="en-US"/>
    </w:rPr>
  </w:style>
  <w:style w:type="paragraph" w:customStyle="1" w:styleId="Chapter">
    <w:name w:val="Chapter"/>
    <w:basedOn w:val="Normal"/>
    <w:rsid w:val="000945F9"/>
    <w:pPr>
      <w:spacing w:before="240"/>
    </w:pPr>
    <w:rPr>
      <w:rFonts w:ascii="Times New Roman" w:hAnsi="Times New Roman"/>
      <w:smallCaps/>
      <w:spacing w:val="80"/>
      <w:sz w:val="28"/>
    </w:rPr>
  </w:style>
  <w:style w:type="paragraph" w:customStyle="1" w:styleId="InChapter">
    <w:name w:val="InChapter"/>
    <w:basedOn w:val="Heading3"/>
    <w:rsid w:val="000945F9"/>
    <w:pPr>
      <w:spacing w:after="240"/>
      <w:outlineLvl w:val="9"/>
    </w:pPr>
    <w:rPr>
      <w:noProof/>
    </w:rPr>
  </w:style>
  <w:style w:type="paragraph" w:styleId="Index2">
    <w:name w:val="index 2"/>
    <w:basedOn w:val="Normal"/>
    <w:next w:val="Normal"/>
    <w:semiHidden/>
    <w:rsid w:val="000945F9"/>
    <w:pPr>
      <w:tabs>
        <w:tab w:val="right" w:pos="4176"/>
      </w:tabs>
      <w:ind w:left="568" w:hanging="284"/>
    </w:pPr>
    <w:rPr>
      <w:rFonts w:ascii="Garamond" w:hAnsi="Garamond"/>
    </w:rPr>
  </w:style>
  <w:style w:type="paragraph" w:customStyle="1" w:styleId="Byline">
    <w:name w:val="Byline"/>
    <w:rsid w:val="00094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5F9"/>
    <w:pPr>
      <w:tabs>
        <w:tab w:val="clear" w:pos="3600"/>
        <w:tab w:val="clear" w:pos="3958"/>
      </w:tabs>
      <w:jc w:val="right"/>
    </w:pPr>
  </w:style>
  <w:style w:type="character" w:styleId="Emphasis">
    <w:name w:val="Emphasis"/>
    <w:basedOn w:val="DefaultParagraphFont"/>
    <w:qFormat/>
    <w:rsid w:val="000945F9"/>
    <w:rPr>
      <w:i/>
    </w:rPr>
  </w:style>
  <w:style w:type="paragraph" w:styleId="Caption">
    <w:name w:val="caption"/>
    <w:basedOn w:val="BodyText"/>
    <w:next w:val="Normal"/>
    <w:qFormat/>
    <w:rsid w:val="000945F9"/>
    <w:pPr>
      <w:framePr w:w="2268" w:hSpace="181" w:vSpace="181" w:wrap="around" w:vAnchor="text" w:hAnchor="page" w:x="1135" w:y="285" w:anchorLock="1"/>
    </w:pPr>
    <w:rPr>
      <w:i/>
    </w:rPr>
  </w:style>
  <w:style w:type="paragraph" w:customStyle="1" w:styleId="MiniTOCTitle">
    <w:name w:val="MiniTOCTitle"/>
    <w:basedOn w:val="Heading4"/>
    <w:rsid w:val="000945F9"/>
    <w:pPr>
      <w:spacing w:before="240"/>
      <w:outlineLvl w:val="9"/>
    </w:pPr>
    <w:rPr>
      <w:noProof/>
      <w:sz w:val="24"/>
    </w:rPr>
  </w:style>
  <w:style w:type="paragraph" w:customStyle="1" w:styleId="MiniTOCItem">
    <w:name w:val="MiniTOCItem"/>
    <w:basedOn w:val="ListBullet"/>
    <w:rsid w:val="000945F9"/>
    <w:pPr>
      <w:numPr>
        <w:numId w:val="0"/>
      </w:numPr>
      <w:tabs>
        <w:tab w:val="right" w:leader="dot" w:pos="6521"/>
      </w:tabs>
      <w:spacing w:before="0" w:after="0"/>
    </w:pPr>
  </w:style>
  <w:style w:type="paragraph" w:customStyle="1" w:styleId="TOFTitle">
    <w:name w:val="TOFTitle"/>
    <w:basedOn w:val="TOCTitle"/>
    <w:rsid w:val="000945F9"/>
  </w:style>
  <w:style w:type="paragraph" w:styleId="TableofFigures">
    <w:name w:val="table of figures"/>
    <w:basedOn w:val="Normal"/>
    <w:next w:val="Normal"/>
    <w:semiHidden/>
    <w:rsid w:val="000945F9"/>
    <w:pPr>
      <w:tabs>
        <w:tab w:val="right" w:leader="dot" w:pos="9072"/>
      </w:tabs>
      <w:ind w:left="970" w:hanging="403"/>
    </w:pPr>
    <w:rPr>
      <w:rFonts w:ascii="Times New Roman" w:hAnsi="Times New Roman"/>
      <w:b/>
    </w:rPr>
  </w:style>
  <w:style w:type="paragraph" w:styleId="ListNumber">
    <w:name w:val="List Number"/>
    <w:basedOn w:val="List"/>
    <w:rsid w:val="000945F9"/>
    <w:pPr>
      <w:numPr>
        <w:numId w:val="11"/>
      </w:numPr>
    </w:pPr>
  </w:style>
  <w:style w:type="character" w:customStyle="1" w:styleId="WingdingSymbols">
    <w:name w:val="Wingding Symbols"/>
    <w:rsid w:val="000945F9"/>
    <w:rPr>
      <w:rFonts w:ascii="Wingdings" w:hAnsi="Wingdings"/>
    </w:rPr>
  </w:style>
  <w:style w:type="paragraph" w:customStyle="1" w:styleId="TableHeading">
    <w:name w:val="Table Heading"/>
    <w:basedOn w:val="HeadingBase"/>
    <w:rsid w:val="000945F9"/>
    <w:pPr>
      <w:keepLines/>
      <w:pBdr>
        <w:bottom w:val="single" w:sz="6" w:space="1" w:color="918585"/>
      </w:pBdr>
      <w:spacing w:before="240"/>
    </w:pPr>
  </w:style>
  <w:style w:type="character" w:customStyle="1" w:styleId="HotSpot">
    <w:name w:val="HotSpot"/>
    <w:rsid w:val="000945F9"/>
    <w:rPr>
      <w:color w:val="0033CC"/>
      <w:u w:val="none"/>
    </w:rPr>
  </w:style>
  <w:style w:type="paragraph" w:customStyle="1" w:styleId="BodyTextRight">
    <w:name w:val="Body Text Right"/>
    <w:basedOn w:val="BodyText"/>
    <w:rsid w:val="000945F9"/>
    <w:pPr>
      <w:spacing w:before="0" w:after="0"/>
      <w:jc w:val="right"/>
    </w:pPr>
  </w:style>
  <w:style w:type="paragraph" w:styleId="Index3">
    <w:name w:val="index 3"/>
    <w:basedOn w:val="ListNumber2"/>
    <w:next w:val="Normal"/>
    <w:semiHidden/>
    <w:rsid w:val="000945F9"/>
    <w:pPr>
      <w:numPr>
        <w:numId w:val="0"/>
      </w:numPr>
      <w:tabs>
        <w:tab w:val="right" w:leader="dot" w:pos="4176"/>
      </w:tabs>
    </w:pPr>
  </w:style>
  <w:style w:type="paragraph" w:styleId="ListNumber2">
    <w:name w:val="List Number 2"/>
    <w:basedOn w:val="List2"/>
    <w:rsid w:val="000945F9"/>
    <w:pPr>
      <w:numPr>
        <w:numId w:val="10"/>
      </w:numPr>
      <w:tabs>
        <w:tab w:val="clear" w:pos="1060"/>
      </w:tabs>
    </w:pPr>
  </w:style>
  <w:style w:type="paragraph" w:customStyle="1" w:styleId="MarginNote">
    <w:name w:val="Margin Note"/>
    <w:basedOn w:val="BodyText"/>
    <w:rsid w:val="00094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5F9"/>
    <w:rPr>
      <w:sz w:val="32"/>
    </w:rPr>
  </w:style>
  <w:style w:type="paragraph" w:customStyle="1" w:styleId="HeadingProcedure">
    <w:name w:val="Heading Procedure"/>
    <w:basedOn w:val="HeadingBase"/>
    <w:next w:val="Normal"/>
    <w:rsid w:val="000945F9"/>
    <w:pPr>
      <w:tabs>
        <w:tab w:val="left" w:pos="0"/>
      </w:tabs>
      <w:spacing w:before="120" w:after="60"/>
    </w:pPr>
    <w:rPr>
      <w:i/>
      <w:color w:val="918585"/>
      <w:sz w:val="22"/>
    </w:rPr>
  </w:style>
  <w:style w:type="paragraph" w:customStyle="1" w:styleId="TableBodyText">
    <w:name w:val="Table Body Text"/>
    <w:basedOn w:val="BodyText"/>
    <w:rsid w:val="000945F9"/>
    <w:pPr>
      <w:spacing w:before="60" w:after="60"/>
    </w:pPr>
  </w:style>
  <w:style w:type="paragraph" w:styleId="ListContinue">
    <w:name w:val="List Continue"/>
    <w:basedOn w:val="List"/>
    <w:rsid w:val="000945F9"/>
    <w:pPr>
      <w:ind w:firstLine="0"/>
    </w:pPr>
  </w:style>
  <w:style w:type="paragraph" w:customStyle="1" w:styleId="ListNote">
    <w:name w:val="List Note"/>
    <w:basedOn w:val="List"/>
    <w:rsid w:val="000945F9"/>
    <w:pPr>
      <w:pBdr>
        <w:top w:val="single" w:sz="6" w:space="2" w:color="918585"/>
        <w:bottom w:val="single" w:sz="6" w:space="2" w:color="918585"/>
      </w:pBdr>
      <w:tabs>
        <w:tab w:val="left" w:pos="1021"/>
      </w:tabs>
      <w:ind w:firstLine="0"/>
    </w:pPr>
  </w:style>
  <w:style w:type="paragraph" w:customStyle="1" w:styleId="Warning">
    <w:name w:val="Warning"/>
    <w:basedOn w:val="BodyText"/>
    <w:rsid w:val="000945F9"/>
    <w:pPr>
      <w:shd w:val="clear" w:color="auto" w:fill="D9D9D9"/>
      <w:tabs>
        <w:tab w:val="left" w:pos="992"/>
      </w:tabs>
      <w:ind w:left="119" w:right="119"/>
    </w:pPr>
    <w:rPr>
      <w:sz w:val="20"/>
    </w:rPr>
  </w:style>
  <w:style w:type="paragraph" w:customStyle="1" w:styleId="MarginIcons">
    <w:name w:val="Margin Icons"/>
    <w:basedOn w:val="BodyText"/>
    <w:rsid w:val="00094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5F9"/>
    <w:rPr>
      <w:rFonts w:ascii="Courier New" w:hAnsi="Courier New"/>
    </w:rPr>
  </w:style>
  <w:style w:type="paragraph" w:customStyle="1" w:styleId="NoteBullet">
    <w:name w:val="Note Bullet"/>
    <w:basedOn w:val="Note"/>
    <w:rsid w:val="000945F9"/>
    <w:pPr>
      <w:tabs>
        <w:tab w:val="clear" w:pos="680"/>
      </w:tabs>
      <w:spacing w:before="60" w:after="60"/>
    </w:pPr>
  </w:style>
  <w:style w:type="paragraph" w:customStyle="1" w:styleId="SubHeading2">
    <w:name w:val="SubHeading2"/>
    <w:basedOn w:val="HeadingBase"/>
    <w:rsid w:val="000945F9"/>
    <w:pPr>
      <w:spacing w:before="240" w:after="60"/>
    </w:pPr>
    <w:rPr>
      <w:sz w:val="20"/>
    </w:rPr>
  </w:style>
  <w:style w:type="paragraph" w:customStyle="1" w:styleId="SubHeading1">
    <w:name w:val="SubHeading1"/>
    <w:basedOn w:val="HeadingBase"/>
    <w:rsid w:val="000945F9"/>
    <w:pPr>
      <w:spacing w:before="240" w:after="60"/>
    </w:pPr>
    <w:rPr>
      <w:color w:val="918585"/>
      <w:sz w:val="22"/>
    </w:rPr>
  </w:style>
  <w:style w:type="paragraph" w:customStyle="1" w:styleId="SideHeading">
    <w:name w:val="Side Heading"/>
    <w:basedOn w:val="HeadingBase"/>
    <w:rsid w:val="00094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5F9"/>
    <w:pPr>
      <w:numPr>
        <w:numId w:val="12"/>
      </w:numPr>
    </w:pPr>
  </w:style>
  <w:style w:type="paragraph" w:styleId="PlainText">
    <w:name w:val="Plain Text"/>
    <w:basedOn w:val="Normal"/>
    <w:link w:val="PlainTextChar"/>
    <w:rsid w:val="000945F9"/>
    <w:rPr>
      <w:sz w:val="20"/>
    </w:rPr>
  </w:style>
  <w:style w:type="character" w:customStyle="1" w:styleId="PlainTextChar">
    <w:name w:val="Plain Text Char"/>
    <w:basedOn w:val="DefaultParagraphFont"/>
    <w:link w:val="PlainText"/>
    <w:rsid w:val="000945F9"/>
    <w:rPr>
      <w:rFonts w:ascii="Courier New" w:eastAsia="Times New Roman" w:hAnsi="Courier New" w:cs="Times New Roman"/>
      <w:sz w:val="20"/>
      <w:szCs w:val="20"/>
      <w:lang w:eastAsia="en-US"/>
    </w:rPr>
  </w:style>
  <w:style w:type="character" w:customStyle="1" w:styleId="MenuOption">
    <w:name w:val="Menu Option"/>
    <w:basedOn w:val="DefaultParagraphFont"/>
    <w:rsid w:val="000945F9"/>
    <w:rPr>
      <w:b/>
      <w:smallCaps/>
    </w:rPr>
  </w:style>
  <w:style w:type="paragraph" w:customStyle="1" w:styleId="TableListNumber">
    <w:name w:val="Table List Number"/>
    <w:basedOn w:val="ListNumber"/>
    <w:rsid w:val="000945F9"/>
    <w:pPr>
      <w:numPr>
        <w:numId w:val="0"/>
      </w:numPr>
    </w:pPr>
  </w:style>
  <w:style w:type="paragraph" w:styleId="TOC4">
    <w:name w:val="toc 4"/>
    <w:basedOn w:val="TOCBase"/>
    <w:next w:val="Normal"/>
    <w:semiHidden/>
    <w:rsid w:val="000945F9"/>
    <w:pPr>
      <w:tabs>
        <w:tab w:val="right" w:leader="dot" w:pos="9071"/>
      </w:tabs>
      <w:ind w:left="1701"/>
    </w:pPr>
  </w:style>
  <w:style w:type="paragraph" w:customStyle="1" w:styleId="ListAlpha">
    <w:name w:val="List Alpha"/>
    <w:basedOn w:val="List"/>
    <w:rsid w:val="000945F9"/>
    <w:pPr>
      <w:numPr>
        <w:numId w:val="9"/>
      </w:numPr>
    </w:pPr>
  </w:style>
  <w:style w:type="paragraph" w:customStyle="1" w:styleId="ListAlpha2">
    <w:name w:val="List Alpha 2"/>
    <w:basedOn w:val="List2"/>
    <w:rsid w:val="000945F9"/>
    <w:pPr>
      <w:numPr>
        <w:numId w:val="8"/>
      </w:numPr>
    </w:pPr>
  </w:style>
  <w:style w:type="paragraph" w:styleId="List2">
    <w:name w:val="List 2"/>
    <w:basedOn w:val="BodyText"/>
    <w:rsid w:val="000945F9"/>
    <w:pPr>
      <w:tabs>
        <w:tab w:val="left" w:pos="680"/>
      </w:tabs>
      <w:spacing w:before="60" w:after="60"/>
      <w:ind w:left="680" w:hanging="340"/>
    </w:pPr>
  </w:style>
  <w:style w:type="paragraph" w:styleId="List3">
    <w:name w:val="List 3"/>
    <w:basedOn w:val="BodyText"/>
    <w:rsid w:val="000945F9"/>
    <w:pPr>
      <w:tabs>
        <w:tab w:val="left" w:pos="1021"/>
      </w:tabs>
      <w:spacing w:before="60" w:after="60"/>
      <w:ind w:left="1020" w:hanging="340"/>
    </w:pPr>
  </w:style>
  <w:style w:type="paragraph" w:styleId="List4">
    <w:name w:val="List 4"/>
    <w:basedOn w:val="BodyText"/>
    <w:rsid w:val="000945F9"/>
    <w:pPr>
      <w:tabs>
        <w:tab w:val="left" w:pos="1361"/>
      </w:tabs>
      <w:spacing w:before="60" w:after="60"/>
      <w:ind w:left="1361" w:hanging="340"/>
    </w:pPr>
  </w:style>
  <w:style w:type="paragraph" w:styleId="List5">
    <w:name w:val="List 5"/>
    <w:basedOn w:val="BodyText"/>
    <w:rsid w:val="000945F9"/>
    <w:pPr>
      <w:tabs>
        <w:tab w:val="left" w:pos="1701"/>
      </w:tabs>
      <w:spacing w:before="60" w:after="60"/>
      <w:ind w:left="1701" w:hanging="340"/>
    </w:pPr>
  </w:style>
  <w:style w:type="paragraph" w:styleId="ListBullet3">
    <w:name w:val="List Bullet 3"/>
    <w:basedOn w:val="List3"/>
    <w:rsid w:val="000945F9"/>
    <w:pPr>
      <w:numPr>
        <w:numId w:val="15"/>
      </w:numPr>
      <w:tabs>
        <w:tab w:val="clear" w:pos="1021"/>
      </w:tabs>
      <w:ind w:left="1037" w:hanging="357"/>
    </w:pPr>
  </w:style>
  <w:style w:type="paragraph" w:styleId="ListBullet4">
    <w:name w:val="List Bullet 4"/>
    <w:basedOn w:val="List4"/>
    <w:rsid w:val="000945F9"/>
    <w:pPr>
      <w:numPr>
        <w:numId w:val="3"/>
      </w:numPr>
    </w:pPr>
  </w:style>
  <w:style w:type="paragraph" w:styleId="ListBullet5">
    <w:name w:val="List Bullet 5"/>
    <w:basedOn w:val="List5"/>
    <w:rsid w:val="000945F9"/>
    <w:pPr>
      <w:numPr>
        <w:numId w:val="4"/>
      </w:numPr>
    </w:pPr>
  </w:style>
  <w:style w:type="paragraph" w:styleId="ListContinue2">
    <w:name w:val="List Continue 2"/>
    <w:basedOn w:val="List2"/>
    <w:rsid w:val="000945F9"/>
    <w:pPr>
      <w:ind w:firstLine="0"/>
    </w:pPr>
  </w:style>
  <w:style w:type="paragraph" w:styleId="ListContinue3">
    <w:name w:val="List Continue 3"/>
    <w:basedOn w:val="List3"/>
    <w:rsid w:val="000945F9"/>
    <w:pPr>
      <w:ind w:left="1021" w:firstLine="0"/>
    </w:pPr>
  </w:style>
  <w:style w:type="paragraph" w:styleId="ListContinue4">
    <w:name w:val="List Continue 4"/>
    <w:basedOn w:val="List4"/>
    <w:rsid w:val="000945F9"/>
    <w:pPr>
      <w:ind w:firstLine="0"/>
    </w:pPr>
  </w:style>
  <w:style w:type="paragraph" w:styleId="ListContinue5">
    <w:name w:val="List Continue 5"/>
    <w:basedOn w:val="List5"/>
    <w:rsid w:val="000945F9"/>
    <w:pPr>
      <w:ind w:firstLine="0"/>
    </w:pPr>
  </w:style>
  <w:style w:type="paragraph" w:styleId="ListNumber3">
    <w:name w:val="List Number 3"/>
    <w:basedOn w:val="List3"/>
    <w:rsid w:val="000945F9"/>
    <w:pPr>
      <w:numPr>
        <w:numId w:val="5"/>
      </w:numPr>
    </w:pPr>
  </w:style>
  <w:style w:type="paragraph" w:styleId="ListNumber4">
    <w:name w:val="List Number 4"/>
    <w:basedOn w:val="List4"/>
    <w:rsid w:val="000945F9"/>
    <w:pPr>
      <w:numPr>
        <w:numId w:val="6"/>
      </w:numPr>
    </w:pPr>
  </w:style>
  <w:style w:type="paragraph" w:styleId="ListNumber5">
    <w:name w:val="List Number 5"/>
    <w:basedOn w:val="List5"/>
    <w:rsid w:val="000945F9"/>
    <w:pPr>
      <w:numPr>
        <w:numId w:val="7"/>
      </w:numPr>
    </w:pPr>
  </w:style>
  <w:style w:type="paragraph" w:styleId="BlockText">
    <w:name w:val="Block Text"/>
    <w:basedOn w:val="Normal"/>
    <w:rsid w:val="000945F9"/>
    <w:pPr>
      <w:spacing w:after="120"/>
      <w:ind w:left="1440" w:right="1440"/>
    </w:pPr>
  </w:style>
  <w:style w:type="character" w:customStyle="1" w:styleId="Subscript">
    <w:name w:val="Subscript"/>
    <w:basedOn w:val="DefaultParagraphFont"/>
    <w:rsid w:val="000945F9"/>
    <w:rPr>
      <w:sz w:val="16"/>
      <w:vertAlign w:val="subscript"/>
    </w:rPr>
  </w:style>
  <w:style w:type="character" w:customStyle="1" w:styleId="Superscript">
    <w:name w:val="Superscript"/>
    <w:basedOn w:val="DefaultParagraphFont"/>
    <w:rsid w:val="000945F9"/>
    <w:rPr>
      <w:sz w:val="16"/>
      <w:vertAlign w:val="superscript"/>
    </w:rPr>
  </w:style>
  <w:style w:type="character" w:customStyle="1" w:styleId="Symbols">
    <w:name w:val="Symbols"/>
    <w:basedOn w:val="DefaultParagraphFont"/>
    <w:rsid w:val="000945F9"/>
    <w:rPr>
      <w:rFonts w:ascii="Symbol" w:hAnsi="Symbol"/>
    </w:rPr>
  </w:style>
  <w:style w:type="character" w:customStyle="1" w:styleId="MenuOptions">
    <w:name w:val="Menu Options"/>
    <w:basedOn w:val="DefaultParagraphFont"/>
    <w:rsid w:val="000945F9"/>
    <w:rPr>
      <w:rFonts w:ascii="Arial Narrow" w:hAnsi="Arial Narrow"/>
      <w:smallCaps/>
    </w:rPr>
  </w:style>
  <w:style w:type="character" w:customStyle="1" w:styleId="Buttons">
    <w:name w:val="Buttons"/>
    <w:basedOn w:val="DefaultParagraphFont"/>
    <w:rsid w:val="000945F9"/>
    <w:rPr>
      <w:b/>
    </w:rPr>
  </w:style>
  <w:style w:type="character" w:customStyle="1" w:styleId="Underlined">
    <w:name w:val="Underlined"/>
    <w:basedOn w:val="DefaultParagraphFont"/>
    <w:rsid w:val="000945F9"/>
    <w:rPr>
      <w:u w:val="single"/>
    </w:rPr>
  </w:style>
  <w:style w:type="paragraph" w:customStyle="1" w:styleId="TableBodyTextRight">
    <w:name w:val="Table Body Text Right"/>
    <w:basedOn w:val="TableBodyText"/>
    <w:rsid w:val="000945F9"/>
    <w:pPr>
      <w:widowControl w:val="0"/>
      <w:autoSpaceDE w:val="0"/>
      <w:autoSpaceDN w:val="0"/>
      <w:adjustRightInd w:val="0"/>
      <w:jc w:val="right"/>
    </w:pPr>
    <w:rPr>
      <w:rFonts w:cs="Arial"/>
      <w:szCs w:val="18"/>
    </w:rPr>
  </w:style>
  <w:style w:type="paragraph" w:customStyle="1" w:styleId="CopyrightText">
    <w:name w:val="Copyright Text"/>
    <w:basedOn w:val="BodyText"/>
    <w:rsid w:val="000945F9"/>
    <w:rPr>
      <w:sz w:val="18"/>
    </w:rPr>
  </w:style>
  <w:style w:type="paragraph" w:customStyle="1" w:styleId="BodySmallRight">
    <w:name w:val="Body Small Right"/>
    <w:basedOn w:val="BodyTextRight"/>
    <w:rsid w:val="000945F9"/>
    <w:rPr>
      <w:sz w:val="18"/>
      <w:szCs w:val="18"/>
    </w:rPr>
  </w:style>
  <w:style w:type="paragraph" w:customStyle="1" w:styleId="MarginEdition">
    <w:name w:val="Margin Edition"/>
    <w:basedOn w:val="MarginNote"/>
    <w:rsid w:val="000945F9"/>
    <w:pPr>
      <w:spacing w:before="0" w:after="0"/>
    </w:pPr>
    <w:rPr>
      <w:rFonts w:ascii="Times New Roman" w:hAnsi="Times New Roman"/>
      <w:color w:val="999999"/>
    </w:rPr>
  </w:style>
  <w:style w:type="paragraph" w:customStyle="1" w:styleId="Spacer">
    <w:name w:val="Spacer"/>
    <w:basedOn w:val="Normal"/>
    <w:rsid w:val="000945F9"/>
    <w:rPr>
      <w:sz w:val="2"/>
      <w:szCs w:val="2"/>
    </w:rPr>
  </w:style>
  <w:style w:type="character" w:customStyle="1" w:styleId="Small">
    <w:name w:val="Small"/>
    <w:basedOn w:val="DefaultParagraphFont"/>
    <w:rsid w:val="000945F9"/>
    <w:rPr>
      <w:sz w:val="16"/>
    </w:rPr>
  </w:style>
  <w:style w:type="paragraph" w:customStyle="1" w:styleId="WideTable">
    <w:name w:val="Wide Table"/>
    <w:basedOn w:val="Normal"/>
    <w:rsid w:val="000945F9"/>
    <w:pPr>
      <w:ind w:left="-1418"/>
    </w:pPr>
    <w:rPr>
      <w:sz w:val="2"/>
      <w:szCs w:val="2"/>
    </w:rPr>
  </w:style>
  <w:style w:type="character" w:styleId="PageNumber">
    <w:name w:val="page number"/>
    <w:basedOn w:val="DefaultParagraphFont"/>
    <w:rsid w:val="000945F9"/>
  </w:style>
  <w:style w:type="paragraph" w:styleId="Quote">
    <w:name w:val="Quote"/>
    <w:basedOn w:val="Heading1"/>
    <w:link w:val="QuoteChar"/>
    <w:qFormat/>
    <w:rsid w:val="000945F9"/>
    <w:rPr>
      <w:b w:val="0"/>
      <w:sz w:val="72"/>
      <w:szCs w:val="72"/>
      <w:lang w:val="en-NZ"/>
    </w:rPr>
  </w:style>
  <w:style w:type="character" w:customStyle="1" w:styleId="QuoteChar">
    <w:name w:val="Quote Char"/>
    <w:basedOn w:val="DefaultParagraphFont"/>
    <w:link w:val="Quote"/>
    <w:rsid w:val="00094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5F9"/>
    <w:pPr>
      <w:pageBreakBefore/>
    </w:pPr>
  </w:style>
  <w:style w:type="paragraph" w:customStyle="1" w:styleId="Border">
    <w:name w:val="Border"/>
    <w:basedOn w:val="Normal"/>
    <w:qFormat/>
    <w:rsid w:val="00094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5F9"/>
    <w:rPr>
      <w:b/>
      <w:bCs/>
      <w:i/>
      <w:iCs/>
      <w:color w:val="auto"/>
    </w:rPr>
  </w:style>
  <w:style w:type="paragraph" w:styleId="IntenseQuote">
    <w:name w:val="Intense Quote"/>
    <w:basedOn w:val="Normal"/>
    <w:next w:val="Normal"/>
    <w:link w:val="IntenseQuoteChar"/>
    <w:uiPriority w:val="30"/>
    <w:qFormat/>
    <w:rsid w:val="00094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5F9"/>
    <w:rPr>
      <w:smallCaps/>
      <w:color w:val="auto"/>
      <w:u w:val="single"/>
    </w:rPr>
  </w:style>
  <w:style w:type="character" w:styleId="IntenseReference">
    <w:name w:val="Intense Reference"/>
    <w:basedOn w:val="DefaultParagraphFont"/>
    <w:uiPriority w:val="32"/>
    <w:qFormat/>
    <w:rsid w:val="000945F9"/>
    <w:rPr>
      <w:b/>
      <w:bCs/>
      <w:smallCaps/>
      <w:color w:val="auto"/>
      <w:spacing w:val="5"/>
      <w:u w:val="single"/>
    </w:rPr>
  </w:style>
  <w:style w:type="paragraph" w:customStyle="1" w:styleId="2ColumnHeading">
    <w:name w:val="2Column Heading"/>
    <w:basedOn w:val="BodyText"/>
    <w:qFormat/>
    <w:rsid w:val="000945F9"/>
    <w:pPr>
      <w:spacing w:after="60"/>
      <w:ind w:left="-2268"/>
    </w:pPr>
    <w:rPr>
      <w:b/>
    </w:rPr>
  </w:style>
  <w:style w:type="paragraph" w:customStyle="1" w:styleId="Heading1TOC">
    <w:name w:val="Heading1 TOC"/>
    <w:basedOn w:val="Normal"/>
    <w:qFormat/>
    <w:rsid w:val="000945F9"/>
    <w:pPr>
      <w:spacing w:before="240" w:after="120"/>
    </w:pPr>
    <w:rPr>
      <w:rFonts w:ascii="Times New Roman" w:hAnsi="Times New Roman"/>
      <w:b/>
      <w:sz w:val="32"/>
    </w:rPr>
  </w:style>
  <w:style w:type="paragraph" w:customStyle="1" w:styleId="Heading2TOC">
    <w:name w:val="Heading2 TOC"/>
    <w:basedOn w:val="Normal"/>
    <w:qFormat/>
    <w:rsid w:val="000945F9"/>
    <w:pPr>
      <w:spacing w:before="240" w:after="60"/>
    </w:pPr>
    <w:rPr>
      <w:rFonts w:ascii="Times New Roman" w:hAnsi="Times New Roman"/>
      <w:b/>
      <w:sz w:val="28"/>
    </w:rPr>
  </w:style>
  <w:style w:type="character" w:customStyle="1" w:styleId="Underline">
    <w:name w:val="Underline"/>
    <w:basedOn w:val="DefaultParagraphFont"/>
    <w:qFormat/>
    <w:rsid w:val="000945F9"/>
    <w:rPr>
      <w:u w:val="single"/>
    </w:rPr>
  </w:style>
  <w:style w:type="character" w:customStyle="1" w:styleId="BoldandItalics">
    <w:name w:val="Bold and Italics"/>
    <w:qFormat/>
    <w:rsid w:val="000945F9"/>
    <w:rPr>
      <w:b/>
      <w:i/>
      <w:u w:val="none"/>
    </w:rPr>
  </w:style>
  <w:style w:type="paragraph" w:styleId="BalloonText">
    <w:name w:val="Balloon Text"/>
    <w:basedOn w:val="Normal"/>
    <w:link w:val="BalloonTextChar"/>
    <w:rsid w:val="000945F9"/>
    <w:rPr>
      <w:rFonts w:ascii="Tahoma" w:hAnsi="Tahoma" w:cs="Tahoma"/>
      <w:sz w:val="16"/>
      <w:szCs w:val="16"/>
    </w:rPr>
  </w:style>
  <w:style w:type="character" w:customStyle="1" w:styleId="BalloonTextChar">
    <w:name w:val="Balloon Text Char"/>
    <w:basedOn w:val="DefaultParagraphFont"/>
    <w:link w:val="BalloonText"/>
    <w:rsid w:val="00094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5F9"/>
    <w:rPr>
      <w:b/>
      <w:color w:val="660033"/>
      <w:spacing w:val="0"/>
    </w:rPr>
  </w:style>
  <w:style w:type="paragraph" w:customStyle="1" w:styleId="Nameditemlist">
    <w:name w:val="Named item list"/>
    <w:basedOn w:val="BodyText"/>
    <w:qFormat/>
    <w:rsid w:val="000945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2562</Words>
  <Characters>15916</Characters>
  <Application>Microsoft Office Word</Application>
  <DocSecurity>0</DocSecurity>
  <Lines>626</Lines>
  <Paragraphs>288</Paragraphs>
  <ScaleCrop>false</ScaleCrop>
  <Company>Author-it Software Corporation Ltd.</Company>
  <LinksUpToDate>false</LinksUpToDate>
  <CharactersWithSpaces>18307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UEPMNT368A Repair and maintain stationary gas fuelled reciprocating engines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2012-07-25T17:16:00Z</dcterms:created>
  <dcterms:modified xsi:type="dcterms:W3CDTF">2012-07-25T17:16:00Z</dcterms:modified>
</cp:coreProperties>
</file>