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E4F" w:rsidP="00D21E4F">
      <w:pPr>
        <w:pStyle w:val="Title"/>
      </w:pPr>
      <w:bookmarkStart w:id="0" w:name="_GoBack"/>
      <w:bookmarkEnd w:id="0"/>
      <w:r>
        <w:fldChar w:fldCharType="begin"/>
      </w:r>
      <w:r>
        <w:instrText xml:space="preserve"> TITLE   \* MERGEFORMAT </w:instrText>
      </w:r>
      <w:r>
        <w:fldChar w:fldCharType="separate"/>
      </w:r>
      <w:r>
        <w:t>UEPMNT359B Test and commission instrumentation equipment</w:t>
      </w:r>
      <w:r>
        <w:fldChar w:fldCharType="end"/>
      </w:r>
    </w:p>
    <w:p w:rsidR="00D21E4F" w:rsidP="00D21E4F">
      <w:pPr>
        <w:pStyle w:val="Version"/>
        <w:sectPr w:rsidSect="007D1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EB6" w:rsidP="007D1EB6">
      <w:pPr>
        <w:pStyle w:val="SuperHeading"/>
      </w:pPr>
      <w:r w:rsidRPr="007D1EB6">
        <w:t>UEPMNT359B Test and commission instrumentation equipment</w:t>
      </w:r>
    </w:p>
    <w:p w:rsidR="00000000" w:rsidRPr="007D1EB6" w:rsidP="007D1EB6">
      <w:pPr>
        <w:pStyle w:val="Heading1"/>
      </w:pPr>
      <w:bookmarkStart w:id="1" w:name="O_470093"/>
      <w:bookmarkEnd w:id="1"/>
      <w:r w:rsidRPr="007D1EB6">
        <w:t>Modification History</w:t>
      </w:r>
    </w:p>
    <w:p w:rsidR="00000000" w:rsidRPr="007D1EB6" w:rsidP="007D1EB6">
      <w:pPr>
        <w:pStyle w:val="BodyText"/>
      </w:pPr>
      <w:r w:rsidRPr="007D1EB6">
        <w:t>Not applicable.</w:t>
      </w:r>
    </w:p>
    <w:p w:rsidR="00000000" w:rsidRPr="007D1EB6" w:rsidP="007D1EB6">
      <w:pPr>
        <w:pStyle w:val="AllowPageBreak"/>
      </w:pPr>
    </w:p>
    <w:p w:rsidR="00000000" w:rsidRPr="007D1EB6" w:rsidP="007D1EB6">
      <w:pPr>
        <w:pStyle w:val="Heading1"/>
      </w:pPr>
      <w:bookmarkStart w:id="2" w:name="O_470091"/>
      <w:bookmarkEnd w:id="2"/>
      <w:r w:rsidRPr="007D1EB6">
        <w:t>Unit Descriptor</w:t>
      </w:r>
    </w:p>
    <w:tbl>
      <w:tblPr>
        <w:tblW w:w="0" w:type="auto"/>
        <w:tblLayout w:type="fixed"/>
        <w:tblCellMar>
          <w:left w:w="62" w:type="dxa"/>
          <w:right w:w="62" w:type="dxa"/>
        </w:tblCellMar>
        <w:tblLook w:val="0000"/>
      </w:tblPr>
      <w:tblGrid>
        <w:gridCol w:w="2700"/>
        <w:gridCol w:w="5760"/>
      </w:tblGrid>
      <w:tr w:rsidTr="00D21E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1)</w:t>
            </w:r>
            <w:r w:rsidRPr="007D1EB6">
              <w:t xml:space="preserve"> </w:t>
            </w:r>
            <w:r w:rsidRPr="007D1EB6">
              <w:rPr>
                <w:rStyle w:val="SpecialBold"/>
              </w:rPr>
              <w:t>Scope:</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1EB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1.1) Descriptor</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This unit deals with the skills and knowledge required to conduct testing and commissioning of instrumentation equipment including, but not limited to, sensor elements, signal characterising equipment, input/output blocks, controllers, transducers and fina</w:t>
            </w:r>
            <w:r w:rsidRPr="007D1EB6">
              <w:t>l elements.</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3" w:name="O_470080"/>
      <w:bookmarkEnd w:id="3"/>
      <w:r w:rsidRPr="007D1EB6">
        <w:t>Application of the Unit</w:t>
      </w:r>
    </w:p>
    <w:tbl>
      <w:tblPr>
        <w:tblW w:w="0" w:type="auto"/>
        <w:tblLayout w:type="fixed"/>
        <w:tblCellMar>
          <w:left w:w="62" w:type="dxa"/>
          <w:right w:w="62" w:type="dxa"/>
        </w:tblCellMar>
        <w:tblLook w:val="0000"/>
      </w:tblPr>
      <w:tblGrid>
        <w:gridCol w:w="2672"/>
        <w:gridCol w:w="5699"/>
      </w:tblGrid>
      <w:tr w:rsidTr="00D21E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2)</w:t>
            </w:r>
          </w:p>
        </w:tc>
      </w:tr>
      <w:tr w:rsidTr="00D21E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This unit is intended to augment formally acquired competencies. It is suitable for employment-based programs under an approved contract of training.</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4" w:name="O_470087"/>
      <w:bookmarkEnd w:id="4"/>
      <w:r w:rsidRPr="007D1EB6">
        <w:t>Licensing/Regulatory Information</w:t>
      </w:r>
    </w:p>
    <w:tbl>
      <w:tblPr>
        <w:tblW w:w="0" w:type="auto"/>
        <w:tblLayout w:type="fixed"/>
        <w:tblCellMar>
          <w:left w:w="62" w:type="dxa"/>
          <w:right w:w="62" w:type="dxa"/>
        </w:tblCellMar>
        <w:tblLook w:val="0000"/>
      </w:tblPr>
      <w:tblGrid>
        <w:gridCol w:w="2700"/>
        <w:gridCol w:w="5760"/>
      </w:tblGrid>
      <w:tr w:rsidTr="00D21E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 xml:space="preserve">3) </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The skills and knowledge described in this unit may require an electrical licence to practise in the workplace.</w:t>
            </w:r>
          </w:p>
          <w:p w:rsidR="00000000" w:rsidRPr="007D1EB6" w:rsidP="007D1EB6">
            <w:pPr>
              <w:pStyle w:val="BodyText"/>
            </w:pPr>
            <w:r w:rsidRPr="007D1EB6">
              <w:t>Practice in this unit is subject to regulations directly related to Occupational Heal</w:t>
            </w:r>
            <w:r w:rsidRPr="007D1EB6">
              <w:t>th and Safety and where applicable contracts of training such as apprenticeships and the like.</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5" w:name="O_470088"/>
      <w:bookmarkEnd w:id="5"/>
      <w:r w:rsidRPr="007D1EB6">
        <w:t>Pre-Requisites</w:t>
      </w:r>
    </w:p>
    <w:tbl>
      <w:tblPr>
        <w:tblW w:w="0" w:type="auto"/>
        <w:tblLayout w:type="fixed"/>
        <w:tblCellMar>
          <w:left w:w="62" w:type="dxa"/>
          <w:right w:w="62" w:type="dxa"/>
        </w:tblCellMar>
        <w:tblLook w:val="0000"/>
      </w:tblPr>
      <w:tblGrid>
        <w:gridCol w:w="2700"/>
        <w:gridCol w:w="2070"/>
        <w:gridCol w:w="3696"/>
      </w:tblGrid>
      <w:tr w:rsidTr="00D21E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 xml:space="preserve">4) </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4.1)</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Granting of competency in this unit shall be made only after competency in the following unit(s) has/have been confirmed.</w:t>
            </w:r>
          </w:p>
          <w:p w:rsidR="00000000" w:rsidRPr="007D1EB6" w:rsidP="007D1EB6">
            <w:pPr>
              <w:pStyle w:val="BodyText"/>
            </w:pPr>
            <w:r w:rsidRPr="007D1EB6">
              <w:t>Where pre-requisite pathways have been identified. All competencies in the Common Unit Group must be have been completed.</w:t>
            </w:r>
          </w:p>
          <w:p w:rsidR="00000000" w:rsidP="007D1EB6">
            <w:pPr>
              <w:pStyle w:val="BodyText"/>
              <w:rPr>
                <w:lang w:val="en-NZ"/>
              </w:rPr>
            </w:pPr>
            <w:r w:rsidRPr="007D1EB6">
              <w:t xml:space="preserve">Common Unit </w:t>
            </w:r>
            <w:r w:rsidRPr="007D1EB6">
              <w:t>Group</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Unit Code</w:t>
            </w:r>
            <w:r w:rsidRPr="007D1EB6">
              <w:tab/>
            </w:r>
          </w:p>
        </w:tc>
        <w:tc>
          <w:tcPr>
            <w:tcW w:w="3696"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Unit Title</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UEENEEI001B</w:t>
            </w:r>
          </w:p>
        </w:tc>
        <w:tc>
          <w:tcPr>
            <w:tcW w:w="3696"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Install and set up transducers and sensing devices</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UEENEEE002B</w:t>
            </w:r>
          </w:p>
        </w:tc>
        <w:tc>
          <w:tcPr>
            <w:tcW w:w="3696"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Dismantle, assemble and fabricate electrotechnology components</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UEENEEE005B</w:t>
            </w:r>
          </w:p>
        </w:tc>
        <w:tc>
          <w:tcPr>
            <w:tcW w:w="3696"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Fix and secure equipment</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UEENEEE007B</w:t>
            </w:r>
          </w:p>
        </w:tc>
        <w:tc>
          <w:tcPr>
            <w:tcW w:w="3696"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Use drawings, diagrams, schedules and manuals</w:t>
            </w:r>
          </w:p>
        </w:tc>
      </w:tr>
    </w:tbl>
    <w:p w:rsidR="00000000" w:rsidRPr="007D1EB6" w:rsidP="007D1EB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21E4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 xml:space="preserve">4.2) </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 xml:space="preserve">Participants are best equipped to achieve this unit if they have reading, writing and numeracy skills indicated by the following levels. A </w:t>
            </w:r>
            <w:r w:rsidRPr="007D1EB6">
              <w:t>description of what each level entails is provided in Section 2.3.1 Language, Literacy and Numeracy.</w:t>
            </w:r>
          </w:p>
        </w:tc>
      </w:tr>
      <w:tr w:rsidTr="00D21E4F">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Reading</w:t>
            </w:r>
          </w:p>
        </w:tc>
        <w:tc>
          <w:tcPr>
            <w:tcW w:w="81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w:t>
            </w:r>
          </w:p>
        </w:tc>
        <w:tc>
          <w:tcPr>
            <w:tcW w:w="99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Writing</w:t>
            </w: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w:t>
            </w:r>
          </w:p>
        </w:tc>
        <w:tc>
          <w:tcPr>
            <w:tcW w:w="12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Numeracy</w:t>
            </w:r>
          </w:p>
        </w:tc>
        <w:tc>
          <w:tcPr>
            <w:tcW w:w="72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3</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6" w:name="O_470084"/>
      <w:bookmarkEnd w:id="6"/>
      <w:r w:rsidRPr="007D1EB6">
        <w:t>Employability Skills Information</w:t>
      </w:r>
    </w:p>
    <w:tbl>
      <w:tblPr>
        <w:tblW w:w="0" w:type="auto"/>
        <w:tblLayout w:type="fixed"/>
        <w:tblCellMar>
          <w:left w:w="62" w:type="dxa"/>
          <w:right w:w="62" w:type="dxa"/>
        </w:tblCellMar>
        <w:tblLook w:val="0000"/>
      </w:tblPr>
      <w:tblGrid>
        <w:gridCol w:w="2700"/>
        <w:gridCol w:w="5760"/>
      </w:tblGrid>
      <w:tr w:rsidTr="00D21E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 xml:space="preserve">5) </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 xml:space="preserve">The required outcomes described in this unit of competency contain applicable facets of Employability Skills. The Employability Skills Summary of the </w:t>
            </w:r>
            <w:r w:rsidRPr="007D1EB6">
              <w:t xml:space="preserve">qualification in which this unit of competency is packaged will assist in identifying Employability Skill </w:t>
            </w:r>
            <w:r w:rsidRPr="007D1EB6">
              <w:t>requirements.</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7" w:name="O_470083"/>
      <w:bookmarkEnd w:id="7"/>
      <w:r w:rsidRPr="007D1EB6">
        <w:t>Elements and Performance Criteria Pre-Content</w:t>
      </w:r>
    </w:p>
    <w:tbl>
      <w:tblPr>
        <w:tblW w:w="0" w:type="auto"/>
        <w:tblLayout w:type="fixed"/>
        <w:tblCellMar>
          <w:left w:w="62" w:type="dxa"/>
          <w:right w:w="62" w:type="dxa"/>
        </w:tblCellMar>
        <w:tblLook w:val="0000"/>
      </w:tblPr>
      <w:tblGrid>
        <w:gridCol w:w="2700"/>
        <w:gridCol w:w="5760"/>
      </w:tblGrid>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6)</w:t>
            </w:r>
            <w:r w:rsidRPr="007D1EB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Performance Criteria describe the required performance needed to demonstrate achievement of the element. Assessment of performance is to be consistent with the Evidence Guide.</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8" w:name="O_470082"/>
      <w:bookmarkEnd w:id="8"/>
      <w:r w:rsidRPr="007D1EB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21E4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PERFORMANCE CRITER</w:t>
            </w:r>
            <w:r w:rsidRPr="007D1EB6">
              <w:rPr>
                <w:rStyle w:val="SpecialBold"/>
              </w:rPr>
              <w:t>IA</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w:t>
            </w:r>
          </w:p>
        </w:tc>
        <w:tc>
          <w:tcPr>
            <w:tcW w:w="2296" w:type="dxa"/>
            <w:vMerge w:val="restart"/>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1.1</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Work requirements are identified from request/work orders or equivalent and clarified/confirmed with appropriate parties or by site inspection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1.2</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Occupational Health and Safety standards, statutory requirements, relevant Australian standards, codes of practice, manufacturers’ specifications, environmental requirements and enterprise procedures are identified, applied and monitored throughout the wor</w:t>
            </w:r>
            <w:r w:rsidRPr="007D1EB6">
              <w:t>k procedure</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1.3</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Resources required to satisfy the work plan are identified, obtained and inspected for compliance with the job specifications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1.4</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Relevant plans, drawings and texts are selected and interpreted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1.5</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Correct size, type and quantity of materials/components are determined, obtained and inspected for compliance with the job specifications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1.6</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Work is planned in detail including sequencing and prioritising and considerations made, where appropriate, for</w:t>
            </w:r>
            <w:r w:rsidRPr="007D1EB6">
              <w:t xml:space="preserve"> the maintenance of plant security and capacity in accordance with system/site requirements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1.7</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Coordination requirements, including requests for isolations where appropriate, are resolved with others involved, affected or required by the work</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1.8</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Potential hazards are identified and prevention and/or control measures are selected in accordance with the work plan and site procedures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1.9</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Work area is prepared in accordance with work requirements and site procedures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1.10</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Where appropriate, the t</w:t>
            </w:r>
            <w:r w:rsidRPr="007D1EB6">
              <w:t xml:space="preserve">eams and individuals roles and responsibilities within the team are identified and, where required, assist in the provision of the on-the-job training </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2</w:t>
            </w:r>
          </w:p>
        </w:tc>
        <w:tc>
          <w:tcPr>
            <w:tcW w:w="2296" w:type="dxa"/>
            <w:vMerge w:val="restart"/>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Test wiring systems</w:t>
            </w: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2.1</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Required isolations are confirmed where appropriate in accordance with site requirements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2.2</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Wiring systems are tested using appropriate plans, drawings and texts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2.3</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Wiring systems are tested in conjunction with othe</w:t>
            </w:r>
            <w:r w:rsidRPr="007D1EB6">
              <w:t>rs involved in, or affected by, the work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2.4</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 xml:space="preserve">Wiring systems, including enclosures/ supports, are inspected prior to testing to ensure absence of any damage, defects and/or signs of deterioration </w:t>
            </w:r>
            <w:r w:rsidRPr="007D1EB6">
              <w:t>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2.5</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Fixed wiring is tested as appropriate and results/observations are interpreted and documented to confirm compliance with job specifications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w:t>
            </w:r>
          </w:p>
        </w:tc>
        <w:tc>
          <w:tcPr>
            <w:tcW w:w="2296" w:type="dxa"/>
            <w:vMerge w:val="restart"/>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3.1</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Required isolations are confirmed wher</w:t>
            </w:r>
            <w:r w:rsidRPr="007D1EB6">
              <w:t>e appropriate in accordance with site requirements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3.2</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Piping and tubing systems are tested using appropriate plans, drawings and text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3.3</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Piping and tubing systems are tested in conjunction with other involved in or affected by the work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3.4</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Piping and tubing systems, including enclosures/supports, are inspected prior to testing to ensure absence of any dam</w:t>
            </w:r>
            <w:r w:rsidRPr="007D1EB6">
              <w:t>age, defects and/or signs of deterioration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3.5</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Fixed piping and tubing is tested as appropriate and results/observations are interpreted and documented to confirm compliance with job specifications and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4</w:t>
            </w:r>
          </w:p>
        </w:tc>
        <w:tc>
          <w:tcPr>
            <w:tcW w:w="2296" w:type="dxa"/>
            <w:vMerge w:val="restart"/>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T</w:t>
            </w:r>
            <w:r w:rsidRPr="007D1EB6">
              <w:t>est the equipment</w:t>
            </w: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4.1</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Required isolations are confirmed where appropriate in accordance with site requirements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4.2</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is tested using appropriate plans, drawings and text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4.3</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is tested in conjunction with other involved in or affected by the work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4.4</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Required test conditions are con</w:t>
            </w:r>
            <w:r w:rsidRPr="007D1EB6">
              <w:t>firmed and the equipment is inspected to ensure absence of any damage, defects and/or signs of deterioration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4.5</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is tested using appropriate test techniques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4.6</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tes</w:t>
            </w:r>
            <w:r w:rsidRPr="007D1EB6">
              <w:t>t results/observations are interpreted and documented to confirm compliance with job specifications.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w:t>
            </w:r>
          </w:p>
        </w:tc>
        <w:tc>
          <w:tcPr>
            <w:tcW w:w="2296" w:type="dxa"/>
            <w:vMerge w:val="restart"/>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Commission the equipment</w:t>
            </w: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5.1</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Required isolations are confirmed where appropriate in accordance with site requirements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5.2</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is commissioned using appropriate plans, drawings and text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5.3</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is commissioned in conjunction with others involved in, or affected by, the work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5.4</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is set</w:t>
            </w:r>
            <w:r w:rsidRPr="007D1EB6">
              <w:t xml:space="preserve"> up in accordance with operational requirements/manufacturer specifications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5.5</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Testing and monitoring procedures are followed and results monitored, interpreted and documented to ensure equipment operates/functions within specifications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5.6</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Equipment is commissioned with due regard being paid to plant security and capacity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5.7</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Final job inspection is carried out and permits relinquished as required in accordance with the work plan</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6</w:t>
            </w:r>
          </w:p>
        </w:tc>
        <w:tc>
          <w:tcPr>
            <w:tcW w:w="2296" w:type="dxa"/>
            <w:vMerge w:val="restart"/>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Complete the work</w:t>
            </w: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6.1</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w:t>
            </w:r>
            <w:r w:rsidRPr="007D1EB6">
              <w:t>ork is completed and appropriate personnel notified in accordance with site/enterprise requirements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6.2</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Work area is cleared of waste, cleaned, restored and secured in accordance with site/enterprise procedures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6.3</w:t>
            </w:r>
          </w:p>
        </w:tc>
        <w:tc>
          <w:tcPr>
            <w:tcW w:w="48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Plant, tools and equipment are maintained and stored in accordance with site/enterprise procedures</w:t>
            </w:r>
          </w:p>
        </w:tc>
      </w:tr>
      <w:tr w:rsidTr="00D21E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t>6.4</w:t>
            </w:r>
          </w:p>
        </w:tc>
        <w:tc>
          <w:tcPr>
            <w:tcW w:w="48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Work completion details are finalised in accordance with site/enterprise procedures</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9" w:name="O_470090"/>
      <w:bookmarkEnd w:id="9"/>
      <w:r w:rsidRPr="007D1EB6">
        <w:t>Required Skills and Knowledge</w:t>
      </w:r>
    </w:p>
    <w:tbl>
      <w:tblPr>
        <w:tblW w:w="0" w:type="auto"/>
        <w:tblLayout w:type="fixed"/>
        <w:tblCellMar>
          <w:left w:w="62" w:type="dxa"/>
          <w:right w:w="62" w:type="dxa"/>
        </w:tblCellMar>
        <w:tblLook w:val="0000"/>
      </w:tblPr>
      <w:tblGrid>
        <w:gridCol w:w="8460"/>
      </w:tblGrid>
      <w:tr w:rsidTr="00D21E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REQUIRED SKILLS AND KNOWLEDGE</w:t>
            </w:r>
          </w:p>
        </w:tc>
      </w:tr>
      <w:tr w:rsidTr="00D21E4F">
        <w:tblPrEx>
          <w:tblW w:w="0" w:type="auto"/>
          <w:tblLayout w:type="fixed"/>
          <w:tblCellMar>
            <w:left w:w="62" w:type="dxa"/>
            <w:right w:w="62" w:type="dxa"/>
          </w:tblCellMar>
          <w:tblLook w:val="0000"/>
        </w:tblPrEx>
        <w:trPr>
          <w:trHeight w:val="14590"/>
        </w:trPr>
        <w:tc>
          <w:tcPr>
            <w:tcW w:w="84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8)</w:t>
            </w:r>
            <w:r w:rsidRPr="007D1EB6">
              <w:t xml:space="preserve"> This describes the essential skills and knowledge and their level, required for this unit.</w:t>
            </w:r>
          </w:p>
          <w:p w:rsidR="00000000" w:rsidRPr="007D1EB6" w:rsidP="007D1EB6">
            <w:pPr>
              <w:pStyle w:val="BodyText"/>
            </w:pPr>
            <w:r w:rsidRPr="007D1EB6">
              <w:t>Evidence shall show that knowledge has been acquired in testing and commissioning instrumentation systems.</w:t>
            </w:r>
          </w:p>
          <w:p w:rsidR="00000000" w:rsidRPr="007D1EB6" w:rsidP="007D1EB6">
            <w:pPr>
              <w:pStyle w:val="BodyText"/>
            </w:pPr>
            <w:r w:rsidRPr="007D1EB6">
              <w:t>All knowledge and skills</w:t>
            </w:r>
            <w:r w:rsidRPr="007D1EB6">
              <w:t xml:space="preserve"> detailed in this unit should be contextualised to current industry practices and technologies.</w:t>
            </w:r>
          </w:p>
          <w:p w:rsidR="00000000" w:rsidRPr="007D1EB6" w:rsidP="007D1EB6">
            <w:pPr>
              <w:pStyle w:val="BodyText"/>
            </w:pPr>
            <w:r w:rsidRPr="007D1EB6">
              <w:t>The extent of the Essential Knowledge and Associated Skills required follows:</w:t>
            </w:r>
          </w:p>
          <w:p w:rsidR="00000000" w:rsidRPr="007D1EB6" w:rsidP="007D1EB6">
            <w:pPr>
              <w:pStyle w:val="BodyText"/>
            </w:pPr>
            <w:r w:rsidRPr="007D1EB6">
              <w:t>KS01-PM359B  Test and commission instrumentation equipment</w:t>
            </w:r>
          </w:p>
          <w:p w:rsidR="00000000" w:rsidRPr="007D1EB6" w:rsidP="007D1EB6">
            <w:pPr>
              <w:pStyle w:val="BodyText"/>
            </w:pPr>
            <w:r w:rsidRPr="007D1EB6">
              <w:t xml:space="preserve">T1 Evidence shall show </w:t>
            </w:r>
            <w:r w:rsidRPr="007D1EB6">
              <w:t>that knowledge has been acquired for safe working practices of:</w:t>
            </w:r>
          </w:p>
          <w:p w:rsidR="00000000" w:rsidRPr="007D1EB6" w:rsidP="007D1EB6">
            <w:pPr>
              <w:pStyle w:val="ListBullet"/>
            </w:pPr>
            <w:r w:rsidRPr="007D1EB6">
              <w:t>Relevant Environmental, Occupational Health and Safety legislation and  regulations</w:t>
            </w:r>
          </w:p>
          <w:p w:rsidR="00000000" w:rsidRPr="007D1EB6" w:rsidP="007D1EB6">
            <w:pPr>
              <w:pStyle w:val="ListBullet"/>
            </w:pPr>
            <w:r w:rsidRPr="007D1EB6">
              <w:t>Relevant plant and equipment, its location</w:t>
            </w:r>
          </w:p>
          <w:p w:rsidR="00000000" w:rsidRPr="007D1EB6" w:rsidP="007D1EB6">
            <w:pPr>
              <w:pStyle w:val="ListBullet"/>
            </w:pPr>
            <w:r w:rsidRPr="007D1EB6">
              <w:t>Technical drawings and manufacturers manuals</w:t>
            </w:r>
          </w:p>
          <w:p w:rsidR="00000000" w:rsidRPr="007D1EB6" w:rsidP="007D1EB6">
            <w:pPr>
              <w:pStyle w:val="ListBullet"/>
            </w:pPr>
            <w:r w:rsidRPr="007D1EB6">
              <w:t>Introduction to and typical arrangements of power production plant</w:t>
            </w:r>
          </w:p>
          <w:p w:rsidR="00000000" w:rsidRPr="007D1EB6" w:rsidP="007D1EB6">
            <w:pPr>
              <w:pStyle w:val="ListBullet"/>
            </w:pPr>
            <w:r w:rsidRPr="007D1EB6">
              <w:t>Relevant state and territory regulations</w:t>
            </w:r>
          </w:p>
          <w:p w:rsidR="00000000" w:rsidRPr="007D1EB6" w:rsidP="007D1EB6">
            <w:pPr>
              <w:pStyle w:val="ListBullet"/>
            </w:pPr>
            <w:r w:rsidRPr="007D1EB6">
              <w:t>Relevant Australian standards;</w:t>
            </w:r>
          </w:p>
          <w:p w:rsidR="00000000" w:rsidRPr="007D1EB6" w:rsidP="007D1EB6">
            <w:pPr>
              <w:pStyle w:val="ListBullet"/>
            </w:pPr>
            <w:r w:rsidRPr="007D1EB6">
              <w:t>Equipment and material required to perform the work;</w:t>
            </w:r>
          </w:p>
          <w:p w:rsidR="00000000" w:rsidRPr="007D1EB6" w:rsidP="007D1EB6">
            <w:pPr>
              <w:pStyle w:val="ListBullet"/>
            </w:pPr>
            <w:r w:rsidRPr="007D1EB6">
              <w:t>Isolation procedures;</w:t>
            </w:r>
          </w:p>
          <w:p w:rsidR="00000000" w:rsidRPr="007D1EB6" w:rsidP="007D1EB6">
            <w:pPr>
              <w:pStyle w:val="ListBullet"/>
            </w:pPr>
            <w:r w:rsidRPr="007D1EB6">
              <w:t>Operating principles of the equipment;</w:t>
            </w:r>
          </w:p>
          <w:p w:rsidR="00000000" w:rsidRPr="007D1EB6" w:rsidP="007D1EB6">
            <w:pPr>
              <w:pStyle w:val="ListBullet"/>
            </w:pPr>
            <w:r w:rsidRPr="007D1EB6">
              <w:t>Tes</w:t>
            </w:r>
            <w:r w:rsidRPr="007D1EB6">
              <w:t>ting and commissioning procedures and techniques;</w:t>
            </w:r>
          </w:p>
          <w:p w:rsidR="00000000" w:rsidRPr="007D1EB6" w:rsidP="007D1EB6">
            <w:pPr>
              <w:pStyle w:val="ListBullet"/>
            </w:pPr>
            <w:r w:rsidRPr="007D1EB6">
              <w:t>Operational requirements of the equipment;</w:t>
            </w:r>
          </w:p>
          <w:p w:rsidR="00000000" w:rsidRPr="007D1EB6" w:rsidP="007D1EB6">
            <w:pPr>
              <w:pStyle w:val="ListBullet"/>
            </w:pPr>
            <w:r w:rsidRPr="007D1EB6">
              <w:t>Instrumentation principles and practices</w:t>
            </w:r>
          </w:p>
          <w:p w:rsidR="00000000" w:rsidRPr="007D1EB6" w:rsidP="007D1EB6">
            <w:pPr>
              <w:pStyle w:val="ListBullet"/>
            </w:pPr>
            <w:r w:rsidRPr="007D1EB6">
              <w:t>Instrument calibration techniques</w:t>
            </w:r>
          </w:p>
          <w:p w:rsidR="00000000" w:rsidRPr="007D1EB6" w:rsidP="007D1EB6">
            <w:pPr>
              <w:pStyle w:val="ListBullet"/>
            </w:pPr>
            <w:r w:rsidRPr="007D1EB6">
              <w:t>Instrumentation systems;</w:t>
            </w:r>
          </w:p>
          <w:p w:rsidR="00000000" w:rsidRPr="007D1EB6" w:rsidP="007D1EB6">
            <w:pPr>
              <w:pStyle w:val="ListBullet"/>
            </w:pPr>
            <w:r w:rsidRPr="007D1EB6">
              <w:t>Regulatory aspects;</w:t>
            </w:r>
          </w:p>
          <w:p w:rsidR="00000000" w:rsidRPr="007D1EB6" w:rsidP="007D1EB6">
            <w:pPr>
              <w:pStyle w:val="ListBullet"/>
            </w:pPr>
            <w:r w:rsidRPr="007D1EB6">
              <w:t>Electrical fundamentals;</w:t>
            </w:r>
          </w:p>
          <w:p w:rsidR="00000000" w:rsidRPr="007D1EB6" w:rsidP="007D1EB6">
            <w:pPr>
              <w:pStyle w:val="ListBullet"/>
            </w:pPr>
            <w:r w:rsidRPr="007D1EB6">
              <w:t>Test and measureme</w:t>
            </w:r>
            <w:r w:rsidRPr="007D1EB6">
              <w:t xml:space="preserve">nt instruments; </w:t>
            </w:r>
          </w:p>
          <w:p w:rsidR="00000000" w:rsidRPr="007D1EB6" w:rsidP="007D1EB6">
            <w:pPr>
              <w:pStyle w:val="BodyText"/>
            </w:pPr>
            <w:r w:rsidRPr="007D1EB6">
              <w:t>T2 Specific skills needed to achieve the Performance Criteria:</w:t>
            </w:r>
          </w:p>
          <w:p w:rsidR="00000000" w:rsidRPr="007D1EB6" w:rsidP="007D1EB6">
            <w:pPr>
              <w:pStyle w:val="ListBullet"/>
            </w:pPr>
            <w:r w:rsidRPr="007D1EB6">
              <w:t>Apply Relevant Environmental, Occupational Health and Safety legislation and  regulations</w:t>
            </w:r>
          </w:p>
          <w:p w:rsidR="00000000" w:rsidRPr="007D1EB6" w:rsidP="007D1EB6">
            <w:pPr>
              <w:pStyle w:val="ListBullet"/>
            </w:pPr>
            <w:r w:rsidRPr="007D1EB6">
              <w:t>Interpret Technical drawings and manufacturers manuals</w:t>
            </w:r>
          </w:p>
          <w:p w:rsidR="00000000" w:rsidRPr="007D1EB6" w:rsidP="007D1EB6">
            <w:pPr>
              <w:pStyle w:val="ListBullet"/>
            </w:pPr>
            <w:r w:rsidRPr="007D1EB6">
              <w:t>Apply relevant state and terri</w:t>
            </w:r>
            <w:r w:rsidRPr="007D1EB6">
              <w:t>tory regulations</w:t>
            </w:r>
          </w:p>
          <w:p w:rsidR="00000000" w:rsidRPr="007D1EB6" w:rsidP="007D1EB6">
            <w:pPr>
              <w:pStyle w:val="ListBullet"/>
            </w:pPr>
            <w:r w:rsidRPr="007D1EB6">
              <w:t>Apply relevant Australian standards;</w:t>
            </w:r>
          </w:p>
          <w:p w:rsidR="00000000" w:rsidRPr="007D1EB6" w:rsidP="007D1EB6">
            <w:pPr>
              <w:pStyle w:val="ListBullet"/>
            </w:pPr>
            <w:r w:rsidRPr="007D1EB6">
              <w:t>Use tools and relevant equipment;</w:t>
            </w:r>
          </w:p>
          <w:p w:rsidR="00000000" w:rsidRPr="007D1EB6" w:rsidP="007D1EB6">
            <w:pPr>
              <w:pStyle w:val="ListBullet"/>
            </w:pPr>
            <w:r w:rsidRPr="007D1EB6">
              <w:t>Use test and measurement instruments;</w:t>
            </w:r>
          </w:p>
          <w:p w:rsidR="00000000" w:rsidRPr="007D1EB6" w:rsidP="007D1EB6">
            <w:pPr>
              <w:pStyle w:val="ListBullet"/>
            </w:pPr>
            <w:r w:rsidRPr="007D1EB6">
              <w:t>Inspect and test the wiring systems;</w:t>
            </w:r>
          </w:p>
          <w:p w:rsidR="00000000" w:rsidRPr="007D1EB6" w:rsidP="007D1EB6">
            <w:pPr>
              <w:pStyle w:val="ListBullet"/>
            </w:pPr>
            <w:r w:rsidRPr="007D1EB6">
              <w:t>Inspect and test piping and tubing systems;</w:t>
            </w:r>
          </w:p>
          <w:p w:rsidR="00000000" w:rsidRPr="007D1EB6" w:rsidP="007D1EB6">
            <w:pPr>
              <w:pStyle w:val="ListBullet"/>
            </w:pPr>
            <w:r w:rsidRPr="007D1EB6">
              <w:t>Inspect, test and monitor equipment;</w:t>
            </w:r>
          </w:p>
          <w:p w:rsidR="00000000" w:rsidRPr="007D1EB6" w:rsidP="007D1EB6">
            <w:pPr>
              <w:pStyle w:val="ListBullet"/>
            </w:pPr>
            <w:r w:rsidRPr="007D1EB6">
              <w:t>Commission the equipment;</w:t>
            </w:r>
          </w:p>
          <w:p w:rsidR="00000000" w:rsidRPr="007D1EB6" w:rsidP="007D1EB6">
            <w:pPr>
              <w:pStyle w:val="ListBullet"/>
            </w:pPr>
            <w:r w:rsidRPr="007D1EB6">
              <w:t>Instrumentation principles and practices</w:t>
            </w:r>
          </w:p>
          <w:p w:rsidR="00000000" w:rsidRPr="007D1EB6" w:rsidP="007D1EB6">
            <w:pPr>
              <w:pStyle w:val="ListBullet"/>
            </w:pPr>
            <w:r w:rsidRPr="007D1EB6">
              <w:t>Instrument calibration techniques</w:t>
            </w:r>
          </w:p>
          <w:p w:rsidR="00000000" w:rsidRPr="007D1EB6" w:rsidP="007D1EB6">
            <w:pPr>
              <w:pStyle w:val="ListBullet"/>
            </w:pPr>
            <w:r w:rsidRPr="007D1EB6">
              <w:t>Identify and select materials for the job;</w:t>
            </w:r>
          </w:p>
          <w:p w:rsidR="00000000" w:rsidRPr="007D1EB6" w:rsidP="007D1EB6">
            <w:pPr>
              <w:pStyle w:val="ListBullet"/>
            </w:pPr>
            <w:r w:rsidRPr="007D1EB6">
              <w:t>Apply electrical fundamentals</w:t>
            </w:r>
          </w:p>
          <w:p w:rsidR="00000000" w:rsidRPr="007D1EB6" w:rsidP="007D1EB6">
            <w:pPr>
              <w:pStyle w:val="ListBullet"/>
            </w:pPr>
            <w:r w:rsidRPr="007D1EB6">
              <w:t>Carry out work completion details;</w:t>
            </w:r>
          </w:p>
          <w:p w:rsidR="00000000" w:rsidRPr="007D1EB6" w:rsidP="007D1EB6">
            <w:pPr>
              <w:pStyle w:val="ListBullet"/>
            </w:pPr>
            <w:r w:rsidRPr="007D1EB6">
              <w:t>Communicate effectively;</w:t>
            </w:r>
          </w:p>
          <w:p w:rsidR="00000000" w:rsidRPr="007D1EB6" w:rsidP="007D1EB6">
            <w:pPr>
              <w:pStyle w:val="ListBullet"/>
            </w:pPr>
            <w:r w:rsidRPr="007D1EB6">
              <w:t>Apply data analysis te</w:t>
            </w:r>
            <w:r w:rsidRPr="007D1EB6">
              <w:t>chniques and tools.</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10" w:name="O_470085"/>
      <w:bookmarkEnd w:id="10"/>
      <w:r w:rsidRPr="007D1EB6">
        <w:t>Evidence Guide</w:t>
      </w:r>
    </w:p>
    <w:tbl>
      <w:tblPr>
        <w:tblW w:w="0" w:type="auto"/>
        <w:tblLayout w:type="fixed"/>
        <w:tblCellMar>
          <w:left w:w="62" w:type="dxa"/>
          <w:right w:w="62" w:type="dxa"/>
        </w:tblCellMar>
        <w:tblLook w:val="0000"/>
      </w:tblPr>
      <w:tblGrid>
        <w:gridCol w:w="8460"/>
      </w:tblGrid>
      <w:tr w:rsidTr="00D21E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EVIDENCE GUIDE</w:t>
            </w:r>
          </w:p>
        </w:tc>
      </w:tr>
      <w:tr w:rsidTr="00D21E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9)</w:t>
            </w:r>
            <w:r w:rsidRPr="007D1EB6">
              <w:t xml:space="preserve"> This provides essential advice for assessment of the competency standard unit and must be read </w:t>
            </w:r>
            <w:r w:rsidRPr="007D1EB6">
              <w:t>in conjunction with the Performance Criteria and the range statement of the competency standard unit and the Training Package Assessment Guidelines.</w:t>
            </w:r>
          </w:p>
          <w:p w:rsidR="00000000" w:rsidRPr="007D1EB6" w:rsidP="007D1EB6">
            <w:pPr>
              <w:pStyle w:val="BodyText"/>
            </w:pPr>
            <w:r w:rsidRPr="007D1EB6">
              <w:t>The Evidence Guide forms an integral part of this unit and shall be used in conjunction with all components</w:t>
            </w:r>
            <w:r w:rsidRPr="007D1EB6">
              <w:t xml:space="preserve"> parts of this unit and, performed in accordance with the Assessment Guidelines of this Training Package.</w:t>
            </w:r>
          </w:p>
        </w:tc>
      </w:tr>
    </w:tbl>
    <w:p w:rsidR="00000000" w:rsidRPr="007D1EB6" w:rsidP="007D1EB6">
      <w:pPr>
        <w:pStyle w:val="BodyText"/>
      </w:pPr>
    </w:p>
    <w:tbl>
      <w:tblPr>
        <w:tblW w:w="0" w:type="auto"/>
        <w:tblLayout w:type="fixed"/>
        <w:tblCellMar>
          <w:left w:w="62" w:type="dxa"/>
          <w:right w:w="62" w:type="dxa"/>
        </w:tblCellMar>
        <w:tblLook w:val="0000"/>
      </w:tblPr>
      <w:tblGrid>
        <w:gridCol w:w="1890"/>
        <w:gridCol w:w="6570"/>
      </w:tblGrid>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9.1)</w:t>
            </w:r>
          </w:p>
        </w:tc>
      </w:tr>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Longitude competency development approaches to assessment, such as Profiling, require data to be reliably gathered in a form that can be consistently interpreted over time. This approach is best utilised in Apprenticeship programs and reduces assessment in</w:t>
            </w:r>
            <w:r w:rsidRPr="007D1EB6">
              <w:t>tervention. It is the Industry preferred model for apprenticeships. However, where summative (or final) assessment is used it is to include the application of the competency in the normal work environment or in a realistically simulated work environment. I</w:t>
            </w:r>
            <w:r w:rsidRPr="007D1EB6">
              <w:t>t is recognised that, in some circumstances, assessment in part or full can occur outside the workplace, however, it must be in accord with Industry and regulatory policy.</w:t>
            </w:r>
          </w:p>
          <w:p w:rsidR="00000000" w:rsidRPr="007D1EB6" w:rsidP="007D1EB6">
            <w:pPr>
              <w:pStyle w:val="BodyText"/>
            </w:pPr>
            <w:r w:rsidRPr="007D1EB6">
              <w:t>Methods chosen for a particular assessment will be influenced by various factors. Th</w:t>
            </w:r>
            <w:r w:rsidRPr="007D1EB6">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D1EB6" w:rsidP="007D1EB6">
            <w:pPr>
              <w:pStyle w:val="BodyText"/>
            </w:pPr>
            <w:r w:rsidRPr="007D1EB6">
              <w:t>Th</w:t>
            </w:r>
            <w:r w:rsidRPr="007D1EB6">
              <w:t>e critical safety nature of working with electricity, electrical equipment, gas or any other hazardous substance/material carries risk in deeming a person competent. Hence, sources of evidence need to be ‘rich’ in nature so as to minimise error in judgment</w:t>
            </w:r>
            <w:r w:rsidRPr="007D1EB6">
              <w:t>.</w:t>
            </w:r>
          </w:p>
          <w:p w:rsidR="00000000" w:rsidRPr="007D1EB6" w:rsidP="007D1EB6">
            <w:pPr>
              <w:pStyle w:val="BodyText"/>
            </w:pPr>
            <w:r w:rsidRPr="007D1EB6">
              <w:t>Activities associated with normal every day work have a bearing on the decision as to how much and how detailed the data gathered will contribute to its ‘richness’. Some skills are more critical to safety and operational requirements while the same skill</w:t>
            </w:r>
            <w:r w:rsidRPr="007D1EB6">
              <w:t>s may be more or less frequently practised. These points are raised for the assessors to consider when choosing an assessment method and developing assessment instruments. Sample assessment instruments are included in the Assessment Guidelines of this Trai</w:t>
            </w:r>
            <w:r w:rsidRPr="007D1EB6">
              <w:t>ning Package.</w:t>
            </w:r>
          </w:p>
        </w:tc>
      </w:tr>
    </w:tbl>
    <w:p w:rsidR="00000000" w:rsidRPr="007D1EB6" w:rsidP="007D1EB6">
      <w:pPr>
        <w:pStyle w:val="BodyText"/>
      </w:pPr>
    </w:p>
    <w:tbl>
      <w:tblPr>
        <w:tblW w:w="0" w:type="auto"/>
        <w:tblLayout w:type="fixed"/>
        <w:tblCellMar>
          <w:left w:w="62" w:type="dxa"/>
          <w:right w:w="62" w:type="dxa"/>
        </w:tblCellMar>
        <w:tblLook w:val="0000"/>
      </w:tblPr>
      <w:tblGrid>
        <w:gridCol w:w="1890"/>
        <w:gridCol w:w="6570"/>
      </w:tblGrid>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9.2)</w:t>
            </w:r>
          </w:p>
        </w:tc>
      </w:tr>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Before the critical aspects of evidence are considered all pre-requisites shall be met.</w:t>
            </w:r>
          </w:p>
          <w:p w:rsidR="00000000" w:rsidRPr="007D1EB6" w:rsidP="007D1EB6">
            <w:pPr>
              <w:pStyle w:val="BodyText"/>
            </w:pPr>
            <w:r w:rsidRPr="007D1EB6">
              <w:t>Evidence for competence in this unit shall be considered holisticall</w:t>
            </w:r>
            <w:r w:rsidRPr="007D1EB6">
              <w:t>y.  Each element and associated Performance Criteria shall be demonstrated on at least two occasions in accordance with the “Assessment Guidelines – UEP12”.  Evidence shall also comprise:</w:t>
            </w:r>
          </w:p>
          <w:p w:rsidR="00000000" w:rsidRPr="007D1EB6" w:rsidP="007D1EB6">
            <w:pPr>
              <w:pStyle w:val="ListBullet"/>
            </w:pPr>
            <w:r w:rsidRPr="007D1EB6">
              <w:t>A representative body of work performance demonstrated within the t</w:t>
            </w:r>
            <w:r w:rsidRPr="007D1EB6">
              <w:t>imeframes typically expected of the discipline, work function and industrial environment. In particular this shall incorporate evidence that shows a candidate is able to:</w:t>
            </w:r>
          </w:p>
          <w:p w:rsidR="00000000" w:rsidRPr="007D1EB6" w:rsidP="007D1EB6">
            <w:pPr>
              <w:pStyle w:val="ListBullet2"/>
            </w:pPr>
            <w:r w:rsidRPr="007D1EB6">
              <w:t>Implement Occupational Health and Safety workplace procedures and practices including the use of risk control measures as specified in the Performance Criteria and Range Statement</w:t>
            </w:r>
          </w:p>
          <w:p w:rsidR="00000000" w:rsidRPr="007D1EB6" w:rsidP="007D1EB6">
            <w:pPr>
              <w:pStyle w:val="ListBullet2"/>
            </w:pPr>
            <w:r w:rsidRPr="007D1EB6">
              <w:t>Apply sustainable energy principles and practices as specified in the Perfor</w:t>
            </w:r>
            <w:r w:rsidRPr="007D1EB6">
              <w:t>mance Criteria and Range Statement</w:t>
            </w:r>
          </w:p>
          <w:p w:rsidR="00000000" w:rsidRPr="007D1EB6" w:rsidP="007D1EB6">
            <w:pPr>
              <w:pStyle w:val="ListBullet2"/>
            </w:pPr>
            <w:r w:rsidRPr="007D1EB6">
              <w:t>Demonstrate an understanding of the essential knowledge and associated skills as described in 6) Essential Knowledge and Associated Skills of this unit</w:t>
            </w:r>
          </w:p>
          <w:p w:rsidR="00000000" w:rsidRPr="007D1EB6" w:rsidP="007D1EB6">
            <w:pPr>
              <w:pStyle w:val="ListBullet2"/>
            </w:pPr>
            <w:r w:rsidRPr="007D1EB6">
              <w:t>Demonstrate an appropriate level of employability skills</w:t>
            </w:r>
          </w:p>
          <w:p w:rsidR="00000000" w:rsidRPr="007D1EB6" w:rsidP="007D1EB6">
            <w:pPr>
              <w:pStyle w:val="ListBullet2"/>
            </w:pPr>
            <w:r w:rsidRPr="007D1EB6">
              <w:t>Conduct work</w:t>
            </w:r>
            <w:r w:rsidRPr="007D1EB6">
              <w:t xml:space="preserve"> observing the relevant Anti Discrimination legislation, regulations, polices and workplace procedures</w:t>
            </w:r>
          </w:p>
          <w:p w:rsidR="00000000" w:rsidRPr="007D1EB6" w:rsidP="007D1EB6">
            <w:pPr>
              <w:pStyle w:val="ListBullet"/>
            </w:pPr>
            <w:r w:rsidRPr="007D1EB6">
              <w:t>Demonstrated performance across a representative range of contexts from the prescribed items below:</w:t>
            </w:r>
          </w:p>
          <w:p w:rsidR="00000000" w:rsidRPr="007D1EB6" w:rsidP="007D1EB6">
            <w:pPr>
              <w:pStyle w:val="ListBullet2"/>
            </w:pPr>
            <w:r w:rsidRPr="007D1EB6">
              <w:t xml:space="preserve">The knowledge and application of relevant sections </w:t>
            </w:r>
            <w:r w:rsidRPr="007D1EB6">
              <w:t>of: Occupational Health and Safety legislation; Statutory legislation; Enterprise/site safety procedures; Enterprise/site emergency procedures</w:t>
            </w:r>
          </w:p>
          <w:p w:rsidR="00000000" w:rsidRPr="007D1EB6" w:rsidP="007D1EB6">
            <w:pPr>
              <w:pStyle w:val="ListBullet2"/>
            </w:pPr>
            <w:r w:rsidRPr="007D1EB6">
              <w:t>Preparation and planning of work</w:t>
            </w:r>
          </w:p>
          <w:p w:rsidR="00000000" w:rsidRPr="007D1EB6" w:rsidP="007D1EB6">
            <w:pPr>
              <w:pStyle w:val="ListBullet2"/>
            </w:pPr>
            <w:r w:rsidRPr="007D1EB6">
              <w:t>Testing techniques</w:t>
            </w:r>
          </w:p>
          <w:p w:rsidR="00000000" w:rsidRPr="007D1EB6" w:rsidP="007D1EB6">
            <w:pPr>
              <w:pStyle w:val="ListBullet2"/>
            </w:pPr>
            <w:r w:rsidRPr="007D1EB6">
              <w:t>Commissioning techniques and procedures</w:t>
            </w:r>
          </w:p>
          <w:p w:rsidR="00000000" w:rsidRPr="007D1EB6" w:rsidP="007D1EB6">
            <w:pPr>
              <w:pStyle w:val="ListBullet2"/>
            </w:pPr>
            <w:r w:rsidRPr="007D1EB6">
              <w:t>Completion of work pr</w:t>
            </w:r>
            <w:r w:rsidRPr="007D1EB6">
              <w:t>ocedures</w:t>
            </w:r>
          </w:p>
          <w:p w:rsidR="00000000" w:rsidRPr="007D1EB6" w:rsidP="007D1EB6">
            <w:pPr>
              <w:pStyle w:val="ListBullet2"/>
            </w:pPr>
            <w:r w:rsidRPr="007D1EB6">
              <w:t>Dealing with an unplanned event by drawing on essential knowledge and skills to provide appropriate solutions incorporated in the holistic assessment with the above listed items</w:t>
            </w:r>
          </w:p>
        </w:tc>
      </w:tr>
    </w:tbl>
    <w:p w:rsidR="00000000" w:rsidRPr="007D1EB6" w:rsidP="007D1EB6">
      <w:pPr>
        <w:pStyle w:val="BodyText"/>
      </w:pPr>
    </w:p>
    <w:tbl>
      <w:tblPr>
        <w:tblW w:w="0" w:type="auto"/>
        <w:tblLayout w:type="fixed"/>
        <w:tblCellMar>
          <w:left w:w="62" w:type="dxa"/>
          <w:right w:w="62" w:type="dxa"/>
        </w:tblCellMar>
        <w:tblLook w:val="0000"/>
      </w:tblPr>
      <w:tblGrid>
        <w:gridCol w:w="1890"/>
        <w:gridCol w:w="6570"/>
      </w:tblGrid>
      <w:tr w:rsidTr="00D21E4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9.3)</w:t>
            </w:r>
          </w:p>
        </w:tc>
      </w:tr>
      <w:tr w:rsidTr="00D21E4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This unit should be assessed as it relates to normal work practice using procedures, information and resources typical of a workplace. This should include:</w:t>
            </w:r>
          </w:p>
          <w:p w:rsidR="00000000" w:rsidRPr="007D1EB6" w:rsidP="007D1EB6">
            <w:pPr>
              <w:pStyle w:val="ListBullet"/>
            </w:pPr>
            <w:r w:rsidRPr="007D1EB6">
              <w:t>OHS policy and work procedures and instructions.</w:t>
            </w:r>
          </w:p>
          <w:p w:rsidR="00000000" w:rsidRPr="007D1EB6" w:rsidP="007D1EB6">
            <w:pPr>
              <w:pStyle w:val="ListBullet"/>
            </w:pPr>
            <w:r w:rsidRPr="007D1EB6">
              <w:t>Suitable work environment, facilities, equipment a</w:t>
            </w:r>
            <w:r w:rsidRPr="007D1EB6">
              <w:t>nd materials to undertake actual work as prescribed by this unit.</w:t>
            </w:r>
          </w:p>
          <w:p w:rsidR="00000000" w:rsidRPr="007D1EB6" w:rsidP="007D1EB6">
            <w:pPr>
              <w:pStyle w:val="BodyText"/>
            </w:pPr>
            <w:r w:rsidRPr="007D1EB6">
              <w:t>Competency Standards should be assessed in the workplace or simulated workplace and under the normal range of workplace conditions.</w:t>
            </w:r>
          </w:p>
          <w:p w:rsidR="00000000" w:rsidRPr="007D1EB6" w:rsidP="007D1EB6">
            <w:pPr>
              <w:pStyle w:val="BodyText"/>
            </w:pPr>
            <w:r w:rsidRPr="007D1EB6">
              <w:t xml:space="preserve">Assessment of this unit </w:t>
            </w:r>
            <w:r w:rsidRPr="007D1EB6">
              <w:t>will be supported with documentary evidence, by means of endorsement stating type and application of work.</w:t>
            </w:r>
          </w:p>
          <w:p w:rsidR="00000000" w:rsidRPr="007D1EB6" w:rsidP="007D1EB6">
            <w:pPr>
              <w:pStyle w:val="BodyText"/>
            </w:pPr>
            <w:r w:rsidRPr="007D1EB6">
              <w:t>In addition to the resources listed above in Context of assessment’, evidence should show competency working, in limited spaces, with different types</w:t>
            </w:r>
            <w:r w:rsidRPr="007D1EB6">
              <w:t xml:space="preserve"> of plant and equipment as well as different structural/construction types and method and in a variety of environments.</w:t>
            </w:r>
          </w:p>
        </w:tc>
      </w:tr>
    </w:tbl>
    <w:p w:rsidR="00000000" w:rsidRPr="007D1EB6" w:rsidP="007D1EB6">
      <w:pPr>
        <w:pStyle w:val="BodyText"/>
      </w:pPr>
    </w:p>
    <w:tbl>
      <w:tblPr>
        <w:tblW w:w="0" w:type="auto"/>
        <w:tblLayout w:type="fixed"/>
        <w:tblCellMar>
          <w:left w:w="62" w:type="dxa"/>
          <w:right w:w="62" w:type="dxa"/>
        </w:tblCellMar>
        <w:tblLook w:val="0000"/>
      </w:tblPr>
      <w:tblGrid>
        <w:gridCol w:w="1890"/>
        <w:gridCol w:w="6570"/>
      </w:tblGrid>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9.4)</w:t>
            </w:r>
          </w:p>
        </w:tc>
      </w:tr>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This unit shall be assessed by methods given in Section 1.3.00 Assessment Guidelines.</w:t>
            </w:r>
          </w:p>
          <w:p w:rsidR="00000000" w:rsidRPr="007D1EB6" w:rsidP="007D1EB6">
            <w:pPr>
              <w:pStyle w:val="BodyText"/>
            </w:pPr>
            <w:r w:rsidRPr="007D1EB6">
              <w:t>Note:</w:t>
            </w:r>
          </w:p>
          <w:p w:rsidR="00000000" w:rsidRPr="007D1EB6" w:rsidP="007D1EB6">
            <w:pPr>
              <w:pStyle w:val="BodyText"/>
            </w:pPr>
            <w:r w:rsidRPr="007D1EB6">
              <w:t>Competent performance with inherent safe working practices is expected in the Industry to which this unit applies. This requires that the specified essential knowledge and associated skills are assessed in a structured environment which is primarily intend</w:t>
            </w:r>
            <w:r w:rsidRPr="007D1EB6">
              <w:t>ed for learning/assessment and incorporates all necessary equipment and facilities for learners to develop and demonstrate the essential knowledge and skills described in this unit.</w:t>
            </w:r>
          </w:p>
        </w:tc>
      </w:tr>
    </w:tbl>
    <w:p w:rsidR="00000000" w:rsidRPr="007D1EB6" w:rsidP="007D1EB6">
      <w:pPr>
        <w:pStyle w:val="BodyText"/>
      </w:pPr>
    </w:p>
    <w:tbl>
      <w:tblPr>
        <w:tblW w:w="0" w:type="auto"/>
        <w:tblLayout w:type="fixed"/>
        <w:tblCellMar>
          <w:left w:w="62" w:type="dxa"/>
          <w:right w:w="62" w:type="dxa"/>
        </w:tblCellMar>
        <w:tblLook w:val="0000"/>
      </w:tblPr>
      <w:tblGrid>
        <w:gridCol w:w="1890"/>
        <w:gridCol w:w="6570"/>
      </w:tblGrid>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9.5)</w:t>
            </w:r>
          </w:p>
        </w:tc>
      </w:tr>
      <w:tr w:rsidTr="00D21E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There are</w:t>
            </w:r>
            <w:r w:rsidRPr="007D1EB6">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7D1EB6" w:rsidP="007D1EB6">
            <w:pPr>
              <w:pStyle w:val="BodyText"/>
            </w:pPr>
            <w:r w:rsidRPr="007D1EB6">
              <w:t>Nil</w:t>
            </w:r>
            <w:r w:rsidRPr="007D1EB6">
              <w:tab/>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11" w:name="O_470089"/>
      <w:bookmarkEnd w:id="11"/>
      <w:r w:rsidRPr="007D1EB6">
        <w:t xml:space="preserve">Range </w:t>
      </w:r>
      <w:r w:rsidRPr="007D1EB6">
        <w:t>Statement</w:t>
      </w:r>
    </w:p>
    <w:tbl>
      <w:tblPr>
        <w:tblW w:w="0" w:type="auto"/>
        <w:tblLayout w:type="fixed"/>
        <w:tblCellMar>
          <w:left w:w="62" w:type="dxa"/>
          <w:right w:w="62" w:type="dxa"/>
        </w:tblCellMar>
        <w:tblLook w:val="0000"/>
      </w:tblPr>
      <w:tblGrid>
        <w:gridCol w:w="8460"/>
      </w:tblGrid>
      <w:tr w:rsidTr="00D21E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RANGE STATEMENT</w:t>
            </w:r>
          </w:p>
        </w:tc>
      </w:tr>
      <w:tr w:rsidTr="00D21E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10)</w:t>
            </w:r>
            <w:r w:rsidRPr="007D1EB6">
              <w:t xml:space="preserve"> This relates to the competency standard unit as a whole providing the range of contexts and conditions to which the Performance Criteria apply. It allows f</w:t>
            </w:r>
            <w:r w:rsidRPr="007D1EB6">
              <w:t>or different work environments and situations that will affect performance.</w:t>
            </w:r>
          </w:p>
          <w:p w:rsidR="00000000" w:rsidRPr="007D1EB6" w:rsidP="007D1EB6">
            <w:pPr>
              <w:pStyle w:val="BodyText"/>
            </w:pPr>
            <w:r w:rsidRPr="007D1EB6">
              <w:t>Inspection should be planned with the appropriate parties to determine access, conditions and work requirements.</w:t>
            </w:r>
          </w:p>
          <w:p w:rsidR="00000000" w:rsidRPr="007D1EB6" w:rsidP="007D1EB6">
            <w:pPr>
              <w:pStyle w:val="BodyText"/>
            </w:pPr>
            <w:r w:rsidRPr="007D1EB6">
              <w:t>Equipment may include gauges, transmitters, switches, thermocouples</w:t>
            </w:r>
            <w:r w:rsidRPr="007D1EB6">
              <w:t>, RTD’s, thermostats, indicators, meters, proximity probes, indication slide wires, control valves, valve positioners, lock up valves, power cylinders, power cylinder positioners, I/P and E/P converters, air relays, pressure regulators, solenoid valves, an</w:t>
            </w:r>
            <w:r w:rsidRPr="007D1EB6">
              <w:t>alogue indicators, fire detectors, smoke detectors, vibration detectors, gas detectors and fuel valves.</w:t>
            </w:r>
          </w:p>
          <w:p w:rsidR="00000000" w:rsidRPr="007D1EB6" w:rsidP="007D1EB6">
            <w:pPr>
              <w:pStyle w:val="BodyText"/>
            </w:pPr>
            <w:r w:rsidRPr="007D1EB6">
              <w:t>Materials may include lubricants, cleaning solvents, gasket materials, leak test solution, connectors and fittings.</w:t>
            </w:r>
          </w:p>
          <w:p w:rsidR="00000000" w:rsidRPr="007D1EB6" w:rsidP="007D1EB6">
            <w:pPr>
              <w:pStyle w:val="BodyText"/>
            </w:pPr>
            <w:r w:rsidRPr="007D1EB6">
              <w:t>Components may include hair springs,</w:t>
            </w:r>
            <w:r w:rsidRPr="007D1EB6">
              <w:t xml:space="preserve"> gauge movements, pneumatic restrictors, air relays, microswitches, flapper/nozzles, diaphragms, springs, bellows, gaskets, shuttle valves, pilot valves, amplifier modules, coils and plug in printed circuit boards.</w:t>
            </w:r>
          </w:p>
          <w:p w:rsidR="00000000" w:rsidRPr="007D1EB6" w:rsidP="007D1EB6">
            <w:pPr>
              <w:pStyle w:val="BodyText"/>
            </w:pPr>
            <w:r w:rsidRPr="007D1EB6">
              <w:t>Test and measurement instruments may incl</w:t>
            </w:r>
            <w:r w:rsidRPr="007D1EB6">
              <w:t>ude dead weight tester, pneumatic calibrator, vacuum pump gauge, manometer, precision pressure gauge, hand-held pressure pump, comparator, temperature baths, oven, multimeter, variable power supply, d.c. I/V standard, potentiometer and decade box.</w:t>
            </w:r>
          </w:p>
          <w:p w:rsidR="00000000" w:rsidRPr="007D1EB6" w:rsidP="007D1EB6">
            <w:pPr>
              <w:pStyle w:val="BodyText"/>
            </w:pPr>
            <w:r w:rsidRPr="007D1EB6">
              <w:t>Fault fi</w:t>
            </w:r>
            <w:r w:rsidRPr="007D1EB6">
              <w:t>nding and diagnostic techniques may include linear approach, half split rule, sensory detection, insulation/resistance and continuity tests.</w:t>
            </w:r>
          </w:p>
          <w:p w:rsidR="00000000" w:rsidRPr="007D1EB6" w:rsidP="007D1EB6">
            <w:pPr>
              <w:pStyle w:val="BodyText"/>
            </w:pPr>
            <w:r w:rsidRPr="007D1EB6">
              <w:t>Fault indicators may include indication lamps, LEDs, alarms and flag relays</w:t>
            </w:r>
          </w:p>
          <w:p w:rsidR="00000000" w:rsidRPr="007D1EB6" w:rsidP="007D1EB6">
            <w:pPr>
              <w:pStyle w:val="BodyText"/>
            </w:pPr>
            <w:r w:rsidRPr="007D1EB6">
              <w:t>Fixed wiring tests can refer to polarit</w:t>
            </w:r>
            <w:r w:rsidRPr="007D1EB6">
              <w:t>y, loop impedance and continuity.</w:t>
            </w:r>
          </w:p>
          <w:p w:rsidR="00000000" w:rsidRPr="007D1EB6" w:rsidP="007D1EB6">
            <w:pPr>
              <w:pStyle w:val="BodyText"/>
            </w:pPr>
            <w:r w:rsidRPr="007D1EB6">
              <w:t>Fixed piping and tubing tests can refer to leak and continuity.</w:t>
            </w:r>
          </w:p>
          <w:p w:rsidR="00000000" w:rsidRPr="007D1EB6" w:rsidP="007D1EB6">
            <w:pPr>
              <w:pStyle w:val="BodyText"/>
            </w:pPr>
            <w:r w:rsidRPr="007D1EB6">
              <w:t>Monitoring equipment can refer to test recorder/data logger.</w:t>
            </w:r>
          </w:p>
          <w:p w:rsidR="00000000" w:rsidRPr="007D1EB6" w:rsidP="007D1EB6">
            <w:pPr>
              <w:pStyle w:val="BodyText"/>
            </w:pPr>
            <w:r w:rsidRPr="007D1EB6">
              <w:t>Work may be performed with equipment on-line.</w:t>
            </w:r>
          </w:p>
          <w:p w:rsidR="00000000" w:rsidRPr="007D1EB6" w:rsidP="007D1EB6">
            <w:pPr>
              <w:pStyle w:val="BodyText"/>
            </w:pPr>
            <w:r w:rsidRPr="007D1EB6">
              <w:t>Work completion details may include plant and maint</w:t>
            </w:r>
            <w:r w:rsidRPr="007D1EB6">
              <w:t>enance records, job cards, check sheets and on device labelling updates.</w:t>
            </w:r>
          </w:p>
          <w:p w:rsidR="00000000" w:rsidRPr="007D1EB6" w:rsidP="007D1EB6">
            <w:pPr>
              <w:pStyle w:val="BodyText"/>
            </w:pPr>
            <w:r w:rsidRPr="007D1EB6">
              <w:t>Work site environment may be affected by nearby plant or processes, e.g. heat, noise, dust, oil, water and chemical.</w:t>
            </w:r>
          </w:p>
          <w:p w:rsidR="00000000" w:rsidRPr="007D1EB6" w:rsidP="007D1EB6">
            <w:pPr>
              <w:pStyle w:val="BodyText"/>
            </w:pPr>
            <w:r w:rsidRPr="007D1EB6">
              <w:t xml:space="preserve">Isolations can refer to electrical/mechanical or other associated </w:t>
            </w:r>
            <w:r w:rsidRPr="007D1EB6">
              <w:t>processes.</w:t>
            </w:r>
          </w:p>
          <w:p w:rsidR="00000000" w:rsidRPr="007D1EB6" w:rsidP="007D1EB6">
            <w:pPr>
              <w:pStyle w:val="BodyText"/>
            </w:pPr>
            <w:r w:rsidRPr="007D1EB6">
              <w:t>Generic terms are used throughout this Training Package for vocational standard shall be regarded as part of the Range Statement in which competency is demonstrated. The definition of these and other terms are given in Section 2.1.00 Preliminary</w:t>
            </w:r>
            <w:r w:rsidRPr="007D1EB6">
              <w:t xml:space="preserve"> Information and Glossaries.</w:t>
            </w:r>
          </w:p>
        </w:tc>
      </w:tr>
    </w:tbl>
    <w:p w:rsidR="00000000" w:rsidRPr="007D1EB6" w:rsidP="007D1EB6">
      <w:pPr>
        <w:pStyle w:val="BodyText"/>
      </w:pPr>
    </w:p>
    <w:p w:rsidR="00000000" w:rsidRPr="007D1EB6" w:rsidP="007D1EB6">
      <w:pPr>
        <w:pStyle w:val="AllowPageBreak"/>
      </w:pPr>
    </w:p>
    <w:p w:rsidR="00000000" w:rsidRPr="007D1EB6" w:rsidP="007D1EB6">
      <w:pPr>
        <w:pStyle w:val="Heading1"/>
      </w:pPr>
      <w:bookmarkStart w:id="12" w:name="O_470092"/>
      <w:bookmarkEnd w:id="12"/>
      <w:r w:rsidRPr="007D1EB6">
        <w:t>Unit Sector(s)</w:t>
      </w:r>
    </w:p>
    <w:p w:rsidR="00000000" w:rsidRPr="007D1EB6" w:rsidP="007D1EB6">
      <w:pPr>
        <w:pStyle w:val="BodyText"/>
      </w:pPr>
      <w:r w:rsidRPr="007D1EB6">
        <w:t>Not applicable.</w:t>
      </w:r>
    </w:p>
    <w:p w:rsidR="00000000" w:rsidRPr="007D1EB6" w:rsidP="007D1EB6">
      <w:pPr>
        <w:pStyle w:val="AllowPageBreak"/>
      </w:pPr>
    </w:p>
    <w:p w:rsidR="00000000" w:rsidRPr="007D1EB6" w:rsidP="007D1EB6">
      <w:pPr>
        <w:pStyle w:val="Heading1"/>
      </w:pPr>
      <w:bookmarkStart w:id="13" w:name="O_470081"/>
      <w:bookmarkEnd w:id="13"/>
      <w:r w:rsidRPr="007D1EB6">
        <w:t>Competency Field</w:t>
      </w:r>
    </w:p>
    <w:tbl>
      <w:tblPr>
        <w:tblW w:w="0" w:type="auto"/>
        <w:tblLayout w:type="fixed"/>
        <w:tblCellMar>
          <w:left w:w="62" w:type="dxa"/>
          <w:right w:w="62" w:type="dxa"/>
        </w:tblCellMar>
        <w:tblLook w:val="0000"/>
      </w:tblPr>
      <w:tblGrid>
        <w:gridCol w:w="2700"/>
        <w:gridCol w:w="5760"/>
      </w:tblGrid>
      <w:tr w:rsidTr="00D21E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D1EB6">
            <w:pPr>
              <w:pStyle w:val="BodyText"/>
              <w:rPr>
                <w:lang w:val="en-NZ"/>
              </w:rPr>
            </w:pPr>
            <w:r w:rsidRPr="007D1EB6">
              <w:rPr>
                <w:rStyle w:val="SpecialBold"/>
              </w:rPr>
              <w:t xml:space="preserve">11) </w:t>
            </w:r>
          </w:p>
        </w:tc>
      </w:tr>
      <w:tr w:rsidTr="00D21E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1EB6" w:rsidP="007D1EB6">
            <w:pPr>
              <w:pStyle w:val="BodyText"/>
            </w:pPr>
            <w:r w:rsidRPr="007D1EB6">
              <w:t>Maintenance</w:t>
            </w:r>
          </w:p>
        </w:tc>
      </w:tr>
    </w:tbl>
    <w:p w:rsidR="00000000" w:rsidRPr="007D1EB6" w:rsidP="007D1EB6">
      <w:pPr>
        <w:pStyle w:val="BodyText"/>
      </w:pPr>
    </w:p>
    <w:p w:rsidR="00000000" w:rsidRPr="007D1EB6" w:rsidP="007D1EB6"/>
    <w:sectPr w:rsidSect="007D1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E4F" w:rsidP="00D21E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4F" w:rsidP="007D1E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1E4F" w:rsidP="007D1E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21E4F" w:rsidP="007D1E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B6" w:rsidRPr="00D21E4F" w:rsidP="00D21E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4F" w:rsidRPr="002D2AF8" w:rsidP="007D1EB6">
    <w:pPr>
      <w:pStyle w:val="Header"/>
      <w:framePr w:wrap="around"/>
    </w:pPr>
    <w:r>
      <w:fldChar w:fldCharType="begin"/>
    </w:r>
    <w:r>
      <w:instrText xml:space="preserve"> TITLE   \* MERGEFORMAT </w:instrText>
    </w:r>
    <w:r>
      <w:fldChar w:fldCharType="separate"/>
    </w:r>
    <w:r>
      <w:t>UEPMNT359B Test and commission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21E4F" w:rsidP="007D1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6C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A8B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6E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EB6"/>
    <w:pPr>
      <w:spacing w:before="360" w:after="60"/>
      <w:outlineLvl w:val="0"/>
    </w:pPr>
    <w:rPr>
      <w:sz w:val="32"/>
    </w:rPr>
  </w:style>
  <w:style w:type="paragraph" w:styleId="Heading2">
    <w:name w:val="heading 2"/>
    <w:basedOn w:val="HeadingBase"/>
    <w:next w:val="BodyText"/>
    <w:link w:val="Heading2Char"/>
    <w:qFormat/>
    <w:rsid w:val="007D1EB6"/>
    <w:pPr>
      <w:keepLines/>
      <w:spacing w:before="240" w:after="120"/>
      <w:outlineLvl w:val="1"/>
    </w:pPr>
    <w:rPr>
      <w:sz w:val="28"/>
      <w:szCs w:val="40"/>
    </w:rPr>
  </w:style>
  <w:style w:type="paragraph" w:styleId="Heading3">
    <w:name w:val="heading 3"/>
    <w:basedOn w:val="HeadingBase"/>
    <w:next w:val="BodyText"/>
    <w:link w:val="Heading3Char"/>
    <w:qFormat/>
    <w:rsid w:val="007D1EB6"/>
    <w:pPr>
      <w:spacing w:before="180" w:after="120"/>
      <w:outlineLvl w:val="2"/>
    </w:pPr>
    <w:rPr>
      <w:spacing w:val="-10"/>
      <w:kern w:val="32"/>
    </w:rPr>
  </w:style>
  <w:style w:type="paragraph" w:styleId="Heading4">
    <w:name w:val="heading 4"/>
    <w:basedOn w:val="HeadingBase"/>
    <w:next w:val="BodyText"/>
    <w:link w:val="Heading4Char"/>
    <w:qFormat/>
    <w:rsid w:val="007D1EB6"/>
    <w:pPr>
      <w:spacing w:before="160" w:after="120"/>
      <w:outlineLvl w:val="3"/>
    </w:pPr>
    <w:rPr>
      <w:sz w:val="22"/>
    </w:rPr>
  </w:style>
  <w:style w:type="paragraph" w:styleId="Heading5">
    <w:name w:val="heading 5"/>
    <w:basedOn w:val="HeadingBase"/>
    <w:next w:val="Normal"/>
    <w:link w:val="Heading5Char"/>
    <w:qFormat/>
    <w:rsid w:val="007D1EB6"/>
    <w:pPr>
      <w:spacing w:before="80"/>
      <w:outlineLvl w:val="4"/>
    </w:pPr>
    <w:rPr>
      <w:color w:val="918585"/>
      <w:sz w:val="20"/>
    </w:rPr>
  </w:style>
  <w:style w:type="paragraph" w:styleId="Heading6">
    <w:name w:val="heading 6"/>
    <w:basedOn w:val="HeadingBase"/>
    <w:next w:val="Normal"/>
    <w:link w:val="Heading6Char"/>
    <w:qFormat/>
    <w:rsid w:val="007D1EB6"/>
    <w:pPr>
      <w:spacing w:before="60"/>
      <w:outlineLvl w:val="5"/>
    </w:pPr>
    <w:rPr>
      <w:color w:val="918585"/>
      <w:sz w:val="20"/>
    </w:rPr>
  </w:style>
  <w:style w:type="paragraph" w:styleId="Heading7">
    <w:name w:val="heading 7"/>
    <w:basedOn w:val="Normal"/>
    <w:next w:val="Normal"/>
    <w:link w:val="Heading7Char"/>
    <w:qFormat/>
    <w:rsid w:val="007D1EB6"/>
    <w:pPr>
      <w:ind w:left="720"/>
      <w:outlineLvl w:val="6"/>
    </w:pPr>
    <w:rPr>
      <w:i/>
    </w:rPr>
  </w:style>
  <w:style w:type="paragraph" w:styleId="Heading8">
    <w:name w:val="heading 8"/>
    <w:basedOn w:val="Normal"/>
    <w:next w:val="Normal"/>
    <w:link w:val="Heading8Char"/>
    <w:qFormat/>
    <w:rsid w:val="007D1EB6"/>
    <w:pPr>
      <w:ind w:left="720"/>
      <w:outlineLvl w:val="7"/>
    </w:pPr>
    <w:rPr>
      <w:i/>
    </w:rPr>
  </w:style>
  <w:style w:type="paragraph" w:styleId="Heading9">
    <w:name w:val="heading 9"/>
    <w:basedOn w:val="Normal"/>
    <w:next w:val="Normal"/>
    <w:link w:val="Heading9Char"/>
    <w:qFormat/>
    <w:rsid w:val="007D1EB6"/>
    <w:pPr>
      <w:ind w:left="720"/>
      <w:outlineLvl w:val="8"/>
    </w:pPr>
    <w:rPr>
      <w:i/>
    </w:rPr>
  </w:style>
  <w:style w:type="character" w:default="1" w:styleId="DefaultParagraphFont">
    <w:name w:val="Default Paragraph Font"/>
    <w:uiPriority w:val="1"/>
    <w:unhideWhenUsed/>
    <w:rsid w:val="007D1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EB6"/>
  </w:style>
  <w:style w:type="character" w:customStyle="1" w:styleId="Heading1Char">
    <w:name w:val="Heading 1 Char"/>
    <w:basedOn w:val="DefaultParagraphFont"/>
    <w:link w:val="Heading1"/>
    <w:rsid w:val="007D1EB6"/>
    <w:rPr>
      <w:rFonts w:ascii="Times New Roman" w:eastAsia="Times New Roman" w:hAnsi="Times New Roman" w:cs="Times New Roman"/>
      <w:b/>
      <w:sz w:val="32"/>
      <w:szCs w:val="20"/>
      <w:lang w:eastAsia="en-US"/>
    </w:rPr>
  </w:style>
  <w:style w:type="paragraph" w:styleId="BodyText">
    <w:name w:val="Body Text"/>
    <w:basedOn w:val="Normal"/>
    <w:link w:val="BodyTextChar"/>
    <w:rsid w:val="007D1E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1EB6"/>
    <w:rPr>
      <w:rFonts w:ascii="Times New Roman" w:eastAsia="Times New Roman" w:hAnsi="Times New Roman" w:cs="Times New Roman"/>
      <w:sz w:val="24"/>
      <w:lang w:eastAsia="en-US"/>
    </w:rPr>
  </w:style>
  <w:style w:type="paragraph" w:styleId="Footer">
    <w:name w:val="footer"/>
    <w:basedOn w:val="Normal"/>
    <w:link w:val="FooterChar"/>
    <w:rsid w:val="007D1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EB6"/>
    <w:rPr>
      <w:rFonts w:ascii="Times New Roman" w:eastAsia="Times New Roman" w:hAnsi="Times New Roman" w:cs="Times New Roman"/>
      <w:sz w:val="16"/>
      <w:lang w:eastAsia="en-US"/>
    </w:rPr>
  </w:style>
  <w:style w:type="paragraph" w:styleId="ListBullet">
    <w:name w:val="List Bullet"/>
    <w:basedOn w:val="List"/>
    <w:rsid w:val="007D1EB6"/>
    <w:pPr>
      <w:numPr>
        <w:numId w:val="13"/>
      </w:numPr>
      <w:tabs>
        <w:tab w:val="clear" w:pos="340"/>
      </w:tabs>
      <w:spacing w:before="40" w:after="40"/>
    </w:pPr>
  </w:style>
  <w:style w:type="character" w:customStyle="1" w:styleId="SpecialBold">
    <w:name w:val="Special Bold"/>
    <w:basedOn w:val="DefaultParagraphFont"/>
    <w:rsid w:val="007D1EB6"/>
    <w:rPr>
      <w:b/>
      <w:spacing w:val="0"/>
    </w:rPr>
  </w:style>
  <w:style w:type="paragraph" w:styleId="ListBullet2">
    <w:name w:val="List Bullet 2"/>
    <w:basedOn w:val="List2"/>
    <w:rsid w:val="007D1EB6"/>
    <w:pPr>
      <w:numPr>
        <w:numId w:val="14"/>
      </w:numPr>
      <w:tabs>
        <w:tab w:val="clear" w:pos="680"/>
      </w:tabs>
    </w:pPr>
  </w:style>
  <w:style w:type="paragraph" w:customStyle="1" w:styleId="SuperHeading">
    <w:name w:val="SuperHeading"/>
    <w:basedOn w:val="Normal"/>
    <w:rsid w:val="007D1EB6"/>
    <w:pPr>
      <w:spacing w:before="240" w:after="120"/>
      <w:outlineLvl w:val="0"/>
    </w:pPr>
    <w:rPr>
      <w:rFonts w:ascii="Times New Roman" w:hAnsi="Times New Roman"/>
      <w:b/>
      <w:sz w:val="28"/>
    </w:rPr>
  </w:style>
  <w:style w:type="paragraph" w:customStyle="1" w:styleId="AllowPageBreak">
    <w:name w:val="AllowPageBreak"/>
    <w:rsid w:val="007D1E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EB6"/>
    <w:rPr>
      <w:rFonts w:ascii="Courier New" w:eastAsia="Times New Roman" w:hAnsi="Courier New" w:cs="Times New Roman"/>
      <w:i/>
      <w:szCs w:val="20"/>
      <w:lang w:eastAsia="en-US"/>
    </w:rPr>
  </w:style>
  <w:style w:type="paragraph" w:customStyle="1" w:styleId="HeadingBase">
    <w:name w:val="Heading Base"/>
    <w:rsid w:val="007D1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EB6"/>
    <w:pPr>
      <w:tabs>
        <w:tab w:val="right" w:leader="dot" w:pos="9072"/>
      </w:tabs>
      <w:ind w:left="567"/>
    </w:pPr>
    <w:rPr>
      <w:szCs w:val="22"/>
    </w:rPr>
  </w:style>
  <w:style w:type="paragraph" w:customStyle="1" w:styleId="TOCBase">
    <w:name w:val="TOC Base"/>
    <w:rsid w:val="007D1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EB6"/>
    <w:pPr>
      <w:tabs>
        <w:tab w:val="right" w:leader="dot" w:pos="9072"/>
      </w:tabs>
      <w:spacing w:before="40" w:after="40"/>
      <w:ind w:left="284"/>
    </w:pPr>
    <w:rPr>
      <w:rFonts w:ascii="Times New Roman" w:hAnsi="Times New Roman"/>
    </w:rPr>
  </w:style>
  <w:style w:type="paragraph" w:styleId="TOC1">
    <w:name w:val="toc 1"/>
    <w:basedOn w:val="TOCBase"/>
    <w:next w:val="Normal"/>
    <w:rsid w:val="007D1E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1EB6"/>
    <w:pPr>
      <w:spacing w:before="5040"/>
      <w:jc w:val="center"/>
    </w:pPr>
    <w:rPr>
      <w:sz w:val="48"/>
      <w:szCs w:val="72"/>
      <w:lang w:val="en-US"/>
    </w:rPr>
  </w:style>
  <w:style w:type="character" w:customStyle="1" w:styleId="TitleChar">
    <w:name w:val="Title Char"/>
    <w:basedOn w:val="DefaultParagraphFont"/>
    <w:link w:val="Title"/>
    <w:rsid w:val="007D1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EB6"/>
    <w:pPr>
      <w:tabs>
        <w:tab w:val="left" w:pos="3600"/>
        <w:tab w:val="left" w:pos="3958"/>
      </w:tabs>
    </w:pPr>
  </w:style>
  <w:style w:type="paragraph" w:styleId="List">
    <w:name w:val="List"/>
    <w:basedOn w:val="BodyText"/>
    <w:next w:val="BodyText"/>
    <w:rsid w:val="007D1EB6"/>
    <w:pPr>
      <w:tabs>
        <w:tab w:val="left" w:pos="340"/>
      </w:tabs>
      <w:spacing w:before="60" w:after="60"/>
      <w:ind w:left="340" w:hanging="340"/>
    </w:pPr>
  </w:style>
  <w:style w:type="paragraph" w:customStyle="1" w:styleId="Note">
    <w:name w:val="Note"/>
    <w:basedOn w:val="BodyText"/>
    <w:rsid w:val="007D1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EB6"/>
    <w:pPr>
      <w:framePr w:wrap="auto" w:hAnchor="text" w:y="6049"/>
    </w:pPr>
    <w:rPr>
      <w:color w:val="000000"/>
      <w:sz w:val="40"/>
    </w:rPr>
  </w:style>
  <w:style w:type="paragraph" w:customStyle="1" w:styleId="TOCTitle">
    <w:name w:val="TOCTitle"/>
    <w:basedOn w:val="Heading1"/>
    <w:rsid w:val="007D1EB6"/>
    <w:pPr>
      <w:spacing w:after="240"/>
      <w:jc w:val="center"/>
      <w:outlineLvl w:val="9"/>
    </w:pPr>
    <w:rPr>
      <w:caps/>
    </w:rPr>
  </w:style>
  <w:style w:type="paragraph" w:customStyle="1" w:styleId="Version">
    <w:name w:val="Version"/>
    <w:rsid w:val="007D1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EB6"/>
    <w:pPr>
      <w:keepNext w:val="0"/>
      <w:tabs>
        <w:tab w:val="right" w:pos="4176"/>
      </w:tabs>
      <w:ind w:left="198" w:hanging="198"/>
    </w:pPr>
    <w:rPr>
      <w:rFonts w:ascii="Garamond" w:hAnsi="Garamond"/>
    </w:rPr>
  </w:style>
  <w:style w:type="paragraph" w:styleId="IndexHeading">
    <w:name w:val="index heading"/>
    <w:basedOn w:val="Normal"/>
    <w:next w:val="Index1"/>
    <w:semiHidden/>
    <w:rsid w:val="007D1EB6"/>
    <w:pPr>
      <w:spacing w:before="120" w:after="120"/>
    </w:pPr>
    <w:rPr>
      <w:rFonts w:ascii="Arial" w:hAnsi="Arial"/>
      <w:b/>
      <w:color w:val="918585"/>
      <w:sz w:val="24"/>
    </w:rPr>
  </w:style>
  <w:style w:type="paragraph" w:styleId="Header">
    <w:name w:val="header"/>
    <w:basedOn w:val="Normal"/>
    <w:link w:val="HeaderChar"/>
    <w:rsid w:val="007D1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EB6"/>
    <w:rPr>
      <w:rFonts w:ascii="Times New Roman" w:eastAsia="Times New Roman" w:hAnsi="Times New Roman" w:cs="Times New Roman"/>
      <w:sz w:val="16"/>
      <w:szCs w:val="20"/>
      <w:lang w:val="en-GB" w:eastAsia="en-US"/>
    </w:rPr>
  </w:style>
  <w:style w:type="paragraph" w:customStyle="1" w:styleId="Chapter">
    <w:name w:val="Chapter"/>
    <w:basedOn w:val="Normal"/>
    <w:rsid w:val="007D1EB6"/>
    <w:pPr>
      <w:spacing w:before="240"/>
    </w:pPr>
    <w:rPr>
      <w:rFonts w:ascii="Times New Roman" w:hAnsi="Times New Roman"/>
      <w:smallCaps/>
      <w:spacing w:val="80"/>
      <w:sz w:val="28"/>
    </w:rPr>
  </w:style>
  <w:style w:type="paragraph" w:customStyle="1" w:styleId="InChapter">
    <w:name w:val="InChapter"/>
    <w:basedOn w:val="Heading3"/>
    <w:rsid w:val="007D1EB6"/>
    <w:pPr>
      <w:spacing w:after="240"/>
      <w:outlineLvl w:val="9"/>
    </w:pPr>
    <w:rPr>
      <w:noProof/>
    </w:rPr>
  </w:style>
  <w:style w:type="paragraph" w:styleId="Index2">
    <w:name w:val="index 2"/>
    <w:basedOn w:val="Normal"/>
    <w:next w:val="Normal"/>
    <w:semiHidden/>
    <w:rsid w:val="007D1EB6"/>
    <w:pPr>
      <w:tabs>
        <w:tab w:val="right" w:pos="4176"/>
      </w:tabs>
      <w:ind w:left="568" w:hanging="284"/>
    </w:pPr>
    <w:rPr>
      <w:rFonts w:ascii="Garamond" w:hAnsi="Garamond"/>
    </w:rPr>
  </w:style>
  <w:style w:type="paragraph" w:customStyle="1" w:styleId="Byline">
    <w:name w:val="Byline"/>
    <w:rsid w:val="007D1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EB6"/>
    <w:pPr>
      <w:tabs>
        <w:tab w:val="clear" w:pos="3600"/>
        <w:tab w:val="clear" w:pos="3958"/>
      </w:tabs>
      <w:jc w:val="right"/>
    </w:pPr>
  </w:style>
  <w:style w:type="character" w:styleId="Emphasis">
    <w:name w:val="Emphasis"/>
    <w:basedOn w:val="DefaultParagraphFont"/>
    <w:qFormat/>
    <w:rsid w:val="007D1EB6"/>
    <w:rPr>
      <w:i/>
    </w:rPr>
  </w:style>
  <w:style w:type="paragraph" w:styleId="Caption">
    <w:name w:val="caption"/>
    <w:basedOn w:val="BodyText"/>
    <w:next w:val="Normal"/>
    <w:qFormat/>
    <w:rsid w:val="007D1EB6"/>
    <w:pPr>
      <w:framePr w:w="2268" w:hSpace="181" w:vSpace="181" w:wrap="around" w:vAnchor="text" w:hAnchor="page" w:x="1135" w:y="285" w:anchorLock="1"/>
    </w:pPr>
    <w:rPr>
      <w:i/>
    </w:rPr>
  </w:style>
  <w:style w:type="paragraph" w:customStyle="1" w:styleId="MiniTOCTitle">
    <w:name w:val="MiniTOCTitle"/>
    <w:basedOn w:val="Heading4"/>
    <w:rsid w:val="007D1EB6"/>
    <w:pPr>
      <w:spacing w:before="240"/>
      <w:outlineLvl w:val="9"/>
    </w:pPr>
    <w:rPr>
      <w:noProof/>
      <w:sz w:val="24"/>
    </w:rPr>
  </w:style>
  <w:style w:type="paragraph" w:customStyle="1" w:styleId="MiniTOCItem">
    <w:name w:val="MiniTOCItem"/>
    <w:basedOn w:val="ListBullet"/>
    <w:rsid w:val="007D1EB6"/>
    <w:pPr>
      <w:numPr>
        <w:numId w:val="0"/>
      </w:numPr>
      <w:tabs>
        <w:tab w:val="right" w:leader="dot" w:pos="6521"/>
      </w:tabs>
      <w:spacing w:before="0" w:after="0"/>
    </w:pPr>
  </w:style>
  <w:style w:type="paragraph" w:customStyle="1" w:styleId="TOFTitle">
    <w:name w:val="TOFTitle"/>
    <w:basedOn w:val="TOCTitle"/>
    <w:rsid w:val="007D1EB6"/>
  </w:style>
  <w:style w:type="paragraph" w:styleId="TableofFigures">
    <w:name w:val="table of figures"/>
    <w:basedOn w:val="Normal"/>
    <w:next w:val="Normal"/>
    <w:semiHidden/>
    <w:rsid w:val="007D1EB6"/>
    <w:pPr>
      <w:tabs>
        <w:tab w:val="right" w:leader="dot" w:pos="9072"/>
      </w:tabs>
      <w:ind w:left="970" w:hanging="403"/>
    </w:pPr>
    <w:rPr>
      <w:rFonts w:ascii="Times New Roman" w:hAnsi="Times New Roman"/>
      <w:b/>
    </w:rPr>
  </w:style>
  <w:style w:type="paragraph" w:styleId="ListNumber">
    <w:name w:val="List Number"/>
    <w:basedOn w:val="List"/>
    <w:rsid w:val="007D1EB6"/>
    <w:pPr>
      <w:numPr>
        <w:numId w:val="11"/>
      </w:numPr>
    </w:pPr>
  </w:style>
  <w:style w:type="character" w:customStyle="1" w:styleId="WingdingSymbols">
    <w:name w:val="Wingding Symbols"/>
    <w:rsid w:val="007D1EB6"/>
    <w:rPr>
      <w:rFonts w:ascii="Wingdings" w:hAnsi="Wingdings"/>
    </w:rPr>
  </w:style>
  <w:style w:type="paragraph" w:customStyle="1" w:styleId="TableHeading">
    <w:name w:val="Table Heading"/>
    <w:basedOn w:val="HeadingBase"/>
    <w:rsid w:val="007D1EB6"/>
    <w:pPr>
      <w:keepLines/>
      <w:pBdr>
        <w:bottom w:val="single" w:sz="6" w:space="1" w:color="918585"/>
      </w:pBdr>
      <w:spacing w:before="240"/>
    </w:pPr>
  </w:style>
  <w:style w:type="character" w:customStyle="1" w:styleId="HotSpot">
    <w:name w:val="HotSpot"/>
    <w:rsid w:val="007D1EB6"/>
    <w:rPr>
      <w:color w:val="0033CC"/>
      <w:u w:val="none"/>
    </w:rPr>
  </w:style>
  <w:style w:type="paragraph" w:customStyle="1" w:styleId="BodyTextRight">
    <w:name w:val="Body Text Right"/>
    <w:basedOn w:val="BodyText"/>
    <w:rsid w:val="007D1EB6"/>
    <w:pPr>
      <w:spacing w:before="0" w:after="0"/>
      <w:jc w:val="right"/>
    </w:pPr>
  </w:style>
  <w:style w:type="paragraph" w:styleId="Index3">
    <w:name w:val="index 3"/>
    <w:basedOn w:val="ListNumber2"/>
    <w:next w:val="Normal"/>
    <w:semiHidden/>
    <w:rsid w:val="007D1EB6"/>
    <w:pPr>
      <w:numPr>
        <w:numId w:val="0"/>
      </w:numPr>
      <w:tabs>
        <w:tab w:val="right" w:leader="dot" w:pos="4176"/>
      </w:tabs>
    </w:pPr>
  </w:style>
  <w:style w:type="paragraph" w:styleId="ListNumber2">
    <w:name w:val="List Number 2"/>
    <w:basedOn w:val="List2"/>
    <w:rsid w:val="007D1EB6"/>
    <w:pPr>
      <w:numPr>
        <w:numId w:val="10"/>
      </w:numPr>
      <w:tabs>
        <w:tab w:val="clear" w:pos="1060"/>
      </w:tabs>
    </w:pPr>
  </w:style>
  <w:style w:type="paragraph" w:customStyle="1" w:styleId="MarginNote">
    <w:name w:val="Margin Note"/>
    <w:basedOn w:val="BodyText"/>
    <w:rsid w:val="007D1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EB6"/>
    <w:rPr>
      <w:sz w:val="32"/>
    </w:rPr>
  </w:style>
  <w:style w:type="paragraph" w:customStyle="1" w:styleId="HeadingProcedure">
    <w:name w:val="Heading Procedure"/>
    <w:basedOn w:val="HeadingBase"/>
    <w:next w:val="Normal"/>
    <w:rsid w:val="007D1EB6"/>
    <w:pPr>
      <w:tabs>
        <w:tab w:val="left" w:pos="0"/>
      </w:tabs>
      <w:spacing w:before="120" w:after="60"/>
    </w:pPr>
    <w:rPr>
      <w:i/>
      <w:color w:val="918585"/>
      <w:sz w:val="22"/>
    </w:rPr>
  </w:style>
  <w:style w:type="paragraph" w:customStyle="1" w:styleId="TableBodyText">
    <w:name w:val="Table Body Text"/>
    <w:basedOn w:val="BodyText"/>
    <w:rsid w:val="007D1EB6"/>
    <w:pPr>
      <w:spacing w:before="60" w:after="60"/>
    </w:pPr>
  </w:style>
  <w:style w:type="paragraph" w:styleId="ListContinue">
    <w:name w:val="List Continue"/>
    <w:basedOn w:val="List"/>
    <w:rsid w:val="007D1EB6"/>
    <w:pPr>
      <w:ind w:firstLine="0"/>
    </w:pPr>
  </w:style>
  <w:style w:type="paragraph" w:customStyle="1" w:styleId="ListNote">
    <w:name w:val="List Note"/>
    <w:basedOn w:val="List"/>
    <w:rsid w:val="007D1EB6"/>
    <w:pPr>
      <w:pBdr>
        <w:top w:val="single" w:sz="6" w:space="2" w:color="918585"/>
        <w:bottom w:val="single" w:sz="6" w:space="2" w:color="918585"/>
      </w:pBdr>
      <w:tabs>
        <w:tab w:val="left" w:pos="1021"/>
      </w:tabs>
      <w:ind w:firstLine="0"/>
    </w:pPr>
  </w:style>
  <w:style w:type="paragraph" w:customStyle="1" w:styleId="Warning">
    <w:name w:val="Warning"/>
    <w:basedOn w:val="BodyText"/>
    <w:rsid w:val="007D1EB6"/>
    <w:pPr>
      <w:shd w:val="clear" w:color="auto" w:fill="D9D9D9"/>
      <w:tabs>
        <w:tab w:val="left" w:pos="992"/>
      </w:tabs>
      <w:ind w:left="119" w:right="119"/>
    </w:pPr>
    <w:rPr>
      <w:sz w:val="20"/>
    </w:rPr>
  </w:style>
  <w:style w:type="paragraph" w:customStyle="1" w:styleId="MarginIcons">
    <w:name w:val="Margin Icons"/>
    <w:basedOn w:val="BodyText"/>
    <w:rsid w:val="007D1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EB6"/>
    <w:rPr>
      <w:rFonts w:ascii="Courier New" w:hAnsi="Courier New"/>
    </w:rPr>
  </w:style>
  <w:style w:type="paragraph" w:customStyle="1" w:styleId="NoteBullet">
    <w:name w:val="Note Bullet"/>
    <w:basedOn w:val="Note"/>
    <w:rsid w:val="007D1EB6"/>
    <w:pPr>
      <w:tabs>
        <w:tab w:val="clear" w:pos="680"/>
      </w:tabs>
      <w:spacing w:before="60" w:after="60"/>
    </w:pPr>
  </w:style>
  <w:style w:type="paragraph" w:customStyle="1" w:styleId="SubHeading2">
    <w:name w:val="SubHeading2"/>
    <w:basedOn w:val="HeadingBase"/>
    <w:rsid w:val="007D1EB6"/>
    <w:pPr>
      <w:spacing w:before="240" w:after="60"/>
    </w:pPr>
    <w:rPr>
      <w:sz w:val="20"/>
    </w:rPr>
  </w:style>
  <w:style w:type="paragraph" w:customStyle="1" w:styleId="SubHeading1">
    <w:name w:val="SubHeading1"/>
    <w:basedOn w:val="HeadingBase"/>
    <w:rsid w:val="007D1EB6"/>
    <w:pPr>
      <w:spacing w:before="240" w:after="60"/>
    </w:pPr>
    <w:rPr>
      <w:color w:val="918585"/>
      <w:sz w:val="22"/>
    </w:rPr>
  </w:style>
  <w:style w:type="paragraph" w:customStyle="1" w:styleId="SideHeading">
    <w:name w:val="Side Heading"/>
    <w:basedOn w:val="HeadingBase"/>
    <w:rsid w:val="007D1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EB6"/>
    <w:pPr>
      <w:numPr>
        <w:numId w:val="12"/>
      </w:numPr>
    </w:pPr>
  </w:style>
  <w:style w:type="paragraph" w:styleId="PlainText">
    <w:name w:val="Plain Text"/>
    <w:basedOn w:val="Normal"/>
    <w:link w:val="PlainTextChar"/>
    <w:rsid w:val="007D1EB6"/>
    <w:rPr>
      <w:sz w:val="20"/>
    </w:rPr>
  </w:style>
  <w:style w:type="character" w:customStyle="1" w:styleId="PlainTextChar">
    <w:name w:val="Plain Text Char"/>
    <w:basedOn w:val="DefaultParagraphFont"/>
    <w:link w:val="PlainText"/>
    <w:rsid w:val="007D1EB6"/>
    <w:rPr>
      <w:rFonts w:ascii="Courier New" w:eastAsia="Times New Roman" w:hAnsi="Courier New" w:cs="Times New Roman"/>
      <w:sz w:val="20"/>
      <w:szCs w:val="20"/>
      <w:lang w:eastAsia="en-US"/>
    </w:rPr>
  </w:style>
  <w:style w:type="character" w:customStyle="1" w:styleId="MenuOption">
    <w:name w:val="Menu Option"/>
    <w:basedOn w:val="DefaultParagraphFont"/>
    <w:rsid w:val="007D1EB6"/>
    <w:rPr>
      <w:b/>
      <w:smallCaps/>
    </w:rPr>
  </w:style>
  <w:style w:type="paragraph" w:customStyle="1" w:styleId="TableListNumber">
    <w:name w:val="Table List Number"/>
    <w:basedOn w:val="ListNumber"/>
    <w:rsid w:val="007D1EB6"/>
    <w:pPr>
      <w:numPr>
        <w:numId w:val="0"/>
      </w:numPr>
    </w:pPr>
  </w:style>
  <w:style w:type="paragraph" w:styleId="TOC4">
    <w:name w:val="toc 4"/>
    <w:basedOn w:val="TOCBase"/>
    <w:next w:val="Normal"/>
    <w:semiHidden/>
    <w:rsid w:val="007D1EB6"/>
    <w:pPr>
      <w:tabs>
        <w:tab w:val="right" w:leader="dot" w:pos="9071"/>
      </w:tabs>
      <w:ind w:left="1701"/>
    </w:pPr>
  </w:style>
  <w:style w:type="paragraph" w:customStyle="1" w:styleId="ListAlpha">
    <w:name w:val="List Alpha"/>
    <w:basedOn w:val="List"/>
    <w:rsid w:val="007D1EB6"/>
    <w:pPr>
      <w:numPr>
        <w:numId w:val="9"/>
      </w:numPr>
    </w:pPr>
  </w:style>
  <w:style w:type="paragraph" w:customStyle="1" w:styleId="ListAlpha2">
    <w:name w:val="List Alpha 2"/>
    <w:basedOn w:val="List2"/>
    <w:rsid w:val="007D1EB6"/>
    <w:pPr>
      <w:numPr>
        <w:numId w:val="8"/>
      </w:numPr>
    </w:pPr>
  </w:style>
  <w:style w:type="paragraph" w:styleId="List2">
    <w:name w:val="List 2"/>
    <w:basedOn w:val="BodyText"/>
    <w:rsid w:val="007D1EB6"/>
    <w:pPr>
      <w:tabs>
        <w:tab w:val="left" w:pos="680"/>
      </w:tabs>
      <w:spacing w:before="60" w:after="60"/>
      <w:ind w:left="680" w:hanging="340"/>
    </w:pPr>
  </w:style>
  <w:style w:type="paragraph" w:styleId="List3">
    <w:name w:val="List 3"/>
    <w:basedOn w:val="BodyText"/>
    <w:rsid w:val="007D1EB6"/>
    <w:pPr>
      <w:tabs>
        <w:tab w:val="left" w:pos="1021"/>
      </w:tabs>
      <w:spacing w:before="60" w:after="60"/>
      <w:ind w:left="1020" w:hanging="340"/>
    </w:pPr>
  </w:style>
  <w:style w:type="paragraph" w:styleId="List4">
    <w:name w:val="List 4"/>
    <w:basedOn w:val="BodyText"/>
    <w:rsid w:val="007D1EB6"/>
    <w:pPr>
      <w:tabs>
        <w:tab w:val="left" w:pos="1361"/>
      </w:tabs>
      <w:spacing w:before="60" w:after="60"/>
      <w:ind w:left="1361" w:hanging="340"/>
    </w:pPr>
  </w:style>
  <w:style w:type="paragraph" w:styleId="List5">
    <w:name w:val="List 5"/>
    <w:basedOn w:val="BodyText"/>
    <w:rsid w:val="007D1EB6"/>
    <w:pPr>
      <w:tabs>
        <w:tab w:val="left" w:pos="1701"/>
      </w:tabs>
      <w:spacing w:before="60" w:after="60"/>
      <w:ind w:left="1701" w:hanging="340"/>
    </w:pPr>
  </w:style>
  <w:style w:type="paragraph" w:styleId="ListBullet3">
    <w:name w:val="List Bullet 3"/>
    <w:basedOn w:val="List3"/>
    <w:rsid w:val="007D1EB6"/>
    <w:pPr>
      <w:numPr>
        <w:numId w:val="15"/>
      </w:numPr>
      <w:tabs>
        <w:tab w:val="clear" w:pos="1021"/>
      </w:tabs>
      <w:ind w:left="1037" w:hanging="357"/>
    </w:pPr>
  </w:style>
  <w:style w:type="paragraph" w:styleId="ListBullet4">
    <w:name w:val="List Bullet 4"/>
    <w:basedOn w:val="List4"/>
    <w:rsid w:val="007D1EB6"/>
    <w:pPr>
      <w:numPr>
        <w:numId w:val="3"/>
      </w:numPr>
    </w:pPr>
  </w:style>
  <w:style w:type="paragraph" w:styleId="ListBullet5">
    <w:name w:val="List Bullet 5"/>
    <w:basedOn w:val="List5"/>
    <w:rsid w:val="007D1EB6"/>
    <w:pPr>
      <w:numPr>
        <w:numId w:val="4"/>
      </w:numPr>
    </w:pPr>
  </w:style>
  <w:style w:type="paragraph" w:styleId="ListContinue2">
    <w:name w:val="List Continue 2"/>
    <w:basedOn w:val="List2"/>
    <w:rsid w:val="007D1EB6"/>
    <w:pPr>
      <w:ind w:firstLine="0"/>
    </w:pPr>
  </w:style>
  <w:style w:type="paragraph" w:styleId="ListContinue3">
    <w:name w:val="List Continue 3"/>
    <w:basedOn w:val="List3"/>
    <w:rsid w:val="007D1EB6"/>
    <w:pPr>
      <w:ind w:left="1021" w:firstLine="0"/>
    </w:pPr>
  </w:style>
  <w:style w:type="paragraph" w:styleId="ListContinue4">
    <w:name w:val="List Continue 4"/>
    <w:basedOn w:val="List4"/>
    <w:rsid w:val="007D1EB6"/>
    <w:pPr>
      <w:ind w:firstLine="0"/>
    </w:pPr>
  </w:style>
  <w:style w:type="paragraph" w:styleId="ListContinue5">
    <w:name w:val="List Continue 5"/>
    <w:basedOn w:val="List5"/>
    <w:rsid w:val="007D1EB6"/>
    <w:pPr>
      <w:ind w:firstLine="0"/>
    </w:pPr>
  </w:style>
  <w:style w:type="paragraph" w:styleId="ListNumber3">
    <w:name w:val="List Number 3"/>
    <w:basedOn w:val="List3"/>
    <w:rsid w:val="007D1EB6"/>
    <w:pPr>
      <w:numPr>
        <w:numId w:val="5"/>
      </w:numPr>
    </w:pPr>
  </w:style>
  <w:style w:type="paragraph" w:styleId="ListNumber4">
    <w:name w:val="List Number 4"/>
    <w:basedOn w:val="List4"/>
    <w:rsid w:val="007D1EB6"/>
    <w:pPr>
      <w:numPr>
        <w:numId w:val="6"/>
      </w:numPr>
    </w:pPr>
  </w:style>
  <w:style w:type="paragraph" w:styleId="ListNumber5">
    <w:name w:val="List Number 5"/>
    <w:basedOn w:val="List5"/>
    <w:rsid w:val="007D1EB6"/>
    <w:pPr>
      <w:numPr>
        <w:numId w:val="7"/>
      </w:numPr>
    </w:pPr>
  </w:style>
  <w:style w:type="paragraph" w:styleId="BlockText">
    <w:name w:val="Block Text"/>
    <w:basedOn w:val="Normal"/>
    <w:rsid w:val="007D1EB6"/>
    <w:pPr>
      <w:spacing w:after="120"/>
      <w:ind w:left="1440" w:right="1440"/>
    </w:pPr>
  </w:style>
  <w:style w:type="character" w:customStyle="1" w:styleId="Subscript">
    <w:name w:val="Subscript"/>
    <w:basedOn w:val="DefaultParagraphFont"/>
    <w:rsid w:val="007D1EB6"/>
    <w:rPr>
      <w:sz w:val="16"/>
      <w:vertAlign w:val="subscript"/>
    </w:rPr>
  </w:style>
  <w:style w:type="character" w:customStyle="1" w:styleId="Superscript">
    <w:name w:val="Superscript"/>
    <w:basedOn w:val="DefaultParagraphFont"/>
    <w:rsid w:val="007D1EB6"/>
    <w:rPr>
      <w:sz w:val="16"/>
      <w:vertAlign w:val="superscript"/>
    </w:rPr>
  </w:style>
  <w:style w:type="character" w:customStyle="1" w:styleId="Symbols">
    <w:name w:val="Symbols"/>
    <w:basedOn w:val="DefaultParagraphFont"/>
    <w:rsid w:val="007D1EB6"/>
    <w:rPr>
      <w:rFonts w:ascii="Symbol" w:hAnsi="Symbol"/>
    </w:rPr>
  </w:style>
  <w:style w:type="character" w:customStyle="1" w:styleId="MenuOptions">
    <w:name w:val="Menu Options"/>
    <w:basedOn w:val="DefaultParagraphFont"/>
    <w:rsid w:val="007D1EB6"/>
    <w:rPr>
      <w:rFonts w:ascii="Arial Narrow" w:hAnsi="Arial Narrow"/>
      <w:smallCaps/>
    </w:rPr>
  </w:style>
  <w:style w:type="character" w:customStyle="1" w:styleId="Buttons">
    <w:name w:val="Buttons"/>
    <w:basedOn w:val="DefaultParagraphFont"/>
    <w:rsid w:val="007D1EB6"/>
    <w:rPr>
      <w:b/>
    </w:rPr>
  </w:style>
  <w:style w:type="character" w:customStyle="1" w:styleId="Underlined">
    <w:name w:val="Underlined"/>
    <w:basedOn w:val="DefaultParagraphFont"/>
    <w:rsid w:val="007D1EB6"/>
    <w:rPr>
      <w:u w:val="single"/>
    </w:rPr>
  </w:style>
  <w:style w:type="paragraph" w:customStyle="1" w:styleId="TableBodyTextRight">
    <w:name w:val="Table Body Text Right"/>
    <w:basedOn w:val="TableBodyText"/>
    <w:rsid w:val="007D1EB6"/>
    <w:pPr>
      <w:widowControl w:val="0"/>
      <w:autoSpaceDE w:val="0"/>
      <w:autoSpaceDN w:val="0"/>
      <w:adjustRightInd w:val="0"/>
      <w:jc w:val="right"/>
    </w:pPr>
    <w:rPr>
      <w:rFonts w:cs="Arial"/>
      <w:szCs w:val="18"/>
    </w:rPr>
  </w:style>
  <w:style w:type="paragraph" w:customStyle="1" w:styleId="CopyrightText">
    <w:name w:val="Copyright Text"/>
    <w:basedOn w:val="BodyText"/>
    <w:rsid w:val="007D1EB6"/>
    <w:rPr>
      <w:sz w:val="18"/>
    </w:rPr>
  </w:style>
  <w:style w:type="paragraph" w:customStyle="1" w:styleId="BodySmallRight">
    <w:name w:val="Body Small Right"/>
    <w:basedOn w:val="BodyTextRight"/>
    <w:rsid w:val="007D1EB6"/>
    <w:rPr>
      <w:sz w:val="18"/>
      <w:szCs w:val="18"/>
    </w:rPr>
  </w:style>
  <w:style w:type="paragraph" w:customStyle="1" w:styleId="MarginEdition">
    <w:name w:val="Margin Edition"/>
    <w:basedOn w:val="MarginNote"/>
    <w:rsid w:val="007D1EB6"/>
    <w:pPr>
      <w:spacing w:before="0" w:after="0"/>
    </w:pPr>
    <w:rPr>
      <w:rFonts w:ascii="Times New Roman" w:hAnsi="Times New Roman"/>
      <w:color w:val="999999"/>
    </w:rPr>
  </w:style>
  <w:style w:type="paragraph" w:customStyle="1" w:styleId="Spacer">
    <w:name w:val="Spacer"/>
    <w:basedOn w:val="Normal"/>
    <w:rsid w:val="007D1EB6"/>
    <w:rPr>
      <w:sz w:val="2"/>
      <w:szCs w:val="2"/>
    </w:rPr>
  </w:style>
  <w:style w:type="character" w:customStyle="1" w:styleId="Small">
    <w:name w:val="Small"/>
    <w:basedOn w:val="DefaultParagraphFont"/>
    <w:rsid w:val="007D1EB6"/>
    <w:rPr>
      <w:sz w:val="16"/>
    </w:rPr>
  </w:style>
  <w:style w:type="paragraph" w:customStyle="1" w:styleId="WideTable">
    <w:name w:val="Wide Table"/>
    <w:basedOn w:val="Normal"/>
    <w:rsid w:val="007D1EB6"/>
    <w:pPr>
      <w:ind w:left="-1418"/>
    </w:pPr>
    <w:rPr>
      <w:sz w:val="2"/>
      <w:szCs w:val="2"/>
    </w:rPr>
  </w:style>
  <w:style w:type="character" w:styleId="PageNumber">
    <w:name w:val="page number"/>
    <w:basedOn w:val="DefaultParagraphFont"/>
    <w:rsid w:val="007D1EB6"/>
  </w:style>
  <w:style w:type="paragraph" w:styleId="Quote">
    <w:name w:val="Quote"/>
    <w:basedOn w:val="Heading1"/>
    <w:link w:val="QuoteChar"/>
    <w:qFormat/>
    <w:rsid w:val="007D1EB6"/>
    <w:rPr>
      <w:b w:val="0"/>
      <w:sz w:val="72"/>
      <w:szCs w:val="72"/>
      <w:lang w:val="en-NZ"/>
    </w:rPr>
  </w:style>
  <w:style w:type="character" w:customStyle="1" w:styleId="QuoteChar">
    <w:name w:val="Quote Char"/>
    <w:basedOn w:val="DefaultParagraphFont"/>
    <w:link w:val="Quote"/>
    <w:rsid w:val="007D1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EB6"/>
    <w:pPr>
      <w:pageBreakBefore/>
    </w:pPr>
  </w:style>
  <w:style w:type="paragraph" w:customStyle="1" w:styleId="Border">
    <w:name w:val="Border"/>
    <w:basedOn w:val="Normal"/>
    <w:qFormat/>
    <w:rsid w:val="007D1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EB6"/>
    <w:rPr>
      <w:b/>
      <w:bCs/>
      <w:i/>
      <w:iCs/>
      <w:color w:val="auto"/>
    </w:rPr>
  </w:style>
  <w:style w:type="paragraph" w:styleId="IntenseQuote">
    <w:name w:val="Intense Quote"/>
    <w:basedOn w:val="Normal"/>
    <w:next w:val="Normal"/>
    <w:link w:val="IntenseQuoteChar"/>
    <w:uiPriority w:val="30"/>
    <w:qFormat/>
    <w:rsid w:val="007D1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EB6"/>
    <w:rPr>
      <w:smallCaps/>
      <w:color w:val="auto"/>
      <w:u w:val="single"/>
    </w:rPr>
  </w:style>
  <w:style w:type="character" w:styleId="IntenseReference">
    <w:name w:val="Intense Reference"/>
    <w:basedOn w:val="DefaultParagraphFont"/>
    <w:uiPriority w:val="32"/>
    <w:qFormat/>
    <w:rsid w:val="007D1EB6"/>
    <w:rPr>
      <w:b/>
      <w:bCs/>
      <w:smallCaps/>
      <w:color w:val="auto"/>
      <w:spacing w:val="5"/>
      <w:u w:val="single"/>
    </w:rPr>
  </w:style>
  <w:style w:type="paragraph" w:customStyle="1" w:styleId="2ColumnHeading">
    <w:name w:val="2Column Heading"/>
    <w:basedOn w:val="BodyText"/>
    <w:qFormat/>
    <w:rsid w:val="007D1EB6"/>
    <w:pPr>
      <w:spacing w:after="60"/>
      <w:ind w:left="-2268"/>
    </w:pPr>
    <w:rPr>
      <w:b/>
    </w:rPr>
  </w:style>
  <w:style w:type="paragraph" w:customStyle="1" w:styleId="Heading1TOC">
    <w:name w:val="Heading1 TOC"/>
    <w:basedOn w:val="Normal"/>
    <w:qFormat/>
    <w:rsid w:val="007D1EB6"/>
    <w:pPr>
      <w:spacing w:before="240" w:after="120"/>
    </w:pPr>
    <w:rPr>
      <w:rFonts w:ascii="Times New Roman" w:hAnsi="Times New Roman"/>
      <w:b/>
      <w:sz w:val="32"/>
    </w:rPr>
  </w:style>
  <w:style w:type="paragraph" w:customStyle="1" w:styleId="Heading2TOC">
    <w:name w:val="Heading2 TOC"/>
    <w:basedOn w:val="Normal"/>
    <w:qFormat/>
    <w:rsid w:val="007D1EB6"/>
    <w:pPr>
      <w:spacing w:before="240" w:after="60"/>
    </w:pPr>
    <w:rPr>
      <w:rFonts w:ascii="Times New Roman" w:hAnsi="Times New Roman"/>
      <w:b/>
      <w:sz w:val="28"/>
    </w:rPr>
  </w:style>
  <w:style w:type="character" w:customStyle="1" w:styleId="Underline">
    <w:name w:val="Underline"/>
    <w:basedOn w:val="DefaultParagraphFont"/>
    <w:qFormat/>
    <w:rsid w:val="007D1EB6"/>
    <w:rPr>
      <w:u w:val="single"/>
    </w:rPr>
  </w:style>
  <w:style w:type="character" w:customStyle="1" w:styleId="BoldandItalics">
    <w:name w:val="Bold and Italics"/>
    <w:qFormat/>
    <w:rsid w:val="007D1EB6"/>
    <w:rPr>
      <w:b/>
      <w:i/>
      <w:u w:val="none"/>
    </w:rPr>
  </w:style>
  <w:style w:type="paragraph" w:styleId="BalloonText">
    <w:name w:val="Balloon Text"/>
    <w:basedOn w:val="Normal"/>
    <w:link w:val="BalloonTextChar"/>
    <w:rsid w:val="007D1EB6"/>
    <w:rPr>
      <w:rFonts w:ascii="Tahoma" w:hAnsi="Tahoma" w:cs="Tahoma"/>
      <w:sz w:val="16"/>
      <w:szCs w:val="16"/>
    </w:rPr>
  </w:style>
  <w:style w:type="character" w:customStyle="1" w:styleId="BalloonTextChar">
    <w:name w:val="Balloon Text Char"/>
    <w:basedOn w:val="DefaultParagraphFont"/>
    <w:link w:val="BalloonText"/>
    <w:rsid w:val="007D1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E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1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EB6"/>
    <w:rPr>
      <w:b/>
      <w:color w:val="660033"/>
      <w:spacing w:val="0"/>
    </w:rPr>
  </w:style>
  <w:style w:type="paragraph" w:customStyle="1" w:styleId="Nameditemlist">
    <w:name w:val="Named item list"/>
    <w:basedOn w:val="BodyText"/>
    <w:qFormat/>
    <w:rsid w:val="007D1E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2548</Words>
  <Characters>15732</Characters>
  <Application>Microsoft Office Word</Application>
  <DocSecurity>0</DocSecurity>
  <Lines>594</Lines>
  <Paragraphs>253</Paragraphs>
  <ScaleCrop>false</ScaleCrop>
  <Company>Author-it Software Corporation Ltd.</Company>
  <LinksUpToDate>false</LinksUpToDate>
  <CharactersWithSpaces>18090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UEPMNT359B Test and commission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2012-07-25T16:23:00Z</dcterms:created>
  <dcterms:modified xsi:type="dcterms:W3CDTF">2012-07-25T16:23:00Z</dcterms:modified>
</cp:coreProperties>
</file>