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380" w:rsidP="00683380">
      <w:pPr>
        <w:pStyle w:val="Title"/>
      </w:pPr>
      <w:bookmarkStart w:id="0" w:name="_GoBack"/>
      <w:bookmarkEnd w:id="0"/>
      <w:r>
        <w:fldChar w:fldCharType="begin"/>
      </w:r>
      <w:r>
        <w:instrText xml:space="preserve"> TITLE   \* MERGEFORMAT </w:instrText>
      </w:r>
      <w:r>
        <w:fldChar w:fldCharType="separate"/>
      </w:r>
      <w:r>
        <w:t>UEPMNT357B Diagnose and repair faults in instrumentation equipment</w:t>
      </w:r>
      <w:r>
        <w:fldChar w:fldCharType="end"/>
      </w:r>
    </w:p>
    <w:p w:rsidR="00683380" w:rsidP="00683380">
      <w:pPr>
        <w:pStyle w:val="Version"/>
        <w:sectPr w:rsidSect="00CD03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036A" w:rsidP="00CD036A">
      <w:pPr>
        <w:pStyle w:val="SuperHeading"/>
      </w:pPr>
      <w:r w:rsidRPr="00CD036A">
        <w:t>UEPMNT357B Diagnose and repair faults in instrumentation equipment</w:t>
      </w:r>
    </w:p>
    <w:p w:rsidR="00000000" w:rsidRPr="00CD036A" w:rsidP="00CD036A">
      <w:pPr>
        <w:pStyle w:val="Heading1"/>
      </w:pPr>
      <w:bookmarkStart w:id="1" w:name="O_470063"/>
      <w:bookmarkEnd w:id="1"/>
      <w:r w:rsidRPr="00CD036A">
        <w:t>Modification History</w:t>
      </w:r>
    </w:p>
    <w:p w:rsidR="00000000" w:rsidRPr="00CD036A" w:rsidP="00CD036A">
      <w:pPr>
        <w:pStyle w:val="BodyText"/>
      </w:pPr>
      <w:r w:rsidRPr="00CD036A">
        <w:t>Not applicable.</w:t>
      </w:r>
    </w:p>
    <w:p w:rsidR="00000000" w:rsidRPr="00CD036A" w:rsidP="00CD036A">
      <w:pPr>
        <w:pStyle w:val="AllowPageBreak"/>
      </w:pPr>
    </w:p>
    <w:p w:rsidR="00000000" w:rsidRPr="00CD036A" w:rsidP="00CD036A">
      <w:pPr>
        <w:pStyle w:val="Heading1"/>
      </w:pPr>
      <w:bookmarkStart w:id="2" w:name="O_470061"/>
      <w:bookmarkEnd w:id="2"/>
      <w:r w:rsidRPr="00CD036A">
        <w:t>Unit Descriptor</w:t>
      </w:r>
    </w:p>
    <w:tbl>
      <w:tblPr>
        <w:tblW w:w="0" w:type="auto"/>
        <w:tblLayout w:type="fixed"/>
        <w:tblCellMar>
          <w:left w:w="62" w:type="dxa"/>
          <w:right w:w="62" w:type="dxa"/>
        </w:tblCellMar>
        <w:tblLook w:val="0000"/>
      </w:tblPr>
      <w:tblGrid>
        <w:gridCol w:w="2700"/>
        <w:gridCol w:w="5760"/>
      </w:tblGrid>
      <w:tr w:rsidTr="006833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1)</w:t>
            </w:r>
            <w:r w:rsidRPr="00CD036A">
              <w:t xml:space="preserve"> </w:t>
            </w:r>
            <w:r w:rsidRPr="00CD036A">
              <w:rPr>
                <w:rStyle w:val="SpecialBold"/>
              </w:rPr>
              <w:t>Scope:</w:t>
            </w:r>
          </w:p>
        </w:tc>
      </w:tr>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036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1.1) Descriptor</w:t>
            </w:r>
          </w:p>
        </w:tc>
      </w:tr>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This unit deals with the skills and knowledge required to undertake to diagnose and repair instrumentation equipment, including, but not limited to, sensor elements, signal characterising equipment, input/output blocks, controllers, transducers and final e</w:t>
            </w:r>
            <w:r w:rsidRPr="00CD036A">
              <w:t>lements.</w:t>
            </w:r>
          </w:p>
        </w:tc>
      </w:tr>
    </w:tbl>
    <w:p w:rsidR="00000000" w:rsidRPr="00CD036A" w:rsidP="00CD036A">
      <w:pPr>
        <w:pStyle w:val="BodyText"/>
      </w:pPr>
    </w:p>
    <w:p w:rsidR="00000000" w:rsidRPr="00CD036A" w:rsidP="00CD036A">
      <w:pPr>
        <w:pStyle w:val="AllowPageBreak"/>
      </w:pPr>
    </w:p>
    <w:p w:rsidR="00000000" w:rsidRPr="00CD036A" w:rsidP="00CD036A">
      <w:pPr>
        <w:pStyle w:val="Heading1"/>
      </w:pPr>
      <w:bookmarkStart w:id="3" w:name="O_470050"/>
      <w:bookmarkEnd w:id="3"/>
      <w:r w:rsidRPr="00CD036A">
        <w:t>Application of the Unit</w:t>
      </w:r>
    </w:p>
    <w:tbl>
      <w:tblPr>
        <w:tblW w:w="0" w:type="auto"/>
        <w:tblLayout w:type="fixed"/>
        <w:tblCellMar>
          <w:left w:w="62" w:type="dxa"/>
          <w:right w:w="62" w:type="dxa"/>
        </w:tblCellMar>
        <w:tblLook w:val="0000"/>
      </w:tblPr>
      <w:tblGrid>
        <w:gridCol w:w="2672"/>
        <w:gridCol w:w="5699"/>
      </w:tblGrid>
      <w:tr w:rsidTr="0068338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2)</w:t>
            </w:r>
          </w:p>
        </w:tc>
      </w:tr>
      <w:tr w:rsidTr="0068338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This unit is intended to augment formally acquired competencies. It is suitable for employment-based programs under an approved contract of training.</w:t>
            </w:r>
          </w:p>
        </w:tc>
      </w:tr>
    </w:tbl>
    <w:p w:rsidR="00000000" w:rsidRPr="00CD036A" w:rsidP="00CD036A">
      <w:pPr>
        <w:pStyle w:val="BodyText"/>
      </w:pPr>
    </w:p>
    <w:p w:rsidR="00000000" w:rsidRPr="00CD036A" w:rsidP="00CD036A">
      <w:pPr>
        <w:pStyle w:val="AllowPageBreak"/>
      </w:pPr>
    </w:p>
    <w:p w:rsidR="00000000" w:rsidRPr="00CD036A" w:rsidP="00CD036A">
      <w:pPr>
        <w:pStyle w:val="Heading1"/>
      </w:pPr>
      <w:bookmarkStart w:id="4" w:name="O_470057"/>
      <w:bookmarkEnd w:id="4"/>
      <w:r w:rsidRPr="00CD036A">
        <w:t>Licensing/Regulatory Information</w:t>
      </w:r>
    </w:p>
    <w:tbl>
      <w:tblPr>
        <w:tblW w:w="0" w:type="auto"/>
        <w:tblLayout w:type="fixed"/>
        <w:tblCellMar>
          <w:left w:w="62" w:type="dxa"/>
          <w:right w:w="62" w:type="dxa"/>
        </w:tblCellMar>
        <w:tblLook w:val="0000"/>
      </w:tblPr>
      <w:tblGrid>
        <w:gridCol w:w="2700"/>
        <w:gridCol w:w="5760"/>
      </w:tblGrid>
      <w:tr w:rsidTr="006833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 xml:space="preserve">3) </w:t>
            </w:r>
          </w:p>
        </w:tc>
      </w:tr>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The skills and knowledge described in this unit may require an electrical licence to practise in the workplace.</w:t>
            </w:r>
          </w:p>
          <w:p w:rsidR="00000000" w:rsidRPr="00CD036A" w:rsidP="00CD036A">
            <w:pPr>
              <w:pStyle w:val="BodyText"/>
            </w:pPr>
            <w:r w:rsidRPr="00CD036A">
              <w:t>Practice in this unit is subject to regulations directly related to Occupational Heal</w:t>
            </w:r>
            <w:r w:rsidRPr="00CD036A">
              <w:t>th and Safety and where applicable contracts of training such as apprenticeships and the like</w:t>
            </w:r>
          </w:p>
        </w:tc>
      </w:tr>
    </w:tbl>
    <w:p w:rsidR="00000000" w:rsidRPr="00CD036A" w:rsidP="00CD036A">
      <w:pPr>
        <w:pStyle w:val="BodyText"/>
      </w:pPr>
    </w:p>
    <w:p w:rsidR="00000000" w:rsidRPr="00CD036A" w:rsidP="00CD036A">
      <w:pPr>
        <w:pStyle w:val="AllowPageBreak"/>
      </w:pPr>
    </w:p>
    <w:p w:rsidR="00000000" w:rsidRPr="00CD036A" w:rsidP="00CD036A">
      <w:pPr>
        <w:pStyle w:val="Heading1"/>
      </w:pPr>
      <w:bookmarkStart w:id="5" w:name="O_470058"/>
      <w:bookmarkEnd w:id="5"/>
      <w:r w:rsidRPr="00CD036A">
        <w:t>Pre-Requisites</w:t>
      </w:r>
    </w:p>
    <w:tbl>
      <w:tblPr>
        <w:tblW w:w="0" w:type="auto"/>
        <w:tblLayout w:type="fixed"/>
        <w:tblCellMar>
          <w:left w:w="62" w:type="dxa"/>
          <w:right w:w="62" w:type="dxa"/>
        </w:tblCellMar>
        <w:tblLook w:val="0000"/>
      </w:tblPr>
      <w:tblGrid>
        <w:gridCol w:w="2700"/>
        <w:gridCol w:w="2070"/>
        <w:gridCol w:w="3696"/>
      </w:tblGrid>
      <w:tr w:rsidTr="006833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 xml:space="preserve">4) </w:t>
            </w:r>
          </w:p>
        </w:tc>
      </w:tr>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4.1)</w:t>
            </w:r>
          </w:p>
        </w:tc>
      </w:tr>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Granting of competency in this unit shall be made only after competency in the following unit(s) has/have been confirmed.</w:t>
            </w:r>
          </w:p>
          <w:p w:rsidR="00000000" w:rsidRPr="00CD036A" w:rsidP="00CD036A">
            <w:pPr>
              <w:pStyle w:val="BodyText"/>
            </w:pPr>
            <w:r w:rsidRPr="00CD036A">
              <w:t>Where pre-requisite pathways have been identified. All competencies in the Common Unit Group must be have been completed.</w:t>
            </w:r>
          </w:p>
          <w:p w:rsidR="00000000" w:rsidP="00CD036A">
            <w:pPr>
              <w:pStyle w:val="BodyText"/>
              <w:rPr>
                <w:lang w:val="en-NZ"/>
              </w:rPr>
            </w:pPr>
            <w:r w:rsidRPr="00CD036A">
              <w:t xml:space="preserve">Common Unit </w:t>
            </w:r>
            <w:r w:rsidRPr="00CD036A">
              <w:t>Group</w:t>
            </w:r>
          </w:p>
        </w:tc>
      </w:tr>
      <w:tr w:rsidTr="00683380">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Unit Code</w:t>
            </w:r>
            <w:r w:rsidRPr="00CD036A">
              <w:tab/>
            </w:r>
          </w:p>
        </w:tc>
        <w:tc>
          <w:tcPr>
            <w:tcW w:w="3696"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Unit Title</w:t>
            </w:r>
          </w:p>
        </w:tc>
      </w:tr>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UEENEEI001B</w:t>
            </w:r>
          </w:p>
        </w:tc>
        <w:tc>
          <w:tcPr>
            <w:tcW w:w="3696"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Install and set up transducers and sensing devices</w:t>
            </w:r>
          </w:p>
          <w:p w:rsidR="00000000" w:rsidP="00CD036A">
            <w:pPr>
              <w:pStyle w:val="BodyText"/>
              <w:rPr>
                <w:lang w:val="en-NZ"/>
              </w:rPr>
            </w:pPr>
          </w:p>
        </w:tc>
      </w:tr>
      <w:tr w:rsidTr="00683380">
        <w:tblPrEx>
          <w:tblW w:w="0" w:type="auto"/>
          <w:tblLayout w:type="fixed"/>
          <w:tblCellMar>
            <w:left w:w="62" w:type="dxa"/>
            <w:right w:w="62" w:type="dxa"/>
          </w:tblCellMar>
          <w:tblLook w:val="0000"/>
        </w:tblPrEx>
        <w:trPr>
          <w:trHeight w:val="684"/>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UEENEEE002B</w:t>
            </w:r>
          </w:p>
        </w:tc>
        <w:tc>
          <w:tcPr>
            <w:tcW w:w="3696"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Dismantle, assemble and fabricate electrotechnology components</w:t>
            </w:r>
          </w:p>
        </w:tc>
      </w:tr>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UEENEEE005B</w:t>
            </w:r>
          </w:p>
        </w:tc>
        <w:tc>
          <w:tcPr>
            <w:tcW w:w="3696"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Fix and secure equipment</w:t>
            </w:r>
          </w:p>
        </w:tc>
      </w:tr>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UEENEEE007B</w:t>
            </w:r>
          </w:p>
        </w:tc>
        <w:tc>
          <w:tcPr>
            <w:tcW w:w="3696"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Use drawings, diagrams, schedules and manuals</w:t>
            </w:r>
          </w:p>
        </w:tc>
      </w:tr>
    </w:tbl>
    <w:p w:rsidR="00000000" w:rsidRPr="00CD036A" w:rsidP="00CD036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8338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 xml:space="preserve">4.2) </w:t>
            </w:r>
          </w:p>
        </w:tc>
      </w:tr>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 xml:space="preserve">Participants are best equipped to achieve this unit if they have reading, writing and numeracy skills indicated by the following levels. A </w:t>
            </w:r>
            <w:r w:rsidRPr="00CD036A">
              <w:t>description of what each level entails is provided in Section 2.3.1 Language, Literacy and Numeracy.</w:t>
            </w:r>
          </w:p>
        </w:tc>
      </w:tr>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Reading</w:t>
            </w:r>
          </w:p>
        </w:tc>
        <w:tc>
          <w:tcPr>
            <w:tcW w:w="81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3</w:t>
            </w:r>
          </w:p>
        </w:tc>
        <w:tc>
          <w:tcPr>
            <w:tcW w:w="99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Writing</w:t>
            </w: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3</w:t>
            </w:r>
          </w:p>
        </w:tc>
        <w:tc>
          <w:tcPr>
            <w:tcW w:w="12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Numeracy</w:t>
            </w:r>
          </w:p>
        </w:tc>
        <w:tc>
          <w:tcPr>
            <w:tcW w:w="72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3</w:t>
            </w:r>
          </w:p>
        </w:tc>
      </w:tr>
    </w:tbl>
    <w:p w:rsidR="00000000" w:rsidRPr="00CD036A" w:rsidP="00CD036A">
      <w:pPr>
        <w:pStyle w:val="BodyText"/>
      </w:pPr>
    </w:p>
    <w:p w:rsidR="00000000" w:rsidRPr="00CD036A" w:rsidP="00CD036A">
      <w:pPr>
        <w:pStyle w:val="AllowPageBreak"/>
      </w:pPr>
    </w:p>
    <w:p w:rsidR="00000000" w:rsidRPr="00CD036A" w:rsidP="00CD036A">
      <w:pPr>
        <w:pStyle w:val="Heading1"/>
      </w:pPr>
      <w:bookmarkStart w:id="6" w:name="O_470054"/>
      <w:bookmarkEnd w:id="6"/>
      <w:r w:rsidRPr="00CD036A">
        <w:t>Employability Skills Information</w:t>
      </w:r>
    </w:p>
    <w:tbl>
      <w:tblPr>
        <w:tblW w:w="0" w:type="auto"/>
        <w:tblLayout w:type="fixed"/>
        <w:tblCellMar>
          <w:left w:w="62" w:type="dxa"/>
          <w:right w:w="62" w:type="dxa"/>
        </w:tblCellMar>
        <w:tblLook w:val="0000"/>
      </w:tblPr>
      <w:tblGrid>
        <w:gridCol w:w="2700"/>
        <w:gridCol w:w="5760"/>
      </w:tblGrid>
      <w:tr w:rsidTr="006833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 xml:space="preserve">5) </w:t>
            </w:r>
          </w:p>
        </w:tc>
      </w:tr>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 xml:space="preserve">The required outcomes described in this unit of </w:t>
            </w:r>
            <w:r w:rsidRPr="00CD036A">
              <w:t xml:space="preserve">competency contain applicable facets of Employability Skills. The Employability Skills Summary of the qualification in which this unit of competency is packaged will assist in identifying Employability Skill </w:t>
            </w:r>
            <w:r w:rsidRPr="00CD036A">
              <w:t>requirements.</w:t>
            </w:r>
          </w:p>
        </w:tc>
      </w:tr>
    </w:tbl>
    <w:p w:rsidR="00000000" w:rsidRPr="00CD036A" w:rsidP="00CD036A">
      <w:pPr>
        <w:pStyle w:val="BodyText"/>
      </w:pPr>
    </w:p>
    <w:p w:rsidR="00000000" w:rsidRPr="00CD036A" w:rsidP="00CD036A">
      <w:pPr>
        <w:pStyle w:val="AllowPageBreak"/>
      </w:pPr>
    </w:p>
    <w:p w:rsidR="00000000" w:rsidRPr="00CD036A" w:rsidP="00CD036A">
      <w:pPr>
        <w:pStyle w:val="Heading1"/>
      </w:pPr>
      <w:bookmarkStart w:id="7" w:name="O_470053"/>
      <w:bookmarkEnd w:id="7"/>
      <w:r w:rsidRPr="00CD036A">
        <w:t>Elements and Performance Criteria Pre-Content</w:t>
      </w:r>
    </w:p>
    <w:tbl>
      <w:tblPr>
        <w:tblW w:w="0" w:type="auto"/>
        <w:tblLayout w:type="fixed"/>
        <w:tblCellMar>
          <w:left w:w="62" w:type="dxa"/>
          <w:right w:w="62" w:type="dxa"/>
        </w:tblCellMar>
        <w:tblLook w:val="0000"/>
      </w:tblPr>
      <w:tblGrid>
        <w:gridCol w:w="2700"/>
        <w:gridCol w:w="5760"/>
      </w:tblGrid>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6)</w:t>
            </w:r>
            <w:r w:rsidRPr="00CD036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 xml:space="preserve">Performance </w:t>
            </w:r>
            <w:r w:rsidRPr="00CD036A">
              <w:t>Criteria describe the required performance needed to demonstrate achievement of the element. Assessment of performance is to be consistent with the Evidence Guide.</w:t>
            </w:r>
          </w:p>
        </w:tc>
      </w:tr>
    </w:tbl>
    <w:p w:rsidR="00000000" w:rsidRPr="00CD036A" w:rsidP="00CD036A">
      <w:pPr>
        <w:pStyle w:val="BodyText"/>
      </w:pPr>
    </w:p>
    <w:p w:rsidR="00000000" w:rsidRPr="00CD036A" w:rsidP="00CD036A">
      <w:pPr>
        <w:pStyle w:val="AllowPageBreak"/>
      </w:pPr>
    </w:p>
    <w:p w:rsidR="00000000" w:rsidRPr="00CD036A" w:rsidP="00CD036A">
      <w:pPr>
        <w:pStyle w:val="Heading1"/>
      </w:pPr>
      <w:bookmarkStart w:id="8" w:name="O_470052"/>
      <w:bookmarkEnd w:id="8"/>
      <w:r w:rsidRPr="00CD036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8338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PERFORMANCE CRITERIA</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1</w:t>
            </w:r>
          </w:p>
        </w:tc>
        <w:tc>
          <w:tcPr>
            <w:tcW w:w="2296" w:type="dxa"/>
            <w:vMerge w:val="restart"/>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1.1</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Work requirements are identified from request/work orders or equivalent and clarified/confirmed with appropriate parties or by site inspection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1.2</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Occupational Health and Safety standards, statutory requirements, releva</w:t>
            </w:r>
            <w:r w:rsidRPr="00CD036A">
              <w:t>nt Australian standards, codes of practice, manufacturers’ specifications, environmental requirements and enterprise procedures are identified, applied and monitored throughout the work procedure</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1.3</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Resources required to satisfy the work plan are identified, obtained and inspected for compliance with the job specifications</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1.4</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Relevant plans, drawings and texts are selected and interpreted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1.5</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 xml:space="preserve">Correct size, type </w:t>
            </w:r>
            <w:r w:rsidRPr="00CD036A">
              <w:t>and quantity of materials/components are determined, obtained and inspected for compliance with the job specifications</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1.6</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Work is planned in detail including sequencing and prioritising and considerations made, where appropriate, for the maintenance of</w:t>
            </w:r>
            <w:r w:rsidRPr="00CD036A">
              <w:t xml:space="preserve"> plant security and capacity in accordance with system/site requirements</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1.7</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Coordination requirements, including requests for isolations where appropriate, are resolved with others involved, affected or required by the work</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1.8</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Potential hazards are identified and prevention and/or control measures are selected in accordance with the work plan and site procedures</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1.9</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Work area is prepared in accordance with work requirements and site procedures</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1.10</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Where appropriate, the t</w:t>
            </w:r>
            <w:r w:rsidRPr="00CD036A">
              <w:t xml:space="preserve">eams and individuals roles and responsibilities within the team are identified and, where required, assist in the provision of the on-the-job training </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2</w:t>
            </w:r>
          </w:p>
        </w:tc>
        <w:tc>
          <w:tcPr>
            <w:tcW w:w="2296" w:type="dxa"/>
            <w:vMerge w:val="restart"/>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Verify the fault</w:t>
            </w: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2.1</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Normal performance and function of the equipment is ascertained by consulting appropriate reference sources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2.2</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Fault indicators, appropriate technical information/diagnostic techniques are used to verify reported sympto</w:t>
            </w:r>
            <w:r w:rsidRPr="00CD036A">
              <w:t>ms/faults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2.3</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Symptoms are reproduced and monitored if possible, whilst due regard for personnel safety and plant security is observed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3</w:t>
            </w:r>
          </w:p>
        </w:tc>
        <w:tc>
          <w:tcPr>
            <w:tcW w:w="2296" w:type="dxa"/>
            <w:vMerge w:val="restart"/>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Find the fault</w:t>
            </w: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3.1</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Required isolations are confirmed where appropriate in accordance with site requirements</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3.2</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Fault finding is carried out in conjunction with others involved in or affected by the work in accordance with enterprise/job requirements</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3.3</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Equipment comp</w:t>
            </w:r>
            <w:r w:rsidRPr="00CD036A">
              <w:t>onents, wires, cables, terminations and support fixings are inspected for obvious faults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3.4</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All appropriate fault finding/diagnostic techniques are identified, selected and used to determine the fault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3.5</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All appropriate components are disconnected to enable accurate test measurements of suspected faulty compon</w:t>
            </w:r>
            <w:r w:rsidRPr="00CD036A">
              <w:t>ents without the concern of "back feed" readings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3.6</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Test and measurement instruments are used in accordance with manufacturer instructions and job requirements</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4</w:t>
            </w:r>
          </w:p>
        </w:tc>
        <w:tc>
          <w:tcPr>
            <w:tcW w:w="2296" w:type="dxa"/>
            <w:vMerge w:val="restart"/>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Determine cause of fault</w:t>
            </w: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4.1</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All appropriate personnel a</w:t>
            </w:r>
            <w:r w:rsidRPr="00CD036A">
              <w:t>re consulted in order to obtain as many details relating to the faulty equipment as possible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4.2</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Appropriate use is made of any information from fault indicators and maintenance records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4.3</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Valid conclusions about the nature and cause of the fault are reached from analysis of available evidence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5</w:t>
            </w:r>
          </w:p>
        </w:tc>
        <w:tc>
          <w:tcPr>
            <w:tcW w:w="2296" w:type="dxa"/>
            <w:vMerge w:val="restart"/>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Repair or rectify the fault</w:t>
            </w: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5.1</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 xml:space="preserve">Required isolations are confirmed where appropriate in accordance with site </w:t>
            </w:r>
            <w:r w:rsidRPr="00CD036A">
              <w:t>requirements</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5.2</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Appropriate repair procedures are undertaken in conjunction with others involved in, or affected by, the work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5.3</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 xml:space="preserve">Faulty, worn, damaged or unsecured components are replaced, repaired or secured in </w:t>
            </w:r>
            <w:r w:rsidRPr="00CD036A">
              <w:t>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5.4</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Parts and components are selected and replaced as required in accordance with appropriate specifications and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5.5</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Components disconnected for testing are reconnected having been proven free of faults and all terminations are then checked to ensure they are electrically and mechanically sound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5.6</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 xml:space="preserve">All faults are repaired or rectified </w:t>
            </w:r>
            <w:r w:rsidRPr="00CD036A">
              <w:t>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5.7</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Final job inspection is performed and permits are relinquished as required in accordance with the work plan</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6</w:t>
            </w:r>
          </w:p>
        </w:tc>
        <w:tc>
          <w:tcPr>
            <w:tcW w:w="2296" w:type="dxa"/>
            <w:vMerge w:val="restart"/>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Complete the work</w:t>
            </w: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6.1</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Work is completed and appropriate personnel notified in accordance with site/enterp</w:t>
            </w:r>
            <w:r w:rsidRPr="00CD036A">
              <w:t>rise requirements</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6.2</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Work area is cleared of waste, cleaned, restored and secured in accordance with site/enterprise procedures</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6.3</w:t>
            </w:r>
          </w:p>
        </w:tc>
        <w:tc>
          <w:tcPr>
            <w:tcW w:w="48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Plant, tools and equipment are maintained and stored in accordance with site/enterprise procedures</w:t>
            </w:r>
          </w:p>
        </w:tc>
      </w:tr>
      <w:tr w:rsidTr="0068338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t>6.4</w:t>
            </w:r>
          </w:p>
        </w:tc>
        <w:tc>
          <w:tcPr>
            <w:tcW w:w="486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Work completion details are finalised in accordance with site/enterprise procedures</w:t>
            </w:r>
          </w:p>
        </w:tc>
      </w:tr>
    </w:tbl>
    <w:p w:rsidR="00000000" w:rsidRPr="00CD036A" w:rsidP="00CD036A">
      <w:pPr>
        <w:pStyle w:val="BodyText"/>
      </w:pPr>
    </w:p>
    <w:p w:rsidR="00000000" w:rsidRPr="00CD036A" w:rsidP="00CD036A">
      <w:pPr>
        <w:pStyle w:val="AllowPageBreak"/>
      </w:pPr>
    </w:p>
    <w:p w:rsidR="00000000" w:rsidRPr="00CD036A" w:rsidP="00CD036A">
      <w:pPr>
        <w:pStyle w:val="Heading1"/>
      </w:pPr>
      <w:bookmarkStart w:id="9" w:name="O_470060"/>
      <w:bookmarkEnd w:id="9"/>
      <w:r w:rsidRPr="00CD036A">
        <w:t>Required Skills and Knowledge</w:t>
      </w:r>
    </w:p>
    <w:tbl>
      <w:tblPr>
        <w:tblW w:w="0" w:type="auto"/>
        <w:tblLayout w:type="fixed"/>
        <w:tblCellMar>
          <w:left w:w="62" w:type="dxa"/>
          <w:right w:w="62" w:type="dxa"/>
        </w:tblCellMar>
        <w:tblLook w:val="0000"/>
      </w:tblPr>
      <w:tblGrid>
        <w:gridCol w:w="8460"/>
      </w:tblGrid>
      <w:tr w:rsidTr="006833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REQUIRED SKILLS AND KNOWLEDGE</w:t>
            </w:r>
          </w:p>
        </w:tc>
      </w:tr>
      <w:tr w:rsidTr="0068338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8)</w:t>
            </w:r>
            <w:r w:rsidRPr="00CD036A">
              <w:t xml:space="preserve"> This describes the essential skills and knowledge and their level, required for this unit.</w:t>
            </w:r>
          </w:p>
          <w:p w:rsidR="00000000" w:rsidRPr="00CD036A" w:rsidP="00CD036A">
            <w:pPr>
              <w:pStyle w:val="BodyText"/>
            </w:pPr>
            <w:r w:rsidRPr="00CD036A">
              <w:t>Evidence shall show that knowledge has been acquired in diagnosing and repairing faults in instrumentation equipment.</w:t>
            </w:r>
          </w:p>
          <w:p w:rsidR="00000000" w:rsidRPr="00CD036A" w:rsidP="00CD036A">
            <w:pPr>
              <w:pStyle w:val="BodyText"/>
            </w:pPr>
            <w:r w:rsidRPr="00CD036A">
              <w:t>All knowledge and skills detailed in this unit</w:t>
            </w:r>
            <w:r w:rsidRPr="00CD036A">
              <w:t xml:space="preserve"> should be contextualised to current industry practices and technologies.</w:t>
            </w:r>
          </w:p>
          <w:p w:rsidR="00000000" w:rsidRPr="00CD036A" w:rsidP="00CD036A">
            <w:pPr>
              <w:pStyle w:val="BodyText"/>
            </w:pPr>
            <w:r w:rsidRPr="00CD036A">
              <w:t>The extent of the Essential Knowledge and Associated Skills required follows:</w:t>
            </w:r>
          </w:p>
          <w:p w:rsidR="00000000" w:rsidRPr="00CD036A" w:rsidP="00CD036A">
            <w:pPr>
              <w:pStyle w:val="BodyText"/>
            </w:pPr>
            <w:r w:rsidRPr="00CD036A">
              <w:t>KS01-PM357B  Diagnose and repair faults in instrumentation equipment</w:t>
            </w:r>
          </w:p>
          <w:p w:rsidR="00000000" w:rsidRPr="00CD036A" w:rsidP="00CD036A">
            <w:pPr>
              <w:pStyle w:val="BodyText"/>
            </w:pPr>
            <w:r w:rsidRPr="00CD036A">
              <w:t>T1 Evidence shall show that knowled</w:t>
            </w:r>
            <w:r w:rsidRPr="00CD036A">
              <w:t>ge has been acquired for safe working practices of:</w:t>
            </w:r>
          </w:p>
          <w:p w:rsidR="00000000" w:rsidRPr="00CD036A" w:rsidP="00CD036A">
            <w:pPr>
              <w:pStyle w:val="ListBullet"/>
            </w:pPr>
            <w:r w:rsidRPr="00CD036A">
              <w:t>Relevant Environmental, Occupational Health and Safety legislation and  regulations</w:t>
            </w:r>
          </w:p>
          <w:p w:rsidR="00000000" w:rsidRPr="00CD036A" w:rsidP="00CD036A">
            <w:pPr>
              <w:pStyle w:val="ListBullet"/>
            </w:pPr>
            <w:r w:rsidRPr="00CD036A">
              <w:t>Relevant plant and equipment, its location</w:t>
            </w:r>
          </w:p>
          <w:p w:rsidR="00000000" w:rsidRPr="00CD036A" w:rsidP="00CD036A">
            <w:pPr>
              <w:pStyle w:val="ListBullet"/>
            </w:pPr>
            <w:r w:rsidRPr="00CD036A">
              <w:t>Technical drawings and manufacturers manuals</w:t>
            </w:r>
          </w:p>
          <w:p w:rsidR="00000000" w:rsidRPr="00CD036A" w:rsidP="00CD036A">
            <w:pPr>
              <w:pStyle w:val="ListBullet"/>
            </w:pPr>
            <w:r w:rsidRPr="00CD036A">
              <w:t>Introduction to and typical arrangements of power production plant</w:t>
            </w:r>
          </w:p>
          <w:p w:rsidR="00000000" w:rsidRPr="00CD036A" w:rsidP="00CD036A">
            <w:pPr>
              <w:pStyle w:val="ListBullet"/>
            </w:pPr>
            <w:r w:rsidRPr="00CD036A">
              <w:t>Relevant state and territory regulations</w:t>
            </w:r>
          </w:p>
          <w:p w:rsidR="00000000" w:rsidRPr="00CD036A" w:rsidP="00CD036A">
            <w:pPr>
              <w:pStyle w:val="ListBullet"/>
            </w:pPr>
            <w:r w:rsidRPr="00CD036A">
              <w:t>Relevant Australian standards;</w:t>
            </w:r>
          </w:p>
          <w:p w:rsidR="00000000" w:rsidRPr="00CD036A" w:rsidP="00CD036A">
            <w:pPr>
              <w:pStyle w:val="ListBullet"/>
            </w:pPr>
            <w:r w:rsidRPr="00CD036A">
              <w:t>Equipment and material required to perform the work;</w:t>
            </w:r>
          </w:p>
          <w:p w:rsidR="00000000" w:rsidRPr="00CD036A" w:rsidP="00CD036A">
            <w:pPr>
              <w:pStyle w:val="ListBullet"/>
            </w:pPr>
            <w:r w:rsidRPr="00CD036A">
              <w:t>Isolation procedures;</w:t>
            </w:r>
          </w:p>
          <w:p w:rsidR="00000000" w:rsidRPr="00CD036A" w:rsidP="00CD036A">
            <w:pPr>
              <w:pStyle w:val="ListBullet"/>
            </w:pPr>
            <w:r w:rsidRPr="00CD036A">
              <w:t>Instrumentation principles and practices</w:t>
            </w:r>
          </w:p>
          <w:p w:rsidR="00000000" w:rsidRPr="00CD036A" w:rsidP="00CD036A">
            <w:pPr>
              <w:pStyle w:val="ListBullet"/>
            </w:pPr>
            <w:r w:rsidRPr="00CD036A">
              <w:t>I</w:t>
            </w:r>
            <w:r w:rsidRPr="00CD036A">
              <w:t>nstrument calibration techniques</w:t>
            </w:r>
          </w:p>
          <w:p w:rsidR="00000000" w:rsidRPr="00CD036A" w:rsidP="00CD036A">
            <w:pPr>
              <w:pStyle w:val="ListBullet"/>
            </w:pPr>
            <w:r w:rsidRPr="00CD036A">
              <w:t>Fault finding and diagnostic techniques;</w:t>
            </w:r>
          </w:p>
          <w:p w:rsidR="00000000" w:rsidRPr="00CD036A" w:rsidP="00CD036A">
            <w:pPr>
              <w:pStyle w:val="ListBullet"/>
            </w:pPr>
            <w:r w:rsidRPr="00CD036A">
              <w:t>Repair techniques;</w:t>
            </w:r>
          </w:p>
          <w:p w:rsidR="00000000" w:rsidRPr="00CD036A" w:rsidP="00CD036A">
            <w:pPr>
              <w:pStyle w:val="ListBullet"/>
            </w:pPr>
            <w:r w:rsidRPr="00CD036A">
              <w:t>Instrumentation equipment;</w:t>
            </w:r>
          </w:p>
          <w:p w:rsidR="00000000" w:rsidRPr="00CD036A" w:rsidP="00CD036A">
            <w:pPr>
              <w:pStyle w:val="ListBullet"/>
            </w:pPr>
            <w:r w:rsidRPr="00CD036A">
              <w:t>Electrical fundamentals;</w:t>
            </w:r>
          </w:p>
          <w:p w:rsidR="00000000" w:rsidRPr="00CD036A" w:rsidP="00CD036A">
            <w:pPr>
              <w:pStyle w:val="ListBullet"/>
            </w:pPr>
            <w:r w:rsidRPr="00CD036A">
              <w:t>Test and measurement instruments;</w:t>
            </w:r>
          </w:p>
          <w:p w:rsidR="00000000" w:rsidRPr="00CD036A" w:rsidP="00CD036A">
            <w:pPr>
              <w:pStyle w:val="ListBullet"/>
            </w:pPr>
            <w:r w:rsidRPr="00CD036A">
              <w:t xml:space="preserve">Engineering and electronic workshop practice; </w:t>
            </w:r>
          </w:p>
          <w:p w:rsidR="00000000" w:rsidRPr="00CD036A" w:rsidP="00CD036A">
            <w:pPr>
              <w:pStyle w:val="BodyText"/>
            </w:pPr>
            <w:r w:rsidRPr="00CD036A">
              <w:t>T2 Specific skills needed to a</w:t>
            </w:r>
            <w:r w:rsidRPr="00CD036A">
              <w:t>chieve the Performance Criteria:</w:t>
            </w:r>
          </w:p>
          <w:p w:rsidR="00000000" w:rsidRPr="00CD036A" w:rsidP="00CD036A">
            <w:pPr>
              <w:pStyle w:val="ListBullet"/>
            </w:pPr>
            <w:r w:rsidRPr="00CD036A">
              <w:t>Apply Relevant Environmental, Occupational Health and Safety legislation and  regulations</w:t>
            </w:r>
          </w:p>
          <w:p w:rsidR="00000000" w:rsidRPr="00CD036A" w:rsidP="00CD036A">
            <w:pPr>
              <w:pStyle w:val="ListBullet"/>
            </w:pPr>
            <w:r w:rsidRPr="00CD036A">
              <w:t>Interpret Technical drawings and manufacturers manuals</w:t>
            </w:r>
          </w:p>
          <w:p w:rsidR="00000000" w:rsidRPr="00CD036A" w:rsidP="00CD036A">
            <w:pPr>
              <w:pStyle w:val="ListBullet"/>
            </w:pPr>
            <w:r w:rsidRPr="00CD036A">
              <w:t>Apply relevant state and territory regulations</w:t>
            </w:r>
          </w:p>
          <w:p w:rsidR="00000000" w:rsidRPr="00CD036A" w:rsidP="00CD036A">
            <w:pPr>
              <w:pStyle w:val="ListBullet"/>
            </w:pPr>
            <w:r w:rsidRPr="00CD036A">
              <w:t>Apply relevant Australian stan</w:t>
            </w:r>
            <w:r w:rsidRPr="00CD036A">
              <w:t>dards;</w:t>
            </w:r>
          </w:p>
          <w:p w:rsidR="00000000" w:rsidRPr="00CD036A" w:rsidP="00CD036A">
            <w:pPr>
              <w:pStyle w:val="ListBullet"/>
            </w:pPr>
            <w:r w:rsidRPr="00CD036A">
              <w:t>Use tools and relevant equipment;</w:t>
            </w:r>
          </w:p>
          <w:p w:rsidR="00000000" w:rsidRPr="00CD036A" w:rsidP="00CD036A">
            <w:pPr>
              <w:pStyle w:val="ListBullet"/>
            </w:pPr>
            <w:r w:rsidRPr="00CD036A">
              <w:t>Use test and measurement instruments;</w:t>
            </w:r>
          </w:p>
          <w:p w:rsidR="00000000" w:rsidRPr="00CD036A" w:rsidP="00CD036A">
            <w:pPr>
              <w:pStyle w:val="ListBullet"/>
            </w:pPr>
            <w:r w:rsidRPr="00CD036A">
              <w:t>Verify and identify faults;</w:t>
            </w:r>
          </w:p>
          <w:p w:rsidR="00000000" w:rsidRPr="00CD036A" w:rsidP="00CD036A">
            <w:pPr>
              <w:pStyle w:val="ListBullet"/>
            </w:pPr>
            <w:r w:rsidRPr="00CD036A">
              <w:t>Use appropriate fault finding and diagnostic techniques;</w:t>
            </w:r>
          </w:p>
          <w:p w:rsidR="00000000" w:rsidRPr="00CD036A" w:rsidP="00CD036A">
            <w:pPr>
              <w:pStyle w:val="ListBullet"/>
            </w:pPr>
            <w:r w:rsidRPr="00CD036A">
              <w:t>Determine the cause of faults;</w:t>
            </w:r>
          </w:p>
          <w:p w:rsidR="00000000" w:rsidRPr="00CD036A" w:rsidP="00CD036A">
            <w:pPr>
              <w:pStyle w:val="ListBullet"/>
            </w:pPr>
            <w:r w:rsidRPr="00CD036A">
              <w:t>Repair faults;</w:t>
            </w:r>
          </w:p>
          <w:p w:rsidR="00000000" w:rsidRPr="00CD036A" w:rsidP="00CD036A">
            <w:pPr>
              <w:pStyle w:val="ListBullet"/>
            </w:pPr>
            <w:r w:rsidRPr="00CD036A">
              <w:t>Identify and select materials for the job;</w:t>
            </w:r>
          </w:p>
          <w:p w:rsidR="00000000" w:rsidRPr="00CD036A" w:rsidP="00CD036A">
            <w:pPr>
              <w:pStyle w:val="ListBullet"/>
            </w:pPr>
            <w:r w:rsidRPr="00CD036A">
              <w:t>Apply regulatory aspects theory;</w:t>
            </w:r>
          </w:p>
          <w:p w:rsidR="00000000" w:rsidRPr="00CD036A" w:rsidP="00CD036A">
            <w:pPr>
              <w:pStyle w:val="ListBullet"/>
            </w:pPr>
            <w:r w:rsidRPr="00CD036A">
              <w:t>Apply electrical fundamentals</w:t>
            </w:r>
          </w:p>
          <w:p w:rsidR="00000000" w:rsidRPr="00CD036A" w:rsidP="00CD036A">
            <w:pPr>
              <w:pStyle w:val="ListBullet"/>
            </w:pPr>
            <w:r w:rsidRPr="00CD036A">
              <w:t>Instrumentation principles and practices</w:t>
            </w:r>
          </w:p>
          <w:p w:rsidR="00000000" w:rsidRPr="00CD036A" w:rsidP="00CD036A">
            <w:pPr>
              <w:pStyle w:val="ListBullet"/>
            </w:pPr>
            <w:r w:rsidRPr="00CD036A">
              <w:t>Instrument calibration techniques</w:t>
            </w:r>
          </w:p>
          <w:p w:rsidR="00000000" w:rsidRPr="00CD036A" w:rsidP="00CD036A">
            <w:pPr>
              <w:pStyle w:val="ListBullet"/>
            </w:pPr>
            <w:r w:rsidRPr="00CD036A">
              <w:t>Carry out work completion details;</w:t>
            </w:r>
          </w:p>
          <w:p w:rsidR="00000000" w:rsidRPr="00CD036A" w:rsidP="00CD036A">
            <w:pPr>
              <w:pStyle w:val="ListBullet"/>
            </w:pPr>
            <w:r w:rsidRPr="00CD036A">
              <w:t>Communicate effectively;</w:t>
            </w:r>
          </w:p>
          <w:p w:rsidR="00000000" w:rsidRPr="00CD036A" w:rsidP="00CD036A">
            <w:pPr>
              <w:pStyle w:val="ListBullet"/>
            </w:pPr>
            <w:r w:rsidRPr="00CD036A">
              <w:t>Apply data analysis techniques and tools;</w:t>
            </w:r>
          </w:p>
          <w:p w:rsidR="00000000" w:rsidRPr="00CD036A" w:rsidP="00CD036A">
            <w:pPr>
              <w:pStyle w:val="ListBullet"/>
            </w:pPr>
            <w:r w:rsidRPr="00CD036A">
              <w:t>Apply engineerin</w:t>
            </w:r>
            <w:r w:rsidRPr="00CD036A">
              <w:t>g and electronic workshop practices</w:t>
            </w:r>
          </w:p>
        </w:tc>
      </w:tr>
    </w:tbl>
    <w:p w:rsidR="00000000" w:rsidRPr="00CD036A" w:rsidP="00CD036A">
      <w:pPr>
        <w:pStyle w:val="BodyText"/>
      </w:pPr>
    </w:p>
    <w:p w:rsidR="00000000" w:rsidRPr="00CD036A" w:rsidP="00CD036A">
      <w:pPr>
        <w:pStyle w:val="AllowPageBreak"/>
      </w:pPr>
    </w:p>
    <w:p w:rsidR="00000000" w:rsidRPr="00CD036A" w:rsidP="00CD036A">
      <w:pPr>
        <w:pStyle w:val="Heading1"/>
      </w:pPr>
      <w:bookmarkStart w:id="10" w:name="O_470055"/>
      <w:bookmarkEnd w:id="10"/>
      <w:r w:rsidRPr="00CD036A">
        <w:t>Evidence Guide</w:t>
      </w:r>
    </w:p>
    <w:tbl>
      <w:tblPr>
        <w:tblW w:w="0" w:type="auto"/>
        <w:tblLayout w:type="fixed"/>
        <w:tblCellMar>
          <w:left w:w="62" w:type="dxa"/>
          <w:right w:w="62" w:type="dxa"/>
        </w:tblCellMar>
        <w:tblLook w:val="0000"/>
      </w:tblPr>
      <w:tblGrid>
        <w:gridCol w:w="8460"/>
      </w:tblGrid>
      <w:tr w:rsidTr="006833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EVIDENCE GUIDE</w:t>
            </w:r>
          </w:p>
        </w:tc>
      </w:tr>
      <w:tr w:rsidTr="006833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9)</w:t>
            </w:r>
            <w:r w:rsidRPr="00CD036A">
              <w:t xml:space="preserve"> This provides essential advice for assessment of the competency standard unit and must be read </w:t>
            </w:r>
            <w:r w:rsidRPr="00CD036A">
              <w:t>in conjunction with the Performance Criteria and the range statement of the competency standard unit and the Training Package Assessment Guidelines.</w:t>
            </w:r>
          </w:p>
          <w:p w:rsidR="00000000" w:rsidRPr="00CD036A" w:rsidP="00CD036A">
            <w:pPr>
              <w:pStyle w:val="BodyText"/>
            </w:pPr>
            <w:r w:rsidRPr="00CD036A">
              <w:t>The Evidence Guide forms an integral part of this unit and shall be used in conjunction with all components</w:t>
            </w:r>
            <w:r w:rsidRPr="00CD036A">
              <w:t xml:space="preserve"> parts of this unit and, performed in accordance with the Assessment Guidelines of this Training Package.</w:t>
            </w:r>
          </w:p>
        </w:tc>
      </w:tr>
    </w:tbl>
    <w:p w:rsidR="00000000" w:rsidRPr="00CD036A" w:rsidP="00CD036A">
      <w:pPr>
        <w:pStyle w:val="BodyText"/>
      </w:pPr>
    </w:p>
    <w:tbl>
      <w:tblPr>
        <w:tblW w:w="0" w:type="auto"/>
        <w:tblLayout w:type="fixed"/>
        <w:tblCellMar>
          <w:left w:w="62" w:type="dxa"/>
          <w:right w:w="62" w:type="dxa"/>
        </w:tblCellMar>
        <w:tblLook w:val="0000"/>
      </w:tblPr>
      <w:tblGrid>
        <w:gridCol w:w="1890"/>
        <w:gridCol w:w="6570"/>
      </w:tblGrid>
      <w:tr w:rsidTr="006833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9.1)</w:t>
            </w:r>
          </w:p>
        </w:tc>
      </w:tr>
      <w:tr w:rsidTr="006833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Longitude competency development approaches to assessment, such as Profiling, require data to be reliably gathered in a form that can be consistently interpreted over time. This approach is best utilised in Apprenticeship programs and reduces assessment in</w:t>
            </w:r>
            <w:r w:rsidRPr="00CD036A">
              <w:t>tervention. It is the Industry preferred model for apprenticeships. However, where summative (or final) assessment is used it is to include the application of the competency in the normal work environment or in a realistically simulated work environment. I</w:t>
            </w:r>
            <w:r w:rsidRPr="00CD036A">
              <w:t>t is recognised that, in some circumstances, assessment in part or full can occur outside the workplace, however, it must be in accord with Industry and regulatory policy.</w:t>
            </w:r>
          </w:p>
          <w:p w:rsidR="00000000" w:rsidRPr="00CD036A" w:rsidP="00CD036A">
            <w:pPr>
              <w:pStyle w:val="BodyText"/>
            </w:pPr>
            <w:r w:rsidRPr="00CD036A">
              <w:t>Methods chosen for a particular assessment will be influenced by various factors. Th</w:t>
            </w:r>
            <w:r w:rsidRPr="00CD036A">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CD036A" w:rsidP="00CD036A">
            <w:pPr>
              <w:pStyle w:val="BodyText"/>
            </w:pPr>
            <w:r w:rsidRPr="00CD036A">
              <w:t>Th</w:t>
            </w:r>
            <w:r w:rsidRPr="00CD036A">
              <w:t>e critical safety nature of working with electricity, electrical equipment, gas or any other hazardous substance/material carries risk in deeming a person competent. Hence, sources of evidence need to be ‘rich’ in nature so as to minimise error in judgment</w:t>
            </w:r>
            <w:r w:rsidRPr="00CD036A">
              <w:t>.</w:t>
            </w:r>
          </w:p>
          <w:p w:rsidR="00000000" w:rsidRPr="00CD036A" w:rsidP="00CD036A">
            <w:pPr>
              <w:pStyle w:val="BodyText"/>
            </w:pPr>
            <w:r w:rsidRPr="00CD036A">
              <w:t>Activities associated with normal every day work have a bearing on the decision as to how much and how detailed the data gathered will contribute to its ‘richness’. Some skills are more critical to safety and operational requirements while the same skill</w:t>
            </w:r>
            <w:r w:rsidRPr="00CD036A">
              <w:t>s may be more or less frequently practised. These points are raised for the assessors to consider when choosing an assessment method and developing assessment instruments. Sample assessment instruments are included in the Assessment Guidelines of this Trai</w:t>
            </w:r>
            <w:r w:rsidRPr="00CD036A">
              <w:t>ning Package.</w:t>
            </w:r>
          </w:p>
        </w:tc>
      </w:tr>
    </w:tbl>
    <w:p w:rsidR="00000000" w:rsidRPr="00CD036A" w:rsidP="00CD036A">
      <w:pPr>
        <w:pStyle w:val="BodyText"/>
      </w:pPr>
    </w:p>
    <w:tbl>
      <w:tblPr>
        <w:tblW w:w="0" w:type="auto"/>
        <w:tblLayout w:type="fixed"/>
        <w:tblCellMar>
          <w:left w:w="62" w:type="dxa"/>
          <w:right w:w="62" w:type="dxa"/>
        </w:tblCellMar>
        <w:tblLook w:val="0000"/>
      </w:tblPr>
      <w:tblGrid>
        <w:gridCol w:w="1890"/>
        <w:gridCol w:w="6570"/>
      </w:tblGrid>
      <w:tr w:rsidTr="006833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9.2)</w:t>
            </w:r>
          </w:p>
        </w:tc>
      </w:tr>
      <w:tr w:rsidTr="006833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Before the critical aspects of evidence are considered all pre-requisites shall be met.</w:t>
            </w:r>
          </w:p>
          <w:p w:rsidR="00000000" w:rsidRPr="00CD036A" w:rsidP="00CD036A">
            <w:pPr>
              <w:pStyle w:val="BodyText"/>
            </w:pPr>
            <w:r w:rsidRPr="00CD036A">
              <w:t>Evidence for competence in this unit shall be considered holisticall</w:t>
            </w:r>
            <w:r w:rsidRPr="00CD036A">
              <w:t>y.  Each element and associated Performance Criteria shall be demonstrated on at least two occasions in accordance with the “Assessment Guidelines – UEP12”.  Evidence shall also comprise:</w:t>
            </w:r>
          </w:p>
          <w:p w:rsidR="00000000" w:rsidRPr="00CD036A" w:rsidP="00CD036A">
            <w:pPr>
              <w:pStyle w:val="ListBullet"/>
            </w:pPr>
            <w:r w:rsidRPr="00CD036A">
              <w:t>A representative body of work performance demonstrated within the t</w:t>
            </w:r>
            <w:r w:rsidRPr="00CD036A">
              <w:t>imeframes typically expected of the discipline, work function and industrial environment. In particular this shall incorporate evidence that shows a candidate is able to:</w:t>
            </w:r>
          </w:p>
          <w:p w:rsidR="00000000" w:rsidRPr="00CD036A" w:rsidP="00CD036A">
            <w:pPr>
              <w:pStyle w:val="ListBullet2"/>
            </w:pPr>
            <w:r w:rsidRPr="00CD036A">
              <w:t>Implement Occupational Health</w:t>
            </w:r>
            <w:r w:rsidRPr="00CD036A">
              <w:t xml:space="preserve"> and Safety workplace procedures and practices including the use of risk control measures as specified in the Performance Criteria and Range Statement</w:t>
            </w:r>
          </w:p>
          <w:p w:rsidR="00000000" w:rsidRPr="00CD036A" w:rsidP="00CD036A">
            <w:pPr>
              <w:pStyle w:val="ListBullet2"/>
            </w:pPr>
            <w:r w:rsidRPr="00CD036A">
              <w:t>Apply sustainable energy principles and practices as specified in the Performance Criteria and Range Stat</w:t>
            </w:r>
            <w:r w:rsidRPr="00CD036A">
              <w:t>ement</w:t>
            </w:r>
          </w:p>
          <w:p w:rsidR="00000000" w:rsidRPr="00CD036A" w:rsidP="00CD036A">
            <w:pPr>
              <w:pStyle w:val="ListBullet2"/>
            </w:pPr>
            <w:r w:rsidRPr="00CD036A">
              <w:t>Demonstrate an understanding of the essential knowledge and associated skills as described in 6) Essential Knowledge and Associated Skills of this unit</w:t>
            </w:r>
          </w:p>
          <w:p w:rsidR="00000000" w:rsidRPr="00CD036A" w:rsidP="00CD036A">
            <w:pPr>
              <w:pStyle w:val="ListBullet2"/>
            </w:pPr>
            <w:r w:rsidRPr="00CD036A">
              <w:t>Demonstrate an appropriate level of employability skills</w:t>
            </w:r>
          </w:p>
          <w:p w:rsidR="00000000" w:rsidRPr="00CD036A" w:rsidP="00CD036A">
            <w:pPr>
              <w:pStyle w:val="ListBullet2"/>
            </w:pPr>
            <w:r w:rsidRPr="00CD036A">
              <w:t xml:space="preserve">Conduct work observing the relevant Anti </w:t>
            </w:r>
            <w:r w:rsidRPr="00CD036A">
              <w:t>Discrimination legislation, regulations, polices and workplace procedures</w:t>
            </w:r>
          </w:p>
          <w:p w:rsidR="00000000" w:rsidRPr="00CD036A" w:rsidP="00CD036A">
            <w:pPr>
              <w:pStyle w:val="ListBullet"/>
            </w:pPr>
            <w:r w:rsidRPr="00CD036A">
              <w:t>Demonstrated performance across a representative range of contexts from the prescribed items below:</w:t>
            </w:r>
          </w:p>
          <w:p w:rsidR="00000000" w:rsidRPr="00CD036A" w:rsidP="00CD036A">
            <w:pPr>
              <w:pStyle w:val="ListBullet2"/>
            </w:pPr>
            <w:r w:rsidRPr="00CD036A">
              <w:t>The knowledge and application of relevant sections of: Occupational Health and S</w:t>
            </w:r>
            <w:r w:rsidRPr="00CD036A">
              <w:t>afety legislation; Statutory legislation; Enterprise/site safety procedures; Enterprise/site emergency procedures</w:t>
            </w:r>
          </w:p>
          <w:p w:rsidR="00000000" w:rsidRPr="00CD036A" w:rsidP="00CD036A">
            <w:pPr>
              <w:pStyle w:val="ListBullet2"/>
            </w:pPr>
            <w:r w:rsidRPr="00CD036A">
              <w:t>Preparation and planning of work</w:t>
            </w:r>
          </w:p>
          <w:p w:rsidR="00000000" w:rsidRPr="00CD036A" w:rsidP="00CD036A">
            <w:pPr>
              <w:pStyle w:val="ListBullet2"/>
            </w:pPr>
            <w:r w:rsidRPr="00CD036A">
              <w:t>Verification techniques</w:t>
            </w:r>
          </w:p>
          <w:p w:rsidR="00000000" w:rsidRPr="00CD036A" w:rsidP="00CD036A">
            <w:pPr>
              <w:pStyle w:val="ListBullet2"/>
            </w:pPr>
            <w:r w:rsidRPr="00CD036A">
              <w:t>Diagnostic and fault finding techniques and procedures</w:t>
            </w:r>
          </w:p>
          <w:p w:rsidR="00000000" w:rsidRPr="00CD036A" w:rsidP="00CD036A">
            <w:pPr>
              <w:pStyle w:val="ListBullet2"/>
            </w:pPr>
            <w:r w:rsidRPr="00CD036A">
              <w:t>Repair techniques and procedur</w:t>
            </w:r>
            <w:r w:rsidRPr="00CD036A">
              <w:t>es</w:t>
            </w:r>
          </w:p>
          <w:p w:rsidR="00000000" w:rsidRPr="00CD036A" w:rsidP="00CD036A">
            <w:pPr>
              <w:pStyle w:val="ListBullet2"/>
            </w:pPr>
            <w:r w:rsidRPr="00CD036A">
              <w:t>Completion of work procedures</w:t>
            </w:r>
          </w:p>
          <w:p w:rsidR="00000000" w:rsidRPr="00CD036A" w:rsidP="00CD036A">
            <w:pPr>
              <w:pStyle w:val="ListBullet2"/>
            </w:pPr>
            <w:r w:rsidRPr="00CD036A">
              <w:t>Dealing with an unplanned event by drawing on essential knowledge and skills to provide appropriate solutions incorporated in the holistic assessment with the above listed items</w:t>
            </w:r>
          </w:p>
        </w:tc>
      </w:tr>
    </w:tbl>
    <w:p w:rsidR="00000000" w:rsidRPr="00CD036A" w:rsidP="00CD036A">
      <w:pPr>
        <w:pStyle w:val="BodyText"/>
      </w:pPr>
    </w:p>
    <w:tbl>
      <w:tblPr>
        <w:tblW w:w="0" w:type="auto"/>
        <w:tblLayout w:type="fixed"/>
        <w:tblCellMar>
          <w:left w:w="62" w:type="dxa"/>
          <w:right w:w="62" w:type="dxa"/>
        </w:tblCellMar>
        <w:tblLook w:val="0000"/>
      </w:tblPr>
      <w:tblGrid>
        <w:gridCol w:w="1890"/>
        <w:gridCol w:w="6570"/>
      </w:tblGrid>
      <w:tr w:rsidTr="0068338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9.3)</w:t>
            </w:r>
          </w:p>
        </w:tc>
      </w:tr>
      <w:tr w:rsidTr="0068338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This unit should be assessed as it relates to normal work practice using procedures, information and resources typical of a workplace. This should include:</w:t>
            </w:r>
          </w:p>
          <w:p w:rsidR="00000000" w:rsidRPr="00CD036A" w:rsidP="00CD036A">
            <w:pPr>
              <w:pStyle w:val="ListBullet"/>
            </w:pPr>
            <w:r w:rsidRPr="00CD036A">
              <w:t>OHS policy and work procedures and instruct</w:t>
            </w:r>
            <w:r w:rsidRPr="00CD036A">
              <w:t>ions</w:t>
            </w:r>
          </w:p>
          <w:p w:rsidR="00000000" w:rsidRPr="00CD036A" w:rsidP="00CD036A">
            <w:pPr>
              <w:pStyle w:val="ListBullet"/>
            </w:pPr>
            <w:r w:rsidRPr="00CD036A">
              <w:t>Suitable work environment, facilities, equipment and materials to undertake actual work as prescribed by this unit.</w:t>
            </w:r>
          </w:p>
          <w:p w:rsidR="00000000" w:rsidRPr="00CD036A" w:rsidP="00CD036A">
            <w:pPr>
              <w:pStyle w:val="BodyText"/>
            </w:pPr>
            <w:r w:rsidRPr="00CD036A">
              <w:t>Competency Standards should be assessed in the workplace or simulated workplace and under the normal range of workplace conditions.</w:t>
            </w:r>
          </w:p>
          <w:p w:rsidR="00000000" w:rsidRPr="00CD036A" w:rsidP="00CD036A">
            <w:pPr>
              <w:pStyle w:val="BodyText"/>
            </w:pPr>
            <w:r w:rsidRPr="00CD036A">
              <w:t>Assessment of this unit will be supported with documentary evidence, by means of endorsement stating type and application of work.</w:t>
            </w:r>
          </w:p>
          <w:p w:rsidR="00000000" w:rsidRPr="00CD036A" w:rsidP="00CD036A">
            <w:pPr>
              <w:pStyle w:val="BodyText"/>
            </w:pPr>
            <w:r w:rsidRPr="00CD036A">
              <w:t>In addition to the resources listed above in Context of assessment’, evidence should show competency working, in limited spac</w:t>
            </w:r>
            <w:r w:rsidRPr="00CD036A">
              <w:t>es, with different types of plant and equipment and different structural/ construction types and method and in a variety of environments.</w:t>
            </w:r>
          </w:p>
        </w:tc>
      </w:tr>
    </w:tbl>
    <w:p w:rsidR="00000000" w:rsidRPr="00CD036A" w:rsidP="00CD036A">
      <w:pPr>
        <w:pStyle w:val="BodyText"/>
      </w:pPr>
    </w:p>
    <w:tbl>
      <w:tblPr>
        <w:tblW w:w="0" w:type="auto"/>
        <w:tblLayout w:type="fixed"/>
        <w:tblCellMar>
          <w:left w:w="62" w:type="dxa"/>
          <w:right w:w="62" w:type="dxa"/>
        </w:tblCellMar>
        <w:tblLook w:val="0000"/>
      </w:tblPr>
      <w:tblGrid>
        <w:gridCol w:w="1890"/>
        <w:gridCol w:w="6570"/>
      </w:tblGrid>
      <w:tr w:rsidTr="006833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9.4)</w:t>
            </w:r>
          </w:p>
        </w:tc>
      </w:tr>
      <w:tr w:rsidTr="006833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This unit shall be assessed by methods given in Section 1.3.00 Assessment Guidelines.</w:t>
            </w:r>
          </w:p>
          <w:p w:rsidR="00000000" w:rsidRPr="00CD036A" w:rsidP="00CD036A">
            <w:pPr>
              <w:pStyle w:val="BodyText"/>
            </w:pPr>
            <w:r w:rsidRPr="00CD036A">
              <w:t>Note:</w:t>
            </w:r>
          </w:p>
          <w:p w:rsidR="00000000" w:rsidRPr="00CD036A" w:rsidP="00CD036A">
            <w:pPr>
              <w:pStyle w:val="BodyText"/>
            </w:pPr>
            <w:r w:rsidRPr="00CD036A">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CD036A">
              <w:t>intended for learning/assessment and incorporates all necessary equipment and facilities for learners to develop and demonstrate the essential knowledge and skills described in this unit.</w:t>
            </w:r>
          </w:p>
        </w:tc>
      </w:tr>
    </w:tbl>
    <w:p w:rsidR="00000000" w:rsidRPr="00CD036A" w:rsidP="00CD036A">
      <w:pPr>
        <w:pStyle w:val="BodyText"/>
      </w:pPr>
    </w:p>
    <w:tbl>
      <w:tblPr>
        <w:tblW w:w="0" w:type="auto"/>
        <w:tblLayout w:type="fixed"/>
        <w:tblCellMar>
          <w:left w:w="62" w:type="dxa"/>
          <w:right w:w="62" w:type="dxa"/>
        </w:tblCellMar>
        <w:tblLook w:val="0000"/>
      </w:tblPr>
      <w:tblGrid>
        <w:gridCol w:w="1890"/>
        <w:gridCol w:w="6570"/>
      </w:tblGrid>
      <w:tr w:rsidTr="006833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9.5)</w:t>
            </w:r>
          </w:p>
        </w:tc>
      </w:tr>
      <w:tr w:rsidTr="0068338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The</w:t>
            </w:r>
            <w:r w:rsidRPr="00CD036A">
              <w:t>re are no recommended concurrent assessments with this unit, however in some cases efficiencies may be gained in terms of learning and assessment effort being concurrently managed with allied competency standard units where listed.</w:t>
            </w:r>
          </w:p>
          <w:p w:rsidR="00000000" w:rsidRPr="00CD036A" w:rsidP="00CD036A">
            <w:pPr>
              <w:pStyle w:val="BodyText"/>
            </w:pPr>
            <w:r w:rsidRPr="00CD036A">
              <w:t>Nil</w:t>
            </w:r>
            <w:r w:rsidRPr="00CD036A">
              <w:tab/>
            </w:r>
          </w:p>
        </w:tc>
      </w:tr>
    </w:tbl>
    <w:p w:rsidR="00000000" w:rsidRPr="00CD036A" w:rsidP="00CD036A">
      <w:pPr>
        <w:pStyle w:val="BodyText"/>
      </w:pPr>
    </w:p>
    <w:p w:rsidR="00000000" w:rsidRPr="00CD036A" w:rsidP="00CD036A">
      <w:pPr>
        <w:pStyle w:val="AllowPageBreak"/>
      </w:pPr>
    </w:p>
    <w:p w:rsidR="00000000" w:rsidRPr="00CD036A" w:rsidP="00CD036A">
      <w:pPr>
        <w:pStyle w:val="Heading1"/>
      </w:pPr>
      <w:bookmarkStart w:id="11" w:name="O_470059"/>
      <w:bookmarkEnd w:id="11"/>
      <w:r w:rsidRPr="00CD036A">
        <w:t>Range Statement</w:t>
      </w:r>
    </w:p>
    <w:tbl>
      <w:tblPr>
        <w:tblW w:w="0" w:type="auto"/>
        <w:tblLayout w:type="fixed"/>
        <w:tblCellMar>
          <w:left w:w="62" w:type="dxa"/>
          <w:right w:w="62" w:type="dxa"/>
        </w:tblCellMar>
        <w:tblLook w:val="0000"/>
      </w:tblPr>
      <w:tblGrid>
        <w:gridCol w:w="8460"/>
      </w:tblGrid>
      <w:tr w:rsidTr="0068338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RANGE STATEMENT</w:t>
            </w:r>
          </w:p>
        </w:tc>
      </w:tr>
      <w:tr w:rsidTr="0068338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10)</w:t>
            </w:r>
            <w:r w:rsidRPr="00CD036A">
              <w:t xml:space="preserve"> This relates to the competency standard unit as a whole providing the range of contexts and </w:t>
            </w:r>
            <w:r w:rsidRPr="00CD036A">
              <w:t>conditions to which the Performance Criteria apply. It allows for different work environments and situations that will affect performance.</w:t>
            </w:r>
          </w:p>
          <w:p w:rsidR="00000000" w:rsidRPr="00CD036A" w:rsidP="00CD036A">
            <w:pPr>
              <w:pStyle w:val="BodyText"/>
            </w:pPr>
            <w:r w:rsidRPr="00CD036A">
              <w:t>Inspection should be planned with the appropriate parties to determine access, conditions and work requirements.</w:t>
            </w:r>
          </w:p>
          <w:p w:rsidR="00000000" w:rsidRPr="00CD036A" w:rsidP="00CD036A">
            <w:pPr>
              <w:pStyle w:val="BodyText"/>
            </w:pPr>
            <w:r w:rsidRPr="00CD036A">
              <w:t>Equi</w:t>
            </w:r>
            <w:r w:rsidRPr="00CD036A">
              <w:t>pment may include gauges, transmitters, switches, thermocouples, RTD’s, thermostats, indicators, meters, proximity probes, indication slide wires, control valves, valve positioners, lock up valves, power cylinders, power cylinder positioners, I/P and E/P c</w:t>
            </w:r>
            <w:r w:rsidRPr="00CD036A">
              <w:t>onverters, air relays, pressure regulators, solenoid valves, analogue indicators, fire detectors, smoke detectors, vibration detectors, gas detectors and fuel valves.</w:t>
            </w:r>
          </w:p>
          <w:p w:rsidR="00000000" w:rsidRPr="00CD036A" w:rsidP="00CD036A">
            <w:pPr>
              <w:pStyle w:val="BodyText"/>
            </w:pPr>
            <w:r w:rsidRPr="00CD036A">
              <w:t>Materials may include lubricants, cleaning solvents, gasket materials, leak test solution</w:t>
            </w:r>
            <w:r w:rsidRPr="00CD036A">
              <w:t>, connectors and fittings.</w:t>
            </w:r>
          </w:p>
          <w:p w:rsidR="00000000" w:rsidRPr="00CD036A" w:rsidP="00CD036A">
            <w:pPr>
              <w:pStyle w:val="BodyText"/>
            </w:pPr>
            <w:r w:rsidRPr="00CD036A">
              <w:t>Components may include hair springs, gauge movements, pneumatic restrictors, air relays, microswitches, flapper/nozzles, diaphragms, springs, bellows, gaskets, shuttle valves, pilot valves, amplifier modules, coils and plug in pr</w:t>
            </w:r>
            <w:r w:rsidRPr="00CD036A">
              <w:t>inted circuit boards.</w:t>
            </w:r>
          </w:p>
          <w:p w:rsidR="00000000" w:rsidRPr="00CD036A" w:rsidP="00CD036A">
            <w:pPr>
              <w:pStyle w:val="BodyText"/>
            </w:pPr>
            <w:r w:rsidRPr="00CD036A">
              <w:t>Test and measurement instruments may include dead weight tester, pneumatic calibrator, vacuum pump gauge, manometer, precision pressure gauge, hand-held pressure pump, comparator, temperature baths, oven, multimeter, variable power su</w:t>
            </w:r>
            <w:r w:rsidRPr="00CD036A">
              <w:t>pply, d.c. I/V standard, potentiometer and decade box.</w:t>
            </w:r>
          </w:p>
          <w:p w:rsidR="00000000" w:rsidRPr="00CD036A" w:rsidP="00CD036A">
            <w:pPr>
              <w:pStyle w:val="BodyText"/>
            </w:pPr>
            <w:r w:rsidRPr="00CD036A">
              <w:t>Fault finding and diagnostic techniques may include linear approach, half split rule, sensory detection, insulation/resistance and continuity tests.</w:t>
            </w:r>
          </w:p>
          <w:p w:rsidR="00000000" w:rsidRPr="00CD036A" w:rsidP="00CD036A">
            <w:pPr>
              <w:pStyle w:val="BodyText"/>
            </w:pPr>
            <w:r w:rsidRPr="00CD036A">
              <w:t>Fault indicators may include indication lamps, LEDs,</w:t>
            </w:r>
            <w:r w:rsidRPr="00CD036A">
              <w:t xml:space="preserve"> alarms and flag relays.</w:t>
            </w:r>
          </w:p>
          <w:p w:rsidR="00000000" w:rsidRPr="00CD036A" w:rsidP="00CD036A">
            <w:pPr>
              <w:pStyle w:val="BodyText"/>
            </w:pPr>
            <w:r w:rsidRPr="00CD036A">
              <w:t>Work may be performed with equipment on line.</w:t>
            </w:r>
          </w:p>
          <w:p w:rsidR="00000000" w:rsidRPr="00CD036A" w:rsidP="00CD036A">
            <w:pPr>
              <w:pStyle w:val="BodyText"/>
            </w:pPr>
            <w:r w:rsidRPr="00CD036A">
              <w:t>Work completion details may include plant and maintenance records, job cards, check sheets and on device labelling updates.</w:t>
            </w:r>
          </w:p>
          <w:p w:rsidR="00000000" w:rsidRPr="00CD036A" w:rsidP="00CD036A">
            <w:pPr>
              <w:pStyle w:val="BodyText"/>
            </w:pPr>
            <w:r w:rsidRPr="00CD036A">
              <w:t>Work site environment may be affected by nearby plant or proc</w:t>
            </w:r>
            <w:r w:rsidRPr="00CD036A">
              <w:t>esses, e.g. heat, noise, dust, oil, water and chemical.</w:t>
            </w:r>
          </w:p>
          <w:p w:rsidR="00000000" w:rsidRPr="00CD036A" w:rsidP="00CD036A">
            <w:pPr>
              <w:pStyle w:val="BodyText"/>
            </w:pPr>
            <w:r w:rsidRPr="00CD036A">
              <w:t>Isolations can refer to electrical/mechanical or other associated processes.</w:t>
            </w:r>
          </w:p>
          <w:p w:rsidR="00000000" w:rsidRPr="00CD036A" w:rsidP="00CD036A">
            <w:pPr>
              <w:pStyle w:val="BodyText"/>
            </w:pPr>
            <w:r w:rsidRPr="00CD036A">
              <w:t>Generic terms are used throughout this Training Package for vocational standard shall be regarded as part of the Range Stat</w:t>
            </w:r>
            <w:r w:rsidRPr="00CD036A">
              <w:t>ement in which competency is demonstrated. The definition of these and other terms are given in Section 2.1.00 Preliminary Information and Glossaries.</w:t>
            </w:r>
          </w:p>
        </w:tc>
      </w:tr>
    </w:tbl>
    <w:p w:rsidR="00000000" w:rsidRPr="00CD036A" w:rsidP="00CD036A">
      <w:pPr>
        <w:pStyle w:val="BodyText"/>
      </w:pPr>
    </w:p>
    <w:p w:rsidR="00000000" w:rsidRPr="00CD036A" w:rsidP="00CD036A">
      <w:pPr>
        <w:pStyle w:val="AllowPageBreak"/>
      </w:pPr>
    </w:p>
    <w:p w:rsidR="00000000" w:rsidRPr="00CD036A" w:rsidP="00CD036A">
      <w:pPr>
        <w:pStyle w:val="Heading1"/>
      </w:pPr>
      <w:bookmarkStart w:id="12" w:name="O_470062"/>
      <w:bookmarkEnd w:id="12"/>
      <w:r w:rsidRPr="00CD036A">
        <w:t>Unit Sector(s)</w:t>
      </w:r>
    </w:p>
    <w:p w:rsidR="00000000" w:rsidRPr="00CD036A" w:rsidP="00CD036A">
      <w:pPr>
        <w:pStyle w:val="BodyText"/>
      </w:pPr>
      <w:r w:rsidRPr="00CD036A">
        <w:t>Not applicable.</w:t>
      </w:r>
    </w:p>
    <w:p w:rsidR="00000000" w:rsidRPr="00CD036A" w:rsidP="00CD036A">
      <w:pPr>
        <w:pStyle w:val="AllowPageBreak"/>
      </w:pPr>
    </w:p>
    <w:p w:rsidR="00000000" w:rsidRPr="00CD036A" w:rsidP="00CD036A">
      <w:pPr>
        <w:pStyle w:val="Heading1"/>
      </w:pPr>
      <w:bookmarkStart w:id="13" w:name="O_470051"/>
      <w:bookmarkEnd w:id="13"/>
      <w:r w:rsidRPr="00CD036A">
        <w:t>Competency Field</w:t>
      </w:r>
    </w:p>
    <w:tbl>
      <w:tblPr>
        <w:tblW w:w="0" w:type="auto"/>
        <w:tblLayout w:type="fixed"/>
        <w:tblCellMar>
          <w:left w:w="62" w:type="dxa"/>
          <w:right w:w="62" w:type="dxa"/>
        </w:tblCellMar>
        <w:tblLook w:val="0000"/>
      </w:tblPr>
      <w:tblGrid>
        <w:gridCol w:w="2700"/>
        <w:gridCol w:w="5760"/>
      </w:tblGrid>
      <w:tr w:rsidTr="0068338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D036A">
            <w:pPr>
              <w:pStyle w:val="BodyText"/>
              <w:rPr>
                <w:lang w:val="en-NZ"/>
              </w:rPr>
            </w:pPr>
            <w:r w:rsidRPr="00CD036A">
              <w:rPr>
                <w:rStyle w:val="SpecialBold"/>
              </w:rPr>
              <w:t xml:space="preserve">11) </w:t>
            </w:r>
          </w:p>
        </w:tc>
      </w:tr>
      <w:tr w:rsidTr="0068338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D036A" w:rsidP="00CD036A">
            <w:pPr>
              <w:pStyle w:val="BodyText"/>
            </w:pPr>
            <w:r w:rsidRPr="00CD036A">
              <w:t>Maintenance</w:t>
            </w:r>
          </w:p>
        </w:tc>
      </w:tr>
    </w:tbl>
    <w:p w:rsidR="00000000" w:rsidRPr="00CD036A" w:rsidP="00CD036A">
      <w:pPr>
        <w:pStyle w:val="BodyText"/>
      </w:pPr>
    </w:p>
    <w:p w:rsidR="00000000" w:rsidRPr="00CD036A" w:rsidP="00CD036A"/>
    <w:sectPr w:rsidSect="00CD03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3380" w:rsidP="0068338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80" w:rsidP="00CD036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83380" w:rsidP="00CD03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83380" w:rsidP="00CD03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6A" w:rsidRPr="00683380" w:rsidP="006833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3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80" w:rsidRPr="002D2AF8" w:rsidP="00CD036A">
    <w:pPr>
      <w:pStyle w:val="Header"/>
      <w:framePr w:wrap="around"/>
    </w:pPr>
    <w:r>
      <w:fldChar w:fldCharType="begin"/>
    </w:r>
    <w:r>
      <w:instrText xml:space="preserve"> TITLE   \* MERGEFORMAT </w:instrText>
    </w:r>
    <w:r>
      <w:fldChar w:fldCharType="separate"/>
    </w:r>
    <w:r>
      <w:t>UEPMNT357B Diagnose and repair faults in instrumentation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683380" w:rsidP="00CD03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E45B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7EC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9666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3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036A"/>
    <w:pPr>
      <w:spacing w:before="360" w:after="60"/>
      <w:outlineLvl w:val="0"/>
    </w:pPr>
    <w:rPr>
      <w:sz w:val="32"/>
    </w:rPr>
  </w:style>
  <w:style w:type="paragraph" w:styleId="Heading2">
    <w:name w:val="heading 2"/>
    <w:basedOn w:val="HeadingBase"/>
    <w:next w:val="BodyText"/>
    <w:link w:val="Heading2Char"/>
    <w:qFormat/>
    <w:rsid w:val="00CD036A"/>
    <w:pPr>
      <w:keepLines/>
      <w:spacing w:before="240" w:after="120"/>
      <w:outlineLvl w:val="1"/>
    </w:pPr>
    <w:rPr>
      <w:sz w:val="28"/>
      <w:szCs w:val="40"/>
    </w:rPr>
  </w:style>
  <w:style w:type="paragraph" w:styleId="Heading3">
    <w:name w:val="heading 3"/>
    <w:basedOn w:val="HeadingBase"/>
    <w:next w:val="BodyText"/>
    <w:link w:val="Heading3Char"/>
    <w:qFormat/>
    <w:rsid w:val="00CD036A"/>
    <w:pPr>
      <w:spacing w:before="180" w:after="120"/>
      <w:outlineLvl w:val="2"/>
    </w:pPr>
    <w:rPr>
      <w:spacing w:val="-10"/>
      <w:kern w:val="32"/>
    </w:rPr>
  </w:style>
  <w:style w:type="paragraph" w:styleId="Heading4">
    <w:name w:val="heading 4"/>
    <w:basedOn w:val="HeadingBase"/>
    <w:next w:val="BodyText"/>
    <w:link w:val="Heading4Char"/>
    <w:qFormat/>
    <w:rsid w:val="00CD036A"/>
    <w:pPr>
      <w:spacing w:before="160" w:after="120"/>
      <w:outlineLvl w:val="3"/>
    </w:pPr>
    <w:rPr>
      <w:sz w:val="22"/>
    </w:rPr>
  </w:style>
  <w:style w:type="paragraph" w:styleId="Heading5">
    <w:name w:val="heading 5"/>
    <w:basedOn w:val="HeadingBase"/>
    <w:next w:val="Normal"/>
    <w:link w:val="Heading5Char"/>
    <w:qFormat/>
    <w:rsid w:val="00CD036A"/>
    <w:pPr>
      <w:spacing w:before="80"/>
      <w:outlineLvl w:val="4"/>
    </w:pPr>
    <w:rPr>
      <w:color w:val="918585"/>
      <w:sz w:val="20"/>
    </w:rPr>
  </w:style>
  <w:style w:type="paragraph" w:styleId="Heading6">
    <w:name w:val="heading 6"/>
    <w:basedOn w:val="HeadingBase"/>
    <w:next w:val="Normal"/>
    <w:link w:val="Heading6Char"/>
    <w:qFormat/>
    <w:rsid w:val="00CD036A"/>
    <w:pPr>
      <w:spacing w:before="60"/>
      <w:outlineLvl w:val="5"/>
    </w:pPr>
    <w:rPr>
      <w:color w:val="918585"/>
      <w:sz w:val="20"/>
    </w:rPr>
  </w:style>
  <w:style w:type="paragraph" w:styleId="Heading7">
    <w:name w:val="heading 7"/>
    <w:basedOn w:val="Normal"/>
    <w:next w:val="Normal"/>
    <w:link w:val="Heading7Char"/>
    <w:qFormat/>
    <w:rsid w:val="00CD036A"/>
    <w:pPr>
      <w:ind w:left="720"/>
      <w:outlineLvl w:val="6"/>
    </w:pPr>
    <w:rPr>
      <w:i/>
    </w:rPr>
  </w:style>
  <w:style w:type="paragraph" w:styleId="Heading8">
    <w:name w:val="heading 8"/>
    <w:basedOn w:val="Normal"/>
    <w:next w:val="Normal"/>
    <w:link w:val="Heading8Char"/>
    <w:qFormat/>
    <w:rsid w:val="00CD036A"/>
    <w:pPr>
      <w:ind w:left="720"/>
      <w:outlineLvl w:val="7"/>
    </w:pPr>
    <w:rPr>
      <w:i/>
    </w:rPr>
  </w:style>
  <w:style w:type="paragraph" w:styleId="Heading9">
    <w:name w:val="heading 9"/>
    <w:basedOn w:val="Normal"/>
    <w:next w:val="Normal"/>
    <w:link w:val="Heading9Char"/>
    <w:qFormat/>
    <w:rsid w:val="00CD036A"/>
    <w:pPr>
      <w:ind w:left="720"/>
      <w:outlineLvl w:val="8"/>
    </w:pPr>
    <w:rPr>
      <w:i/>
    </w:rPr>
  </w:style>
  <w:style w:type="character" w:default="1" w:styleId="DefaultParagraphFont">
    <w:name w:val="Default Paragraph Font"/>
    <w:uiPriority w:val="1"/>
    <w:unhideWhenUsed/>
    <w:rsid w:val="00CD03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036A"/>
  </w:style>
  <w:style w:type="character" w:customStyle="1" w:styleId="Heading1Char">
    <w:name w:val="Heading 1 Char"/>
    <w:basedOn w:val="DefaultParagraphFont"/>
    <w:link w:val="Heading1"/>
    <w:rsid w:val="00CD036A"/>
    <w:rPr>
      <w:rFonts w:ascii="Times New Roman" w:eastAsia="Times New Roman" w:hAnsi="Times New Roman" w:cs="Times New Roman"/>
      <w:b/>
      <w:sz w:val="32"/>
      <w:szCs w:val="20"/>
      <w:lang w:eastAsia="en-US"/>
    </w:rPr>
  </w:style>
  <w:style w:type="paragraph" w:styleId="BodyText">
    <w:name w:val="Body Text"/>
    <w:basedOn w:val="Normal"/>
    <w:link w:val="BodyTextChar"/>
    <w:rsid w:val="00CD03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036A"/>
    <w:rPr>
      <w:rFonts w:ascii="Times New Roman" w:eastAsia="Times New Roman" w:hAnsi="Times New Roman" w:cs="Times New Roman"/>
      <w:sz w:val="24"/>
      <w:lang w:eastAsia="en-US"/>
    </w:rPr>
  </w:style>
  <w:style w:type="paragraph" w:styleId="Footer">
    <w:name w:val="footer"/>
    <w:basedOn w:val="Normal"/>
    <w:link w:val="FooterChar"/>
    <w:rsid w:val="00CD03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036A"/>
    <w:rPr>
      <w:rFonts w:ascii="Times New Roman" w:eastAsia="Times New Roman" w:hAnsi="Times New Roman" w:cs="Times New Roman"/>
      <w:sz w:val="16"/>
      <w:lang w:eastAsia="en-US"/>
    </w:rPr>
  </w:style>
  <w:style w:type="paragraph" w:styleId="ListBullet">
    <w:name w:val="List Bullet"/>
    <w:basedOn w:val="List"/>
    <w:rsid w:val="00CD036A"/>
    <w:pPr>
      <w:numPr>
        <w:numId w:val="13"/>
      </w:numPr>
      <w:tabs>
        <w:tab w:val="clear" w:pos="340"/>
      </w:tabs>
      <w:spacing w:before="40" w:after="40"/>
    </w:pPr>
  </w:style>
  <w:style w:type="character" w:customStyle="1" w:styleId="SpecialBold">
    <w:name w:val="Special Bold"/>
    <w:basedOn w:val="DefaultParagraphFont"/>
    <w:rsid w:val="00CD036A"/>
    <w:rPr>
      <w:b/>
      <w:spacing w:val="0"/>
    </w:rPr>
  </w:style>
  <w:style w:type="paragraph" w:styleId="ListBullet2">
    <w:name w:val="List Bullet 2"/>
    <w:basedOn w:val="List2"/>
    <w:rsid w:val="00CD036A"/>
    <w:pPr>
      <w:numPr>
        <w:numId w:val="14"/>
      </w:numPr>
      <w:tabs>
        <w:tab w:val="clear" w:pos="680"/>
      </w:tabs>
    </w:pPr>
  </w:style>
  <w:style w:type="paragraph" w:customStyle="1" w:styleId="SuperHeading">
    <w:name w:val="SuperHeading"/>
    <w:basedOn w:val="Normal"/>
    <w:rsid w:val="00CD036A"/>
    <w:pPr>
      <w:spacing w:before="240" w:after="120"/>
      <w:outlineLvl w:val="0"/>
    </w:pPr>
    <w:rPr>
      <w:rFonts w:ascii="Times New Roman" w:hAnsi="Times New Roman"/>
      <w:b/>
      <w:sz w:val="28"/>
    </w:rPr>
  </w:style>
  <w:style w:type="paragraph" w:customStyle="1" w:styleId="AllowPageBreak">
    <w:name w:val="AllowPageBreak"/>
    <w:rsid w:val="00CD03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03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03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03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03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03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03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03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036A"/>
    <w:rPr>
      <w:rFonts w:ascii="Courier New" w:eastAsia="Times New Roman" w:hAnsi="Courier New" w:cs="Times New Roman"/>
      <w:i/>
      <w:szCs w:val="20"/>
      <w:lang w:eastAsia="en-US"/>
    </w:rPr>
  </w:style>
  <w:style w:type="paragraph" w:customStyle="1" w:styleId="HeadingBase">
    <w:name w:val="Heading Base"/>
    <w:rsid w:val="00CD03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036A"/>
    <w:pPr>
      <w:tabs>
        <w:tab w:val="right" w:leader="dot" w:pos="9072"/>
      </w:tabs>
      <w:ind w:left="567"/>
    </w:pPr>
    <w:rPr>
      <w:szCs w:val="22"/>
    </w:rPr>
  </w:style>
  <w:style w:type="paragraph" w:customStyle="1" w:styleId="TOCBase">
    <w:name w:val="TOC Base"/>
    <w:rsid w:val="00CD03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036A"/>
    <w:pPr>
      <w:tabs>
        <w:tab w:val="right" w:leader="dot" w:pos="9072"/>
      </w:tabs>
      <w:spacing w:before="40" w:after="40"/>
      <w:ind w:left="284"/>
    </w:pPr>
    <w:rPr>
      <w:rFonts w:ascii="Times New Roman" w:hAnsi="Times New Roman"/>
    </w:rPr>
  </w:style>
  <w:style w:type="paragraph" w:styleId="TOC1">
    <w:name w:val="toc 1"/>
    <w:basedOn w:val="TOCBase"/>
    <w:next w:val="Normal"/>
    <w:rsid w:val="00CD03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036A"/>
    <w:pPr>
      <w:spacing w:before="5040"/>
      <w:jc w:val="center"/>
    </w:pPr>
    <w:rPr>
      <w:sz w:val="48"/>
      <w:szCs w:val="72"/>
      <w:lang w:val="en-US"/>
    </w:rPr>
  </w:style>
  <w:style w:type="character" w:customStyle="1" w:styleId="TitleChar">
    <w:name w:val="Title Char"/>
    <w:basedOn w:val="DefaultParagraphFont"/>
    <w:link w:val="Title"/>
    <w:rsid w:val="00CD03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036A"/>
    <w:pPr>
      <w:tabs>
        <w:tab w:val="left" w:pos="3600"/>
        <w:tab w:val="left" w:pos="3958"/>
      </w:tabs>
    </w:pPr>
  </w:style>
  <w:style w:type="paragraph" w:styleId="List">
    <w:name w:val="List"/>
    <w:basedOn w:val="BodyText"/>
    <w:next w:val="BodyText"/>
    <w:rsid w:val="00CD036A"/>
    <w:pPr>
      <w:tabs>
        <w:tab w:val="left" w:pos="340"/>
      </w:tabs>
      <w:spacing w:before="60" w:after="60"/>
      <w:ind w:left="340" w:hanging="340"/>
    </w:pPr>
  </w:style>
  <w:style w:type="paragraph" w:customStyle="1" w:styleId="Note">
    <w:name w:val="Note"/>
    <w:basedOn w:val="BodyText"/>
    <w:rsid w:val="00CD03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036A"/>
    <w:pPr>
      <w:framePr w:wrap="auto" w:hAnchor="text" w:y="6049"/>
    </w:pPr>
    <w:rPr>
      <w:color w:val="000000"/>
      <w:sz w:val="40"/>
    </w:rPr>
  </w:style>
  <w:style w:type="paragraph" w:customStyle="1" w:styleId="TOCTitle">
    <w:name w:val="TOCTitle"/>
    <w:basedOn w:val="Heading1"/>
    <w:rsid w:val="00CD036A"/>
    <w:pPr>
      <w:spacing w:after="240"/>
      <w:jc w:val="center"/>
      <w:outlineLvl w:val="9"/>
    </w:pPr>
    <w:rPr>
      <w:caps/>
    </w:rPr>
  </w:style>
  <w:style w:type="paragraph" w:customStyle="1" w:styleId="Version">
    <w:name w:val="Version"/>
    <w:rsid w:val="00CD03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036A"/>
    <w:pPr>
      <w:keepNext w:val="0"/>
      <w:tabs>
        <w:tab w:val="right" w:pos="4176"/>
      </w:tabs>
      <w:ind w:left="198" w:hanging="198"/>
    </w:pPr>
    <w:rPr>
      <w:rFonts w:ascii="Garamond" w:hAnsi="Garamond"/>
    </w:rPr>
  </w:style>
  <w:style w:type="paragraph" w:styleId="IndexHeading">
    <w:name w:val="index heading"/>
    <w:basedOn w:val="Normal"/>
    <w:next w:val="Index1"/>
    <w:semiHidden/>
    <w:rsid w:val="00CD036A"/>
    <w:pPr>
      <w:spacing w:before="120" w:after="120"/>
    </w:pPr>
    <w:rPr>
      <w:rFonts w:ascii="Arial" w:hAnsi="Arial"/>
      <w:b/>
      <w:color w:val="918585"/>
      <w:sz w:val="24"/>
    </w:rPr>
  </w:style>
  <w:style w:type="paragraph" w:styleId="Header">
    <w:name w:val="header"/>
    <w:basedOn w:val="Normal"/>
    <w:link w:val="HeaderChar"/>
    <w:rsid w:val="00CD03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036A"/>
    <w:rPr>
      <w:rFonts w:ascii="Times New Roman" w:eastAsia="Times New Roman" w:hAnsi="Times New Roman" w:cs="Times New Roman"/>
      <w:sz w:val="16"/>
      <w:szCs w:val="20"/>
      <w:lang w:val="en-GB" w:eastAsia="en-US"/>
    </w:rPr>
  </w:style>
  <w:style w:type="paragraph" w:customStyle="1" w:styleId="Chapter">
    <w:name w:val="Chapter"/>
    <w:basedOn w:val="Normal"/>
    <w:rsid w:val="00CD036A"/>
    <w:pPr>
      <w:spacing w:before="240"/>
    </w:pPr>
    <w:rPr>
      <w:rFonts w:ascii="Times New Roman" w:hAnsi="Times New Roman"/>
      <w:smallCaps/>
      <w:spacing w:val="80"/>
      <w:sz w:val="28"/>
    </w:rPr>
  </w:style>
  <w:style w:type="paragraph" w:customStyle="1" w:styleId="InChapter">
    <w:name w:val="InChapter"/>
    <w:basedOn w:val="Heading3"/>
    <w:rsid w:val="00CD036A"/>
    <w:pPr>
      <w:spacing w:after="240"/>
      <w:outlineLvl w:val="9"/>
    </w:pPr>
    <w:rPr>
      <w:noProof/>
    </w:rPr>
  </w:style>
  <w:style w:type="paragraph" w:styleId="Index2">
    <w:name w:val="index 2"/>
    <w:basedOn w:val="Normal"/>
    <w:next w:val="Normal"/>
    <w:semiHidden/>
    <w:rsid w:val="00CD036A"/>
    <w:pPr>
      <w:tabs>
        <w:tab w:val="right" w:pos="4176"/>
      </w:tabs>
      <w:ind w:left="568" w:hanging="284"/>
    </w:pPr>
    <w:rPr>
      <w:rFonts w:ascii="Garamond" w:hAnsi="Garamond"/>
    </w:rPr>
  </w:style>
  <w:style w:type="paragraph" w:customStyle="1" w:styleId="Byline">
    <w:name w:val="Byline"/>
    <w:rsid w:val="00CD03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036A"/>
    <w:pPr>
      <w:tabs>
        <w:tab w:val="clear" w:pos="3600"/>
        <w:tab w:val="clear" w:pos="3958"/>
      </w:tabs>
      <w:jc w:val="right"/>
    </w:pPr>
  </w:style>
  <w:style w:type="character" w:styleId="Emphasis">
    <w:name w:val="Emphasis"/>
    <w:basedOn w:val="DefaultParagraphFont"/>
    <w:qFormat/>
    <w:rsid w:val="00CD036A"/>
    <w:rPr>
      <w:i/>
    </w:rPr>
  </w:style>
  <w:style w:type="paragraph" w:styleId="Caption">
    <w:name w:val="caption"/>
    <w:basedOn w:val="BodyText"/>
    <w:next w:val="Normal"/>
    <w:qFormat/>
    <w:rsid w:val="00CD036A"/>
    <w:pPr>
      <w:framePr w:w="2268" w:hSpace="181" w:vSpace="181" w:wrap="around" w:vAnchor="text" w:hAnchor="page" w:x="1135" w:y="285" w:anchorLock="1"/>
    </w:pPr>
    <w:rPr>
      <w:i/>
    </w:rPr>
  </w:style>
  <w:style w:type="paragraph" w:customStyle="1" w:styleId="MiniTOCTitle">
    <w:name w:val="MiniTOCTitle"/>
    <w:basedOn w:val="Heading4"/>
    <w:rsid w:val="00CD036A"/>
    <w:pPr>
      <w:spacing w:before="240"/>
      <w:outlineLvl w:val="9"/>
    </w:pPr>
    <w:rPr>
      <w:noProof/>
      <w:sz w:val="24"/>
    </w:rPr>
  </w:style>
  <w:style w:type="paragraph" w:customStyle="1" w:styleId="MiniTOCItem">
    <w:name w:val="MiniTOCItem"/>
    <w:basedOn w:val="ListBullet"/>
    <w:rsid w:val="00CD036A"/>
    <w:pPr>
      <w:numPr>
        <w:numId w:val="0"/>
      </w:numPr>
      <w:tabs>
        <w:tab w:val="right" w:leader="dot" w:pos="6521"/>
      </w:tabs>
      <w:spacing w:before="0" w:after="0"/>
    </w:pPr>
  </w:style>
  <w:style w:type="paragraph" w:customStyle="1" w:styleId="TOFTitle">
    <w:name w:val="TOFTitle"/>
    <w:basedOn w:val="TOCTitle"/>
    <w:rsid w:val="00CD036A"/>
  </w:style>
  <w:style w:type="paragraph" w:styleId="TableofFigures">
    <w:name w:val="table of figures"/>
    <w:basedOn w:val="Normal"/>
    <w:next w:val="Normal"/>
    <w:semiHidden/>
    <w:rsid w:val="00CD036A"/>
    <w:pPr>
      <w:tabs>
        <w:tab w:val="right" w:leader="dot" w:pos="9072"/>
      </w:tabs>
      <w:ind w:left="970" w:hanging="403"/>
    </w:pPr>
    <w:rPr>
      <w:rFonts w:ascii="Times New Roman" w:hAnsi="Times New Roman"/>
      <w:b/>
    </w:rPr>
  </w:style>
  <w:style w:type="paragraph" w:styleId="ListNumber">
    <w:name w:val="List Number"/>
    <w:basedOn w:val="List"/>
    <w:rsid w:val="00CD036A"/>
    <w:pPr>
      <w:numPr>
        <w:numId w:val="11"/>
      </w:numPr>
    </w:pPr>
  </w:style>
  <w:style w:type="character" w:customStyle="1" w:styleId="WingdingSymbols">
    <w:name w:val="Wingding Symbols"/>
    <w:rsid w:val="00CD036A"/>
    <w:rPr>
      <w:rFonts w:ascii="Wingdings" w:hAnsi="Wingdings"/>
    </w:rPr>
  </w:style>
  <w:style w:type="paragraph" w:customStyle="1" w:styleId="TableHeading">
    <w:name w:val="Table Heading"/>
    <w:basedOn w:val="HeadingBase"/>
    <w:rsid w:val="00CD036A"/>
    <w:pPr>
      <w:keepLines/>
      <w:pBdr>
        <w:bottom w:val="single" w:sz="6" w:space="1" w:color="918585"/>
      </w:pBdr>
      <w:spacing w:before="240"/>
    </w:pPr>
  </w:style>
  <w:style w:type="character" w:customStyle="1" w:styleId="HotSpot">
    <w:name w:val="HotSpot"/>
    <w:rsid w:val="00CD036A"/>
    <w:rPr>
      <w:color w:val="0033CC"/>
      <w:u w:val="none"/>
    </w:rPr>
  </w:style>
  <w:style w:type="paragraph" w:customStyle="1" w:styleId="BodyTextRight">
    <w:name w:val="Body Text Right"/>
    <w:basedOn w:val="BodyText"/>
    <w:rsid w:val="00CD036A"/>
    <w:pPr>
      <w:spacing w:before="0" w:after="0"/>
      <w:jc w:val="right"/>
    </w:pPr>
  </w:style>
  <w:style w:type="paragraph" w:styleId="Index3">
    <w:name w:val="index 3"/>
    <w:basedOn w:val="ListNumber2"/>
    <w:next w:val="Normal"/>
    <w:semiHidden/>
    <w:rsid w:val="00CD036A"/>
    <w:pPr>
      <w:numPr>
        <w:numId w:val="0"/>
      </w:numPr>
      <w:tabs>
        <w:tab w:val="right" w:leader="dot" w:pos="4176"/>
      </w:tabs>
    </w:pPr>
  </w:style>
  <w:style w:type="paragraph" w:styleId="ListNumber2">
    <w:name w:val="List Number 2"/>
    <w:basedOn w:val="List2"/>
    <w:rsid w:val="00CD036A"/>
    <w:pPr>
      <w:numPr>
        <w:numId w:val="10"/>
      </w:numPr>
      <w:tabs>
        <w:tab w:val="clear" w:pos="1060"/>
      </w:tabs>
    </w:pPr>
  </w:style>
  <w:style w:type="paragraph" w:customStyle="1" w:styleId="MarginNote">
    <w:name w:val="Margin Note"/>
    <w:basedOn w:val="BodyText"/>
    <w:rsid w:val="00CD03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03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03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036A"/>
    <w:rPr>
      <w:sz w:val="32"/>
    </w:rPr>
  </w:style>
  <w:style w:type="paragraph" w:customStyle="1" w:styleId="HeadingProcedure">
    <w:name w:val="Heading Procedure"/>
    <w:basedOn w:val="HeadingBase"/>
    <w:next w:val="Normal"/>
    <w:rsid w:val="00CD036A"/>
    <w:pPr>
      <w:tabs>
        <w:tab w:val="left" w:pos="0"/>
      </w:tabs>
      <w:spacing w:before="120" w:after="60"/>
    </w:pPr>
    <w:rPr>
      <w:i/>
      <w:color w:val="918585"/>
      <w:sz w:val="22"/>
    </w:rPr>
  </w:style>
  <w:style w:type="paragraph" w:customStyle="1" w:styleId="TableBodyText">
    <w:name w:val="Table Body Text"/>
    <w:basedOn w:val="BodyText"/>
    <w:rsid w:val="00CD036A"/>
    <w:pPr>
      <w:spacing w:before="60" w:after="60"/>
    </w:pPr>
  </w:style>
  <w:style w:type="paragraph" w:styleId="ListContinue">
    <w:name w:val="List Continue"/>
    <w:basedOn w:val="List"/>
    <w:rsid w:val="00CD036A"/>
    <w:pPr>
      <w:ind w:firstLine="0"/>
    </w:pPr>
  </w:style>
  <w:style w:type="paragraph" w:customStyle="1" w:styleId="ListNote">
    <w:name w:val="List Note"/>
    <w:basedOn w:val="List"/>
    <w:rsid w:val="00CD036A"/>
    <w:pPr>
      <w:pBdr>
        <w:top w:val="single" w:sz="6" w:space="2" w:color="918585"/>
        <w:bottom w:val="single" w:sz="6" w:space="2" w:color="918585"/>
      </w:pBdr>
      <w:tabs>
        <w:tab w:val="left" w:pos="1021"/>
      </w:tabs>
      <w:ind w:firstLine="0"/>
    </w:pPr>
  </w:style>
  <w:style w:type="paragraph" w:customStyle="1" w:styleId="Warning">
    <w:name w:val="Warning"/>
    <w:basedOn w:val="BodyText"/>
    <w:rsid w:val="00CD036A"/>
    <w:pPr>
      <w:shd w:val="clear" w:color="auto" w:fill="D9D9D9"/>
      <w:tabs>
        <w:tab w:val="left" w:pos="992"/>
      </w:tabs>
      <w:ind w:left="119" w:right="119"/>
    </w:pPr>
    <w:rPr>
      <w:sz w:val="20"/>
    </w:rPr>
  </w:style>
  <w:style w:type="paragraph" w:customStyle="1" w:styleId="MarginIcons">
    <w:name w:val="Margin Icons"/>
    <w:basedOn w:val="BodyText"/>
    <w:rsid w:val="00CD03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036A"/>
    <w:rPr>
      <w:rFonts w:ascii="Courier New" w:hAnsi="Courier New"/>
    </w:rPr>
  </w:style>
  <w:style w:type="paragraph" w:customStyle="1" w:styleId="NoteBullet">
    <w:name w:val="Note Bullet"/>
    <w:basedOn w:val="Note"/>
    <w:rsid w:val="00CD036A"/>
    <w:pPr>
      <w:tabs>
        <w:tab w:val="clear" w:pos="680"/>
      </w:tabs>
      <w:spacing w:before="60" w:after="60"/>
    </w:pPr>
  </w:style>
  <w:style w:type="paragraph" w:customStyle="1" w:styleId="SubHeading2">
    <w:name w:val="SubHeading2"/>
    <w:basedOn w:val="HeadingBase"/>
    <w:rsid w:val="00CD036A"/>
    <w:pPr>
      <w:spacing w:before="240" w:after="60"/>
    </w:pPr>
    <w:rPr>
      <w:sz w:val="20"/>
    </w:rPr>
  </w:style>
  <w:style w:type="paragraph" w:customStyle="1" w:styleId="SubHeading1">
    <w:name w:val="SubHeading1"/>
    <w:basedOn w:val="HeadingBase"/>
    <w:rsid w:val="00CD036A"/>
    <w:pPr>
      <w:spacing w:before="240" w:after="60"/>
    </w:pPr>
    <w:rPr>
      <w:color w:val="918585"/>
      <w:sz w:val="22"/>
    </w:rPr>
  </w:style>
  <w:style w:type="paragraph" w:customStyle="1" w:styleId="SideHeading">
    <w:name w:val="Side Heading"/>
    <w:basedOn w:val="HeadingBase"/>
    <w:rsid w:val="00CD03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036A"/>
    <w:pPr>
      <w:numPr>
        <w:numId w:val="12"/>
      </w:numPr>
    </w:pPr>
  </w:style>
  <w:style w:type="paragraph" w:styleId="PlainText">
    <w:name w:val="Plain Text"/>
    <w:basedOn w:val="Normal"/>
    <w:link w:val="PlainTextChar"/>
    <w:rsid w:val="00CD036A"/>
    <w:rPr>
      <w:sz w:val="20"/>
    </w:rPr>
  </w:style>
  <w:style w:type="character" w:customStyle="1" w:styleId="PlainTextChar">
    <w:name w:val="Plain Text Char"/>
    <w:basedOn w:val="DefaultParagraphFont"/>
    <w:link w:val="PlainText"/>
    <w:rsid w:val="00CD036A"/>
    <w:rPr>
      <w:rFonts w:ascii="Courier New" w:eastAsia="Times New Roman" w:hAnsi="Courier New" w:cs="Times New Roman"/>
      <w:sz w:val="20"/>
      <w:szCs w:val="20"/>
      <w:lang w:eastAsia="en-US"/>
    </w:rPr>
  </w:style>
  <w:style w:type="character" w:customStyle="1" w:styleId="MenuOption">
    <w:name w:val="Menu Option"/>
    <w:basedOn w:val="DefaultParagraphFont"/>
    <w:rsid w:val="00CD036A"/>
    <w:rPr>
      <w:b/>
      <w:smallCaps/>
    </w:rPr>
  </w:style>
  <w:style w:type="paragraph" w:customStyle="1" w:styleId="TableListNumber">
    <w:name w:val="Table List Number"/>
    <w:basedOn w:val="ListNumber"/>
    <w:rsid w:val="00CD036A"/>
    <w:pPr>
      <w:numPr>
        <w:numId w:val="0"/>
      </w:numPr>
    </w:pPr>
  </w:style>
  <w:style w:type="paragraph" w:styleId="TOC4">
    <w:name w:val="toc 4"/>
    <w:basedOn w:val="TOCBase"/>
    <w:next w:val="Normal"/>
    <w:semiHidden/>
    <w:rsid w:val="00CD036A"/>
    <w:pPr>
      <w:tabs>
        <w:tab w:val="right" w:leader="dot" w:pos="9071"/>
      </w:tabs>
      <w:ind w:left="1701"/>
    </w:pPr>
  </w:style>
  <w:style w:type="paragraph" w:customStyle="1" w:styleId="ListAlpha">
    <w:name w:val="List Alpha"/>
    <w:basedOn w:val="List"/>
    <w:rsid w:val="00CD036A"/>
    <w:pPr>
      <w:numPr>
        <w:numId w:val="9"/>
      </w:numPr>
    </w:pPr>
  </w:style>
  <w:style w:type="paragraph" w:customStyle="1" w:styleId="ListAlpha2">
    <w:name w:val="List Alpha 2"/>
    <w:basedOn w:val="List2"/>
    <w:rsid w:val="00CD036A"/>
    <w:pPr>
      <w:numPr>
        <w:numId w:val="8"/>
      </w:numPr>
    </w:pPr>
  </w:style>
  <w:style w:type="paragraph" w:styleId="List2">
    <w:name w:val="List 2"/>
    <w:basedOn w:val="BodyText"/>
    <w:rsid w:val="00CD036A"/>
    <w:pPr>
      <w:tabs>
        <w:tab w:val="left" w:pos="680"/>
      </w:tabs>
      <w:spacing w:before="60" w:after="60"/>
      <w:ind w:left="680" w:hanging="340"/>
    </w:pPr>
  </w:style>
  <w:style w:type="paragraph" w:styleId="List3">
    <w:name w:val="List 3"/>
    <w:basedOn w:val="BodyText"/>
    <w:rsid w:val="00CD036A"/>
    <w:pPr>
      <w:tabs>
        <w:tab w:val="left" w:pos="1021"/>
      </w:tabs>
      <w:spacing w:before="60" w:after="60"/>
      <w:ind w:left="1020" w:hanging="340"/>
    </w:pPr>
  </w:style>
  <w:style w:type="paragraph" w:styleId="List4">
    <w:name w:val="List 4"/>
    <w:basedOn w:val="BodyText"/>
    <w:rsid w:val="00CD036A"/>
    <w:pPr>
      <w:tabs>
        <w:tab w:val="left" w:pos="1361"/>
      </w:tabs>
      <w:spacing w:before="60" w:after="60"/>
      <w:ind w:left="1361" w:hanging="340"/>
    </w:pPr>
  </w:style>
  <w:style w:type="paragraph" w:styleId="List5">
    <w:name w:val="List 5"/>
    <w:basedOn w:val="BodyText"/>
    <w:rsid w:val="00CD036A"/>
    <w:pPr>
      <w:tabs>
        <w:tab w:val="left" w:pos="1701"/>
      </w:tabs>
      <w:spacing w:before="60" w:after="60"/>
      <w:ind w:left="1701" w:hanging="340"/>
    </w:pPr>
  </w:style>
  <w:style w:type="paragraph" w:styleId="ListBullet3">
    <w:name w:val="List Bullet 3"/>
    <w:basedOn w:val="List3"/>
    <w:rsid w:val="00CD036A"/>
    <w:pPr>
      <w:numPr>
        <w:numId w:val="15"/>
      </w:numPr>
      <w:tabs>
        <w:tab w:val="clear" w:pos="1021"/>
      </w:tabs>
      <w:ind w:left="1037" w:hanging="357"/>
    </w:pPr>
  </w:style>
  <w:style w:type="paragraph" w:styleId="ListBullet4">
    <w:name w:val="List Bullet 4"/>
    <w:basedOn w:val="List4"/>
    <w:rsid w:val="00CD036A"/>
    <w:pPr>
      <w:numPr>
        <w:numId w:val="3"/>
      </w:numPr>
    </w:pPr>
  </w:style>
  <w:style w:type="paragraph" w:styleId="ListBullet5">
    <w:name w:val="List Bullet 5"/>
    <w:basedOn w:val="List5"/>
    <w:rsid w:val="00CD036A"/>
    <w:pPr>
      <w:numPr>
        <w:numId w:val="4"/>
      </w:numPr>
    </w:pPr>
  </w:style>
  <w:style w:type="paragraph" w:styleId="ListContinue2">
    <w:name w:val="List Continue 2"/>
    <w:basedOn w:val="List2"/>
    <w:rsid w:val="00CD036A"/>
    <w:pPr>
      <w:ind w:firstLine="0"/>
    </w:pPr>
  </w:style>
  <w:style w:type="paragraph" w:styleId="ListContinue3">
    <w:name w:val="List Continue 3"/>
    <w:basedOn w:val="List3"/>
    <w:rsid w:val="00CD036A"/>
    <w:pPr>
      <w:ind w:left="1021" w:firstLine="0"/>
    </w:pPr>
  </w:style>
  <w:style w:type="paragraph" w:styleId="ListContinue4">
    <w:name w:val="List Continue 4"/>
    <w:basedOn w:val="List4"/>
    <w:rsid w:val="00CD036A"/>
    <w:pPr>
      <w:ind w:firstLine="0"/>
    </w:pPr>
  </w:style>
  <w:style w:type="paragraph" w:styleId="ListContinue5">
    <w:name w:val="List Continue 5"/>
    <w:basedOn w:val="List5"/>
    <w:rsid w:val="00CD036A"/>
    <w:pPr>
      <w:ind w:firstLine="0"/>
    </w:pPr>
  </w:style>
  <w:style w:type="paragraph" w:styleId="ListNumber3">
    <w:name w:val="List Number 3"/>
    <w:basedOn w:val="List3"/>
    <w:rsid w:val="00CD036A"/>
    <w:pPr>
      <w:numPr>
        <w:numId w:val="5"/>
      </w:numPr>
    </w:pPr>
  </w:style>
  <w:style w:type="paragraph" w:styleId="ListNumber4">
    <w:name w:val="List Number 4"/>
    <w:basedOn w:val="List4"/>
    <w:rsid w:val="00CD036A"/>
    <w:pPr>
      <w:numPr>
        <w:numId w:val="6"/>
      </w:numPr>
    </w:pPr>
  </w:style>
  <w:style w:type="paragraph" w:styleId="ListNumber5">
    <w:name w:val="List Number 5"/>
    <w:basedOn w:val="List5"/>
    <w:rsid w:val="00CD036A"/>
    <w:pPr>
      <w:numPr>
        <w:numId w:val="7"/>
      </w:numPr>
    </w:pPr>
  </w:style>
  <w:style w:type="paragraph" w:styleId="BlockText">
    <w:name w:val="Block Text"/>
    <w:basedOn w:val="Normal"/>
    <w:rsid w:val="00CD036A"/>
    <w:pPr>
      <w:spacing w:after="120"/>
      <w:ind w:left="1440" w:right="1440"/>
    </w:pPr>
  </w:style>
  <w:style w:type="character" w:customStyle="1" w:styleId="Subscript">
    <w:name w:val="Subscript"/>
    <w:basedOn w:val="DefaultParagraphFont"/>
    <w:rsid w:val="00CD036A"/>
    <w:rPr>
      <w:sz w:val="16"/>
      <w:vertAlign w:val="subscript"/>
    </w:rPr>
  </w:style>
  <w:style w:type="character" w:customStyle="1" w:styleId="Superscript">
    <w:name w:val="Superscript"/>
    <w:basedOn w:val="DefaultParagraphFont"/>
    <w:rsid w:val="00CD036A"/>
    <w:rPr>
      <w:sz w:val="16"/>
      <w:vertAlign w:val="superscript"/>
    </w:rPr>
  </w:style>
  <w:style w:type="character" w:customStyle="1" w:styleId="Symbols">
    <w:name w:val="Symbols"/>
    <w:basedOn w:val="DefaultParagraphFont"/>
    <w:rsid w:val="00CD036A"/>
    <w:rPr>
      <w:rFonts w:ascii="Symbol" w:hAnsi="Symbol"/>
    </w:rPr>
  </w:style>
  <w:style w:type="character" w:customStyle="1" w:styleId="MenuOptions">
    <w:name w:val="Menu Options"/>
    <w:basedOn w:val="DefaultParagraphFont"/>
    <w:rsid w:val="00CD036A"/>
    <w:rPr>
      <w:rFonts w:ascii="Arial Narrow" w:hAnsi="Arial Narrow"/>
      <w:smallCaps/>
    </w:rPr>
  </w:style>
  <w:style w:type="character" w:customStyle="1" w:styleId="Buttons">
    <w:name w:val="Buttons"/>
    <w:basedOn w:val="DefaultParagraphFont"/>
    <w:rsid w:val="00CD036A"/>
    <w:rPr>
      <w:b/>
    </w:rPr>
  </w:style>
  <w:style w:type="character" w:customStyle="1" w:styleId="Underlined">
    <w:name w:val="Underlined"/>
    <w:basedOn w:val="DefaultParagraphFont"/>
    <w:rsid w:val="00CD036A"/>
    <w:rPr>
      <w:u w:val="single"/>
    </w:rPr>
  </w:style>
  <w:style w:type="paragraph" w:customStyle="1" w:styleId="TableBodyTextRight">
    <w:name w:val="Table Body Text Right"/>
    <w:basedOn w:val="TableBodyText"/>
    <w:rsid w:val="00CD036A"/>
    <w:pPr>
      <w:widowControl w:val="0"/>
      <w:autoSpaceDE w:val="0"/>
      <w:autoSpaceDN w:val="0"/>
      <w:adjustRightInd w:val="0"/>
      <w:jc w:val="right"/>
    </w:pPr>
    <w:rPr>
      <w:rFonts w:cs="Arial"/>
      <w:szCs w:val="18"/>
    </w:rPr>
  </w:style>
  <w:style w:type="paragraph" w:customStyle="1" w:styleId="CopyrightText">
    <w:name w:val="Copyright Text"/>
    <w:basedOn w:val="BodyText"/>
    <w:rsid w:val="00CD036A"/>
    <w:rPr>
      <w:sz w:val="18"/>
    </w:rPr>
  </w:style>
  <w:style w:type="paragraph" w:customStyle="1" w:styleId="BodySmallRight">
    <w:name w:val="Body Small Right"/>
    <w:basedOn w:val="BodyTextRight"/>
    <w:rsid w:val="00CD036A"/>
    <w:rPr>
      <w:sz w:val="18"/>
      <w:szCs w:val="18"/>
    </w:rPr>
  </w:style>
  <w:style w:type="paragraph" w:customStyle="1" w:styleId="MarginEdition">
    <w:name w:val="Margin Edition"/>
    <w:basedOn w:val="MarginNote"/>
    <w:rsid w:val="00CD036A"/>
    <w:pPr>
      <w:spacing w:before="0" w:after="0"/>
    </w:pPr>
    <w:rPr>
      <w:rFonts w:ascii="Times New Roman" w:hAnsi="Times New Roman"/>
      <w:color w:val="999999"/>
    </w:rPr>
  </w:style>
  <w:style w:type="paragraph" w:customStyle="1" w:styleId="Spacer">
    <w:name w:val="Spacer"/>
    <w:basedOn w:val="Normal"/>
    <w:rsid w:val="00CD036A"/>
    <w:rPr>
      <w:sz w:val="2"/>
      <w:szCs w:val="2"/>
    </w:rPr>
  </w:style>
  <w:style w:type="character" w:customStyle="1" w:styleId="Small">
    <w:name w:val="Small"/>
    <w:basedOn w:val="DefaultParagraphFont"/>
    <w:rsid w:val="00CD036A"/>
    <w:rPr>
      <w:sz w:val="16"/>
    </w:rPr>
  </w:style>
  <w:style w:type="paragraph" w:customStyle="1" w:styleId="WideTable">
    <w:name w:val="Wide Table"/>
    <w:basedOn w:val="Normal"/>
    <w:rsid w:val="00CD036A"/>
    <w:pPr>
      <w:ind w:left="-1418"/>
    </w:pPr>
    <w:rPr>
      <w:sz w:val="2"/>
      <w:szCs w:val="2"/>
    </w:rPr>
  </w:style>
  <w:style w:type="character" w:styleId="PageNumber">
    <w:name w:val="page number"/>
    <w:basedOn w:val="DefaultParagraphFont"/>
    <w:rsid w:val="00CD036A"/>
  </w:style>
  <w:style w:type="paragraph" w:styleId="Quote">
    <w:name w:val="Quote"/>
    <w:basedOn w:val="Heading1"/>
    <w:link w:val="QuoteChar"/>
    <w:qFormat/>
    <w:rsid w:val="00CD036A"/>
    <w:rPr>
      <w:b w:val="0"/>
      <w:sz w:val="72"/>
      <w:szCs w:val="72"/>
      <w:lang w:val="en-NZ"/>
    </w:rPr>
  </w:style>
  <w:style w:type="character" w:customStyle="1" w:styleId="QuoteChar">
    <w:name w:val="Quote Char"/>
    <w:basedOn w:val="DefaultParagraphFont"/>
    <w:link w:val="Quote"/>
    <w:rsid w:val="00CD03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036A"/>
    <w:pPr>
      <w:pageBreakBefore/>
    </w:pPr>
  </w:style>
  <w:style w:type="paragraph" w:customStyle="1" w:styleId="Border">
    <w:name w:val="Border"/>
    <w:basedOn w:val="Normal"/>
    <w:qFormat/>
    <w:rsid w:val="00CD03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036A"/>
    <w:rPr>
      <w:b/>
      <w:bCs/>
      <w:i/>
      <w:iCs/>
      <w:color w:val="auto"/>
    </w:rPr>
  </w:style>
  <w:style w:type="paragraph" w:styleId="IntenseQuote">
    <w:name w:val="Intense Quote"/>
    <w:basedOn w:val="Normal"/>
    <w:next w:val="Normal"/>
    <w:link w:val="IntenseQuoteChar"/>
    <w:uiPriority w:val="30"/>
    <w:qFormat/>
    <w:rsid w:val="00CD03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03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036A"/>
    <w:rPr>
      <w:smallCaps/>
      <w:color w:val="auto"/>
      <w:u w:val="single"/>
    </w:rPr>
  </w:style>
  <w:style w:type="character" w:styleId="IntenseReference">
    <w:name w:val="Intense Reference"/>
    <w:basedOn w:val="DefaultParagraphFont"/>
    <w:uiPriority w:val="32"/>
    <w:qFormat/>
    <w:rsid w:val="00CD036A"/>
    <w:rPr>
      <w:b/>
      <w:bCs/>
      <w:smallCaps/>
      <w:color w:val="auto"/>
      <w:spacing w:val="5"/>
      <w:u w:val="single"/>
    </w:rPr>
  </w:style>
  <w:style w:type="paragraph" w:customStyle="1" w:styleId="2ColumnHeading">
    <w:name w:val="2Column Heading"/>
    <w:basedOn w:val="BodyText"/>
    <w:qFormat/>
    <w:rsid w:val="00CD036A"/>
    <w:pPr>
      <w:spacing w:after="60"/>
      <w:ind w:left="-2268"/>
    </w:pPr>
    <w:rPr>
      <w:b/>
    </w:rPr>
  </w:style>
  <w:style w:type="paragraph" w:customStyle="1" w:styleId="Heading1TOC">
    <w:name w:val="Heading1 TOC"/>
    <w:basedOn w:val="Normal"/>
    <w:qFormat/>
    <w:rsid w:val="00CD036A"/>
    <w:pPr>
      <w:spacing w:before="240" w:after="120"/>
    </w:pPr>
    <w:rPr>
      <w:rFonts w:ascii="Times New Roman" w:hAnsi="Times New Roman"/>
      <w:b/>
      <w:sz w:val="32"/>
    </w:rPr>
  </w:style>
  <w:style w:type="paragraph" w:customStyle="1" w:styleId="Heading2TOC">
    <w:name w:val="Heading2 TOC"/>
    <w:basedOn w:val="Normal"/>
    <w:qFormat/>
    <w:rsid w:val="00CD036A"/>
    <w:pPr>
      <w:spacing w:before="240" w:after="60"/>
    </w:pPr>
    <w:rPr>
      <w:rFonts w:ascii="Times New Roman" w:hAnsi="Times New Roman"/>
      <w:b/>
      <w:sz w:val="28"/>
    </w:rPr>
  </w:style>
  <w:style w:type="character" w:customStyle="1" w:styleId="Underline">
    <w:name w:val="Underline"/>
    <w:basedOn w:val="DefaultParagraphFont"/>
    <w:qFormat/>
    <w:rsid w:val="00CD036A"/>
    <w:rPr>
      <w:u w:val="single"/>
    </w:rPr>
  </w:style>
  <w:style w:type="character" w:customStyle="1" w:styleId="BoldandItalics">
    <w:name w:val="Bold and Italics"/>
    <w:qFormat/>
    <w:rsid w:val="00CD036A"/>
    <w:rPr>
      <w:b/>
      <w:i/>
      <w:u w:val="none"/>
    </w:rPr>
  </w:style>
  <w:style w:type="paragraph" w:styleId="BalloonText">
    <w:name w:val="Balloon Text"/>
    <w:basedOn w:val="Normal"/>
    <w:link w:val="BalloonTextChar"/>
    <w:rsid w:val="00CD036A"/>
    <w:rPr>
      <w:rFonts w:ascii="Tahoma" w:hAnsi="Tahoma" w:cs="Tahoma"/>
      <w:sz w:val="16"/>
      <w:szCs w:val="16"/>
    </w:rPr>
  </w:style>
  <w:style w:type="character" w:customStyle="1" w:styleId="BalloonTextChar">
    <w:name w:val="Balloon Text Char"/>
    <w:basedOn w:val="DefaultParagraphFont"/>
    <w:link w:val="BalloonText"/>
    <w:rsid w:val="00CD03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03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03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036A"/>
    <w:rPr>
      <w:b/>
      <w:color w:val="660033"/>
      <w:spacing w:val="0"/>
    </w:rPr>
  </w:style>
  <w:style w:type="paragraph" w:customStyle="1" w:styleId="Nameditemlist">
    <w:name w:val="Named item list"/>
    <w:basedOn w:val="BodyText"/>
    <w:qFormat/>
    <w:rsid w:val="00CD03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2495</Words>
  <Characters>15395</Characters>
  <Application>Microsoft Office Word</Application>
  <DocSecurity>0</DocSecurity>
  <Lines>574</Lines>
  <Paragraphs>244</Paragraphs>
  <ScaleCrop>false</ScaleCrop>
  <Company>Author-it Software Corporation Ltd.</Company>
  <LinksUpToDate>false</LinksUpToDate>
  <CharactersWithSpaces>17711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UEPMNT357B Diagnose and repair faults in instrumentation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2012-07-25T16:53:00Z</dcterms:created>
  <dcterms:modified xsi:type="dcterms:W3CDTF">2012-07-25T16:53:00Z</dcterms:modified>
</cp:coreProperties>
</file>