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04D7" w:rsidP="000904D7">
      <w:pPr>
        <w:pStyle w:val="Title"/>
      </w:pPr>
      <w:bookmarkStart w:id="0" w:name="_GoBack"/>
      <w:bookmarkEnd w:id="0"/>
      <w:r>
        <w:fldChar w:fldCharType="begin"/>
      </w:r>
      <w:r>
        <w:instrText xml:space="preserve"> TITLE   \* MERGEFORMAT </w:instrText>
      </w:r>
      <w:r>
        <w:fldChar w:fldCharType="separate"/>
      </w:r>
      <w:r>
        <w:t>UEPMNT310B Maintain material crushers</w:t>
      </w:r>
      <w:r>
        <w:fldChar w:fldCharType="end"/>
      </w:r>
    </w:p>
    <w:p w:rsidR="000904D7" w:rsidP="000904D7">
      <w:pPr>
        <w:pStyle w:val="Version"/>
        <w:sectPr w:rsidSect="002F55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5533" w:rsidP="002F5533">
      <w:pPr>
        <w:pStyle w:val="SuperHeading"/>
      </w:pPr>
      <w:r w:rsidRPr="002F5533">
        <w:t>UEPMNT310B Maintain material crushers</w:t>
      </w:r>
    </w:p>
    <w:p w:rsidR="00000000" w:rsidRPr="002F5533" w:rsidP="002F5533">
      <w:pPr>
        <w:pStyle w:val="Heading1"/>
      </w:pPr>
      <w:bookmarkStart w:id="1" w:name="O_469748"/>
      <w:bookmarkEnd w:id="1"/>
      <w:r w:rsidRPr="002F5533">
        <w:t>Modification History</w:t>
      </w:r>
    </w:p>
    <w:p w:rsidR="00000000" w:rsidRPr="002F5533" w:rsidP="002F5533">
      <w:pPr>
        <w:pStyle w:val="BodyText"/>
      </w:pPr>
      <w:r w:rsidRPr="002F5533">
        <w:t>Not applicable.</w:t>
      </w:r>
    </w:p>
    <w:p w:rsidR="00000000" w:rsidRPr="002F5533" w:rsidP="002F5533">
      <w:pPr>
        <w:pStyle w:val="AllowPageBreak"/>
      </w:pPr>
    </w:p>
    <w:p w:rsidR="00000000" w:rsidRPr="002F5533" w:rsidP="002F5533">
      <w:pPr>
        <w:pStyle w:val="Heading1"/>
      </w:pPr>
      <w:bookmarkStart w:id="2" w:name="O_469746"/>
      <w:bookmarkEnd w:id="2"/>
      <w:r w:rsidRPr="002F5533">
        <w:t>Unit Descriptor</w:t>
      </w:r>
    </w:p>
    <w:tbl>
      <w:tblPr>
        <w:tblW w:w="0" w:type="auto"/>
        <w:tblLayout w:type="fixed"/>
        <w:tblCellMar>
          <w:left w:w="62" w:type="dxa"/>
          <w:right w:w="62" w:type="dxa"/>
        </w:tblCellMar>
        <w:tblLook w:val="0000"/>
      </w:tblPr>
      <w:tblGrid>
        <w:gridCol w:w="2700"/>
        <w:gridCol w:w="5760"/>
      </w:tblGrid>
      <w:tr w:rsidTr="000904D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F5533" w:rsidP="002F5533">
            <w:pPr>
              <w:pStyle w:val="BodyText"/>
            </w:pPr>
            <w:r w:rsidRPr="002F553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rPr>
                <w:rStyle w:val="SpecialBold"/>
              </w:rPr>
              <w:t>1)</w:t>
            </w:r>
            <w:r w:rsidRPr="002F5533">
              <w:t xml:space="preserve"> </w:t>
            </w:r>
            <w:r w:rsidRPr="002F5533">
              <w:rPr>
                <w:rStyle w:val="SpecialBold"/>
              </w:rPr>
              <w:t>Scope:</w:t>
            </w:r>
          </w:p>
        </w:tc>
      </w:tr>
      <w:tr w:rsidTr="000904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F553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rPr>
                <w:rStyle w:val="SpecialBold"/>
              </w:rPr>
              <w:t>1.1) Descriptor</w:t>
            </w:r>
          </w:p>
        </w:tc>
      </w:tr>
      <w:tr w:rsidTr="000904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F5533" w:rsidP="002F5533">
            <w:pPr>
              <w:pStyle w:val="BodyText"/>
            </w:pPr>
            <w:r w:rsidRPr="002F5533">
              <w:t>This unit deals with the skills and knowledge required to undertake the in-service fault finding, diagnosis and out of service inspection, repairs, and/or overhauls of material crushers and would involve roll/door assemblies.</w:t>
            </w:r>
          </w:p>
        </w:tc>
      </w:tr>
    </w:tbl>
    <w:p w:rsidR="00000000" w:rsidRPr="002F5533" w:rsidP="002F5533">
      <w:pPr>
        <w:pStyle w:val="BodyText"/>
      </w:pPr>
    </w:p>
    <w:p w:rsidR="00000000" w:rsidRPr="002F5533" w:rsidP="002F5533">
      <w:pPr>
        <w:pStyle w:val="AllowPageBreak"/>
      </w:pPr>
    </w:p>
    <w:p w:rsidR="00000000" w:rsidRPr="002F5533" w:rsidP="002F5533">
      <w:pPr>
        <w:pStyle w:val="Heading1"/>
      </w:pPr>
      <w:bookmarkStart w:id="3" w:name="O_469735"/>
      <w:bookmarkEnd w:id="3"/>
      <w:r w:rsidRPr="002F5533">
        <w:t>Application</w:t>
      </w:r>
      <w:r w:rsidRPr="002F5533">
        <w:t xml:space="preserve"> of the Unit</w:t>
      </w:r>
    </w:p>
    <w:tbl>
      <w:tblPr>
        <w:tblW w:w="0" w:type="auto"/>
        <w:tblLayout w:type="fixed"/>
        <w:tblCellMar>
          <w:left w:w="62" w:type="dxa"/>
          <w:right w:w="62" w:type="dxa"/>
        </w:tblCellMar>
        <w:tblLook w:val="0000"/>
      </w:tblPr>
      <w:tblGrid>
        <w:gridCol w:w="2672"/>
        <w:gridCol w:w="5699"/>
      </w:tblGrid>
      <w:tr w:rsidTr="000904D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F5533" w:rsidP="002F5533">
            <w:pPr>
              <w:pStyle w:val="BodyText"/>
            </w:pPr>
            <w:r w:rsidRPr="002F553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rPr>
                <w:rStyle w:val="SpecialBold"/>
              </w:rPr>
              <w:t>2)</w:t>
            </w:r>
          </w:p>
        </w:tc>
      </w:tr>
      <w:tr w:rsidTr="000904D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F5533" w:rsidP="002F5533">
            <w:pPr>
              <w:pStyle w:val="BodyText"/>
            </w:pPr>
            <w:r w:rsidRPr="002F5533">
              <w:t>This unit is intended to augment formally acquired competencies. It is suitable for employment-based programs under an approved contract of training.</w:t>
            </w:r>
          </w:p>
        </w:tc>
      </w:tr>
    </w:tbl>
    <w:p w:rsidR="00000000" w:rsidRPr="002F5533" w:rsidP="002F5533">
      <w:pPr>
        <w:pStyle w:val="BodyText"/>
      </w:pPr>
    </w:p>
    <w:p w:rsidR="00000000" w:rsidRPr="002F5533" w:rsidP="002F5533">
      <w:pPr>
        <w:pStyle w:val="AllowPageBreak"/>
      </w:pPr>
    </w:p>
    <w:p w:rsidR="00000000" w:rsidRPr="002F5533" w:rsidP="002F5533">
      <w:pPr>
        <w:pStyle w:val="Heading1"/>
      </w:pPr>
      <w:bookmarkStart w:id="4" w:name="O_469742"/>
      <w:bookmarkEnd w:id="4"/>
      <w:r w:rsidRPr="002F5533">
        <w:t>Licensing/Regulatory Information</w:t>
      </w:r>
    </w:p>
    <w:tbl>
      <w:tblPr>
        <w:tblW w:w="0" w:type="auto"/>
        <w:tblLayout w:type="fixed"/>
        <w:tblCellMar>
          <w:left w:w="62" w:type="dxa"/>
          <w:right w:w="62" w:type="dxa"/>
        </w:tblCellMar>
        <w:tblLook w:val="0000"/>
      </w:tblPr>
      <w:tblGrid>
        <w:gridCol w:w="2700"/>
        <w:gridCol w:w="5760"/>
      </w:tblGrid>
      <w:tr w:rsidTr="000904D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F5533" w:rsidP="002F5533">
            <w:pPr>
              <w:pStyle w:val="BodyText"/>
            </w:pPr>
            <w:r w:rsidRPr="002F553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rPr>
                <w:rStyle w:val="SpecialBold"/>
              </w:rPr>
              <w:t xml:space="preserve">3) </w:t>
            </w:r>
          </w:p>
        </w:tc>
      </w:tr>
      <w:tr w:rsidTr="000904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F5533" w:rsidP="002F5533">
            <w:pPr>
              <w:pStyle w:val="BodyText"/>
            </w:pPr>
            <w:r w:rsidRPr="002F5533">
              <w:t>The skills and knowledge described in this unit do not require a licence to practise in the workplace. However, practice in this unit is subject to regulations directly related to Occupational Health and Safety and where applicabl</w:t>
            </w:r>
            <w:r w:rsidRPr="002F5533">
              <w:t>e contracts of training such as apprenticeships and the like.</w:t>
            </w:r>
          </w:p>
        </w:tc>
      </w:tr>
    </w:tbl>
    <w:p w:rsidR="00000000" w:rsidRPr="002F5533" w:rsidP="002F5533">
      <w:pPr>
        <w:pStyle w:val="BodyText"/>
      </w:pPr>
    </w:p>
    <w:p w:rsidR="00000000" w:rsidRPr="002F5533" w:rsidP="002F5533">
      <w:pPr>
        <w:pStyle w:val="AllowPageBreak"/>
      </w:pPr>
    </w:p>
    <w:p w:rsidR="00000000" w:rsidRPr="002F5533" w:rsidP="002F5533">
      <w:pPr>
        <w:pStyle w:val="Heading1"/>
      </w:pPr>
      <w:bookmarkStart w:id="5" w:name="O_469743"/>
      <w:bookmarkEnd w:id="5"/>
      <w:r w:rsidRPr="002F5533">
        <w:t>Pre-Requisites</w:t>
      </w:r>
    </w:p>
    <w:tbl>
      <w:tblPr>
        <w:tblW w:w="0" w:type="auto"/>
        <w:tblLayout w:type="fixed"/>
        <w:tblCellMar>
          <w:left w:w="62" w:type="dxa"/>
          <w:right w:w="62" w:type="dxa"/>
        </w:tblCellMar>
        <w:tblLook w:val="0000"/>
      </w:tblPr>
      <w:tblGrid>
        <w:gridCol w:w="2700"/>
        <w:gridCol w:w="2070"/>
        <w:gridCol w:w="3696"/>
      </w:tblGrid>
      <w:tr w:rsidTr="000904D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F5533" w:rsidP="002F5533">
            <w:pPr>
              <w:pStyle w:val="BodyText"/>
            </w:pPr>
            <w:r w:rsidRPr="002F5533">
              <w:rPr>
                <w:rStyle w:val="SpecialBold"/>
              </w:rPr>
              <w:t>Prerequisite Unit(s)</w:t>
            </w:r>
          </w:p>
        </w:tc>
        <w:tc>
          <w:tcPr>
            <w:tcW w:w="5766" w:type="dxa"/>
            <w:gridSpan w:val="2"/>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rPr>
                <w:rStyle w:val="SpecialBold"/>
              </w:rPr>
              <w:t xml:space="preserve">4) </w:t>
            </w:r>
          </w:p>
        </w:tc>
      </w:tr>
      <w:tr w:rsidTr="000904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F5533" w:rsidP="002F5533">
            <w:pPr>
              <w:pStyle w:val="BodyText"/>
            </w:pPr>
            <w:r w:rsidRPr="002F5533">
              <w:rPr>
                <w:rStyle w:val="SpecialBold"/>
              </w:rPr>
              <w:t>Competencies</w:t>
            </w:r>
          </w:p>
        </w:tc>
        <w:tc>
          <w:tcPr>
            <w:tcW w:w="5766" w:type="dxa"/>
            <w:gridSpan w:val="2"/>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rPr>
                <w:rStyle w:val="SpecialBold"/>
              </w:rPr>
              <w:t>4.1)</w:t>
            </w:r>
          </w:p>
        </w:tc>
      </w:tr>
      <w:tr w:rsidTr="000904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6" w:type="dxa"/>
            <w:gridSpan w:val="2"/>
            <w:tcBorders>
              <w:top w:val="nil"/>
              <w:left w:val="nil"/>
              <w:bottom w:val="nil"/>
              <w:right w:val="nil"/>
            </w:tcBorders>
            <w:tcMar>
              <w:top w:w="0" w:type="dxa"/>
              <w:left w:w="62" w:type="dxa"/>
              <w:bottom w:w="0" w:type="dxa"/>
              <w:right w:w="62" w:type="dxa"/>
            </w:tcMar>
          </w:tcPr>
          <w:p w:rsidR="00000000" w:rsidRPr="002F5533" w:rsidP="002F5533">
            <w:pPr>
              <w:pStyle w:val="BodyText"/>
            </w:pPr>
            <w:r w:rsidRPr="002F5533">
              <w:t>Granting of competency in this unit shall be made only after competency in the following unit(s) has/have been confirmed.</w:t>
            </w:r>
          </w:p>
          <w:p w:rsidR="00000000" w:rsidRPr="002F5533" w:rsidP="002F5533">
            <w:pPr>
              <w:pStyle w:val="BodyText"/>
            </w:pPr>
            <w:r w:rsidRPr="002F5533">
              <w:t>Where pre-requisite pathways have been identified. All competencies in the Common Unit Group must be have been completed.</w:t>
            </w:r>
          </w:p>
          <w:p w:rsidR="00000000" w:rsidP="002F5533">
            <w:pPr>
              <w:pStyle w:val="BodyText"/>
              <w:rPr>
                <w:lang w:val="en-NZ"/>
              </w:rPr>
            </w:pPr>
            <w:r w:rsidRPr="002F5533">
              <w:t xml:space="preserve">Common Unit </w:t>
            </w:r>
            <w:r w:rsidRPr="002F5533">
              <w:t>Group</w:t>
            </w:r>
          </w:p>
        </w:tc>
      </w:tr>
      <w:tr w:rsidTr="000904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Unit Code</w:t>
            </w:r>
            <w:r w:rsidRPr="002F5533">
              <w:tab/>
            </w:r>
          </w:p>
        </w:tc>
        <w:tc>
          <w:tcPr>
            <w:tcW w:w="3696"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Unit Title</w:t>
            </w:r>
          </w:p>
        </w:tc>
      </w:tr>
      <w:tr w:rsidTr="000904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MEM18006C</w:t>
            </w:r>
          </w:p>
        </w:tc>
        <w:tc>
          <w:tcPr>
            <w:tcW w:w="3696"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Repair and fit engineering components</w:t>
            </w:r>
          </w:p>
        </w:tc>
      </w:tr>
      <w:tr w:rsidTr="000904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MEM09002B</w:t>
            </w:r>
          </w:p>
        </w:tc>
        <w:tc>
          <w:tcPr>
            <w:tcW w:w="3696"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Interpret technical drawing</w:t>
            </w:r>
          </w:p>
        </w:tc>
      </w:tr>
      <w:tr w:rsidTr="000904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MEM12023A</w:t>
            </w:r>
          </w:p>
        </w:tc>
        <w:tc>
          <w:tcPr>
            <w:tcW w:w="3696"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Perform Engineering Measurements</w:t>
            </w:r>
          </w:p>
        </w:tc>
      </w:tr>
      <w:tr w:rsidTr="000904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MEM18001C</w:t>
            </w:r>
          </w:p>
        </w:tc>
        <w:tc>
          <w:tcPr>
            <w:tcW w:w="3696"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Use hand tools</w:t>
            </w:r>
          </w:p>
        </w:tc>
      </w:tr>
      <w:tr w:rsidTr="000904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MEM18002B</w:t>
            </w:r>
          </w:p>
        </w:tc>
        <w:tc>
          <w:tcPr>
            <w:tcW w:w="3696"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Use power tools/hand held operations</w:t>
            </w:r>
          </w:p>
        </w:tc>
      </w:tr>
      <w:tr w:rsidTr="000904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MEM18003C</w:t>
            </w:r>
          </w:p>
        </w:tc>
        <w:tc>
          <w:tcPr>
            <w:tcW w:w="3696"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Use tools for precision work</w:t>
            </w:r>
          </w:p>
        </w:tc>
      </w:tr>
      <w:tr w:rsidTr="000904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MEM18055B</w:t>
            </w:r>
          </w:p>
        </w:tc>
        <w:tc>
          <w:tcPr>
            <w:tcW w:w="3696" w:type="dxa"/>
            <w:tcBorders>
              <w:top w:val="nil"/>
              <w:left w:val="nil"/>
              <w:bottom w:val="nil"/>
              <w:right w:val="nil"/>
            </w:tcBorders>
            <w:tcMar>
              <w:top w:w="0" w:type="dxa"/>
              <w:left w:w="62" w:type="dxa"/>
              <w:bottom w:w="0" w:type="dxa"/>
              <w:right w:w="62" w:type="dxa"/>
            </w:tcMar>
          </w:tcPr>
          <w:p w:rsidR="00000000" w:rsidRPr="002F5533" w:rsidP="002F5533">
            <w:pPr>
              <w:pStyle w:val="BodyText"/>
            </w:pPr>
            <w:r w:rsidRPr="002F5533">
              <w:t>Dismantle, replace and assemble engineering components</w:t>
            </w:r>
          </w:p>
        </w:tc>
      </w:tr>
    </w:tbl>
    <w:p w:rsidR="00000000" w:rsidRPr="002F5533" w:rsidP="002F553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904D7">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rsidRPr="002F5533" w:rsidP="002F5533">
            <w:pPr>
              <w:pStyle w:val="BodyText"/>
            </w:pPr>
            <w:r w:rsidRPr="002F553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rPr>
                <w:rStyle w:val="SpecialBold"/>
              </w:rPr>
              <w:t xml:space="preserve">4.2) </w:t>
            </w:r>
          </w:p>
        </w:tc>
      </w:tr>
      <w:tr w:rsidTr="000904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Participants are best equip</w:t>
            </w:r>
            <w:r w:rsidRPr="002F5533">
              <w:t>ped to achieve this unit if they have reading, writing and numeracy skills indicated by the following levels. A description of what each level entails is provided in Section 2.3.1 Language, Literacy and Numeracy.</w:t>
            </w:r>
          </w:p>
        </w:tc>
      </w:tr>
      <w:tr w:rsidTr="000904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Reading</w:t>
            </w:r>
          </w:p>
        </w:tc>
        <w:tc>
          <w:tcPr>
            <w:tcW w:w="810"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3</w:t>
            </w:r>
          </w:p>
        </w:tc>
        <w:tc>
          <w:tcPr>
            <w:tcW w:w="990"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Writing</w:t>
            </w:r>
          </w:p>
        </w:tc>
        <w:tc>
          <w:tcPr>
            <w:tcW w:w="900"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3</w:t>
            </w:r>
          </w:p>
        </w:tc>
        <w:tc>
          <w:tcPr>
            <w:tcW w:w="1260"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Numeracy</w:t>
            </w:r>
          </w:p>
        </w:tc>
        <w:tc>
          <w:tcPr>
            <w:tcW w:w="720" w:type="dxa"/>
            <w:tcBorders>
              <w:top w:val="nil"/>
              <w:left w:val="nil"/>
              <w:bottom w:val="nil"/>
              <w:right w:val="nil"/>
            </w:tcBorders>
            <w:tcMar>
              <w:top w:w="0" w:type="dxa"/>
              <w:left w:w="62" w:type="dxa"/>
              <w:bottom w:w="0" w:type="dxa"/>
              <w:right w:w="62" w:type="dxa"/>
            </w:tcMar>
          </w:tcPr>
          <w:p w:rsidR="00000000" w:rsidRPr="002F5533" w:rsidP="002F5533">
            <w:pPr>
              <w:pStyle w:val="BodyText"/>
            </w:pPr>
            <w:r w:rsidRPr="002F5533">
              <w:t>3</w:t>
            </w:r>
          </w:p>
        </w:tc>
      </w:tr>
    </w:tbl>
    <w:p w:rsidR="00000000" w:rsidRPr="002F5533" w:rsidP="002F5533">
      <w:pPr>
        <w:pStyle w:val="BodyText"/>
      </w:pPr>
    </w:p>
    <w:p w:rsidR="00000000" w:rsidRPr="002F5533" w:rsidP="002F5533">
      <w:pPr>
        <w:pStyle w:val="AllowPageBreak"/>
      </w:pPr>
    </w:p>
    <w:p w:rsidR="00000000" w:rsidRPr="002F5533" w:rsidP="002F5533">
      <w:pPr>
        <w:pStyle w:val="Heading1"/>
      </w:pPr>
      <w:bookmarkStart w:id="6" w:name="O_469739"/>
      <w:bookmarkEnd w:id="6"/>
      <w:r w:rsidRPr="002F5533">
        <w:t>Employability Skills Information</w:t>
      </w:r>
    </w:p>
    <w:tbl>
      <w:tblPr>
        <w:tblW w:w="0" w:type="auto"/>
        <w:tblLayout w:type="fixed"/>
        <w:tblCellMar>
          <w:left w:w="62" w:type="dxa"/>
          <w:right w:w="62" w:type="dxa"/>
        </w:tblCellMar>
        <w:tblLook w:val="0000"/>
      </w:tblPr>
      <w:tblGrid>
        <w:gridCol w:w="2700"/>
        <w:gridCol w:w="5760"/>
      </w:tblGrid>
      <w:tr w:rsidTr="000904D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F5533" w:rsidP="002F5533">
            <w:pPr>
              <w:pStyle w:val="BodyText"/>
            </w:pPr>
            <w:r w:rsidRPr="002F553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rPr>
                <w:rStyle w:val="SpecialBold"/>
              </w:rPr>
              <w:t xml:space="preserve">5) </w:t>
            </w:r>
          </w:p>
        </w:tc>
      </w:tr>
      <w:tr w:rsidTr="000904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F5533" w:rsidP="002F5533">
            <w:pPr>
              <w:pStyle w:val="BodyText"/>
            </w:pPr>
            <w:r w:rsidRPr="002F5533">
              <w:t>The required outcomes described in this unit of competency contain applicable facets of Employability Skills. The Employability Skills Summary of the qualification in which this un</w:t>
            </w:r>
            <w:r w:rsidRPr="002F5533">
              <w:t>it of competency is packaged will assist in identifying Employability Skill requirements.</w:t>
            </w:r>
          </w:p>
        </w:tc>
      </w:tr>
    </w:tbl>
    <w:p w:rsidR="00000000" w:rsidRPr="002F5533" w:rsidP="002F5533">
      <w:pPr>
        <w:pStyle w:val="BodyText"/>
      </w:pPr>
    </w:p>
    <w:p w:rsidR="00000000" w:rsidRPr="002F5533" w:rsidP="002F5533">
      <w:pPr>
        <w:pStyle w:val="AllowPageBreak"/>
      </w:pPr>
    </w:p>
    <w:p w:rsidR="00000000" w:rsidRPr="002F5533" w:rsidP="002F5533">
      <w:pPr>
        <w:pStyle w:val="Heading1"/>
      </w:pPr>
      <w:bookmarkStart w:id="7" w:name="O_469738"/>
      <w:bookmarkEnd w:id="7"/>
      <w:r w:rsidRPr="002F5533">
        <w:t>Elements and Performance Criteria Pre-Content</w:t>
      </w:r>
    </w:p>
    <w:tbl>
      <w:tblPr>
        <w:tblW w:w="0" w:type="auto"/>
        <w:tblLayout w:type="fixed"/>
        <w:tblCellMar>
          <w:left w:w="62" w:type="dxa"/>
          <w:right w:w="62" w:type="dxa"/>
        </w:tblCellMar>
        <w:tblLook w:val="0000"/>
      </w:tblPr>
      <w:tblGrid>
        <w:gridCol w:w="2700"/>
        <w:gridCol w:w="5760"/>
      </w:tblGrid>
      <w:tr w:rsidTr="000904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rPr>
                <w:rStyle w:val="SpecialBold"/>
              </w:rPr>
              <w:t>6)</w:t>
            </w:r>
            <w:r w:rsidRPr="002F5533">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F5533" w:rsidP="002F5533">
            <w:pPr>
              <w:pStyle w:val="BodyText"/>
            </w:pPr>
            <w:r w:rsidRPr="002F5533">
              <w:t>Performance Criteria describe the required performance needed to demonstrate achievement of the element. Assessment of performance is to be consistent with the Evidence Guide.</w:t>
            </w:r>
          </w:p>
        </w:tc>
      </w:tr>
    </w:tbl>
    <w:p w:rsidR="00000000" w:rsidRPr="002F5533" w:rsidP="002F5533">
      <w:pPr>
        <w:pStyle w:val="BodyText"/>
      </w:pPr>
    </w:p>
    <w:p w:rsidR="00000000" w:rsidRPr="002F5533" w:rsidP="002F5533">
      <w:pPr>
        <w:pStyle w:val="AllowPageBreak"/>
      </w:pPr>
    </w:p>
    <w:p w:rsidR="00000000" w:rsidRPr="002F5533" w:rsidP="002F5533">
      <w:pPr>
        <w:pStyle w:val="Heading1"/>
      </w:pPr>
      <w:bookmarkStart w:id="8" w:name="O_469737"/>
      <w:bookmarkEnd w:id="8"/>
      <w:r w:rsidRPr="002F5533">
        <w:t>Elements and Performance Criteria</w:t>
      </w:r>
    </w:p>
    <w:tbl>
      <w:tblPr>
        <w:tblW w:w="0" w:type="auto"/>
        <w:tblLayout w:type="fixed"/>
        <w:tblCellMar>
          <w:left w:w="62" w:type="dxa"/>
          <w:right w:w="62" w:type="dxa"/>
        </w:tblCellMar>
        <w:tblLook w:val="0000"/>
      </w:tblPr>
      <w:tblGrid>
        <w:gridCol w:w="406"/>
        <w:gridCol w:w="2294"/>
        <w:gridCol w:w="14"/>
        <w:gridCol w:w="905"/>
        <w:gridCol w:w="4841"/>
      </w:tblGrid>
      <w:tr w:rsidTr="000904D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F5533" w:rsidP="002F5533">
            <w:pPr>
              <w:pStyle w:val="BodyText"/>
            </w:pPr>
            <w:r w:rsidRPr="002F5533">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rPr>
                <w:rStyle w:val="SpecialBold"/>
              </w:rPr>
              <w:t>PERFORMANCE CRITER</w:t>
            </w:r>
            <w:r w:rsidRPr="002F5533">
              <w:rPr>
                <w:rStyle w:val="SpecialBold"/>
              </w:rPr>
              <w:t>IA</w:t>
            </w:r>
          </w:p>
        </w:tc>
      </w:tr>
      <w:tr w:rsidTr="000904D7">
        <w:tblPrEx>
          <w:tblW w:w="0" w:type="auto"/>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1</w:t>
            </w:r>
          </w:p>
        </w:tc>
        <w:tc>
          <w:tcPr>
            <w:tcW w:w="2308" w:type="dxa"/>
            <w:gridSpan w:val="2"/>
            <w:vMerge w:val="restart"/>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Plan and prepare for the work</w:t>
            </w:r>
          </w:p>
        </w:tc>
        <w:tc>
          <w:tcPr>
            <w:tcW w:w="905"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1.1</w:t>
            </w:r>
          </w:p>
        </w:tc>
        <w:tc>
          <w:tcPr>
            <w:tcW w:w="4841"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Work requirements are identified from request/work orders or equivalent and clarified/confirmed with appropriate parties or by site inspection</w:t>
            </w:r>
          </w:p>
        </w:tc>
      </w:tr>
      <w:tr w:rsidTr="000904D7">
        <w:tblPrEx>
          <w:tblW w:w="0" w:type="auto"/>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1.2</w:t>
            </w:r>
          </w:p>
        </w:tc>
        <w:tc>
          <w:tcPr>
            <w:tcW w:w="4841"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 xml:space="preserve">Occupational Health and Safety standards, statutory requirements, relevant Australian standards, codes of practice, manufacturer specifications, environmental requirements and enterprise procedures are identified, applied and monitored throughout the work </w:t>
            </w:r>
            <w:r w:rsidRPr="002F5533">
              <w:t>procedure</w:t>
            </w:r>
          </w:p>
        </w:tc>
      </w:tr>
      <w:tr w:rsidTr="000904D7">
        <w:tblPrEx>
          <w:tblW w:w="0" w:type="auto"/>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1.3</w:t>
            </w:r>
          </w:p>
        </w:tc>
        <w:tc>
          <w:tcPr>
            <w:tcW w:w="4841"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Resources required to satisfy the work plan are identified, obtained and inspected for compliance with the job specifications</w:t>
            </w:r>
          </w:p>
        </w:tc>
      </w:tr>
      <w:tr w:rsidTr="000904D7">
        <w:tblPrEx>
          <w:tblW w:w="0" w:type="auto"/>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1.4</w:t>
            </w:r>
          </w:p>
        </w:tc>
        <w:tc>
          <w:tcPr>
            <w:tcW w:w="4841"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Relevant plans, drawings and texts are selected and interpreted in accordance with the work plan</w:t>
            </w:r>
          </w:p>
        </w:tc>
      </w:tr>
      <w:tr w:rsidTr="000904D7">
        <w:tblPrEx>
          <w:tblW w:w="0" w:type="auto"/>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1.5</w:t>
            </w:r>
          </w:p>
        </w:tc>
        <w:tc>
          <w:tcPr>
            <w:tcW w:w="4841"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Correct size, type and quantity of materials/components are determined, obtained and inspected for compliance with the job specifications</w:t>
            </w:r>
          </w:p>
        </w:tc>
      </w:tr>
      <w:tr w:rsidTr="000904D7">
        <w:tblPrEx>
          <w:tblW w:w="0" w:type="auto"/>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1.6</w:t>
            </w:r>
          </w:p>
        </w:tc>
        <w:tc>
          <w:tcPr>
            <w:tcW w:w="4841"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Work is planned in detail including sequencing and prioritising and considerations made, where appropriate, for</w:t>
            </w:r>
            <w:r w:rsidRPr="002F5533">
              <w:t xml:space="preserve"> the maintenance of plant security and capacity in accordance with system/site requirements</w:t>
            </w:r>
          </w:p>
        </w:tc>
      </w:tr>
      <w:tr w:rsidTr="000904D7">
        <w:tblPrEx>
          <w:tblW w:w="0" w:type="auto"/>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1.7</w:t>
            </w:r>
          </w:p>
        </w:tc>
        <w:tc>
          <w:tcPr>
            <w:tcW w:w="4841"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Coordination requirements, including requests for isolations where appropriate, are resolved with others involved, affected or required by the work</w:t>
            </w:r>
          </w:p>
        </w:tc>
      </w:tr>
      <w:tr w:rsidTr="000904D7">
        <w:tblPrEx>
          <w:tblW w:w="0" w:type="auto"/>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1.8</w:t>
            </w:r>
          </w:p>
        </w:tc>
        <w:tc>
          <w:tcPr>
            <w:tcW w:w="4841"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Potential hazards are identified and prevention and/or control measures are selected in accordance with the work plan and site procedures</w:t>
            </w:r>
          </w:p>
        </w:tc>
      </w:tr>
      <w:tr w:rsidTr="000904D7">
        <w:tblPrEx>
          <w:tblW w:w="0" w:type="auto"/>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1.9</w:t>
            </w:r>
          </w:p>
        </w:tc>
        <w:tc>
          <w:tcPr>
            <w:tcW w:w="4841"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Work area is prepared in accordance with work requirements and site procedures</w:t>
            </w:r>
          </w:p>
        </w:tc>
      </w:tr>
      <w:tr w:rsidTr="000904D7">
        <w:tblPrEx>
          <w:tblW w:w="0" w:type="auto"/>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1.10</w:t>
            </w:r>
          </w:p>
        </w:tc>
        <w:tc>
          <w:tcPr>
            <w:tcW w:w="4841"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Where appropriate, the t</w:t>
            </w:r>
            <w:r w:rsidRPr="002F5533">
              <w:t xml:space="preserve">eams and individuals roles and responsibilities within the team are identified and, where required, assist in the provision of on-the-job training </w:t>
            </w:r>
          </w:p>
        </w:tc>
      </w:tr>
      <w:tr w:rsidTr="000904D7">
        <w:tblPrEx>
          <w:tblW w:w="0" w:type="auto"/>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2</w:t>
            </w:r>
          </w:p>
        </w:tc>
        <w:tc>
          <w:tcPr>
            <w:tcW w:w="2308" w:type="dxa"/>
            <w:gridSpan w:val="2"/>
            <w:vMerge w:val="restart"/>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Conduct in-service testing</w:t>
            </w:r>
          </w:p>
        </w:tc>
        <w:tc>
          <w:tcPr>
            <w:tcW w:w="905"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2.1</w:t>
            </w:r>
          </w:p>
        </w:tc>
        <w:tc>
          <w:tcPr>
            <w:tcW w:w="4841"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In-service tests are carried out in accordance with the work plan</w:t>
            </w:r>
          </w:p>
        </w:tc>
      </w:tr>
      <w:tr w:rsidTr="000904D7">
        <w:tblPrEx>
          <w:tblW w:w="0" w:type="auto"/>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2.2</w:t>
            </w:r>
          </w:p>
        </w:tc>
        <w:tc>
          <w:tcPr>
            <w:tcW w:w="4841"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Faults are located using appropriate tools, equipment and testing techniques, being mindful of personnel safety and plant integrity</w:t>
            </w:r>
          </w:p>
        </w:tc>
      </w:tr>
      <w:tr w:rsidTr="000904D7">
        <w:tblPrEx>
          <w:tblW w:w="0" w:type="auto"/>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2.3</w:t>
            </w:r>
          </w:p>
        </w:tc>
        <w:tc>
          <w:tcPr>
            <w:tcW w:w="4841"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Testing and fault finding results are analysed to establish suitable repairs or ascertain serviceability</w:t>
            </w:r>
          </w:p>
        </w:tc>
      </w:tr>
      <w:tr w:rsidTr="000904D7">
        <w:tblPrEx>
          <w:tblW w:w="0" w:type="auto"/>
          <w:tblLayout w:type="fixed"/>
          <w:tblCellMar>
            <w:left w:w="62" w:type="dxa"/>
            <w:right w:w="62" w:type="dxa"/>
          </w:tblCellMar>
          <w:tblLook w:val="0000"/>
        </w:tblPrEx>
        <w:tc>
          <w:tcPr>
            <w:tcW w:w="406" w:type="dxa"/>
            <w:vMerge w:val="restart"/>
            <w:tcBorders>
              <w:top w:val="nil"/>
              <w:left w:val="nil"/>
              <w:bottom w:val="single" w:sz="4" w:space="0" w:color="auto"/>
              <w:right w:val="nil"/>
            </w:tcBorders>
            <w:tcMar>
              <w:top w:w="0" w:type="dxa"/>
              <w:left w:w="62" w:type="dxa"/>
              <w:bottom w:w="0" w:type="dxa"/>
              <w:right w:w="62" w:type="dxa"/>
            </w:tcMar>
          </w:tcPr>
          <w:p w:rsidR="00000000" w:rsidP="002F5533">
            <w:pPr>
              <w:pStyle w:val="BodyText"/>
              <w:rPr>
                <w:lang w:val="en-NZ"/>
              </w:rPr>
            </w:pPr>
            <w:r w:rsidRPr="002F5533">
              <w:t>3</w:t>
            </w:r>
          </w:p>
        </w:tc>
        <w:tc>
          <w:tcPr>
            <w:tcW w:w="2308" w:type="dxa"/>
            <w:gridSpan w:val="2"/>
            <w:vMerge w:val="restart"/>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Remove equipment to facilitate maintenance</w:t>
            </w:r>
          </w:p>
        </w:tc>
        <w:tc>
          <w:tcPr>
            <w:tcW w:w="905"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3.1</w:t>
            </w:r>
          </w:p>
        </w:tc>
        <w:tc>
          <w:tcPr>
            <w:tcW w:w="4841"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Required isolations are confirmed where appropriate in accordance with site requirements</w:t>
            </w:r>
          </w:p>
        </w:tc>
      </w:tr>
      <w:tr w:rsidTr="000904D7">
        <w:tblPrEx>
          <w:tblW w:w="0" w:type="auto"/>
          <w:tblLayout w:type="fixed"/>
          <w:tblCellMar>
            <w:left w:w="62" w:type="dxa"/>
            <w:right w:w="62" w:type="dxa"/>
          </w:tblCellMar>
          <w:tblLook w:val="0000"/>
        </w:tblPrEx>
        <w:tc>
          <w:tcPr>
            <w:tcW w:w="406"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3.2</w:t>
            </w:r>
          </w:p>
        </w:tc>
        <w:tc>
          <w:tcPr>
            <w:tcW w:w="4841"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Material crushers are disconnected in accordance with the work plan</w:t>
            </w:r>
          </w:p>
        </w:tc>
      </w:tr>
      <w:tr w:rsidTr="000904D7">
        <w:tblPrEx>
          <w:tblW w:w="0" w:type="auto"/>
          <w:tblLayout w:type="fixed"/>
          <w:tblCellMar>
            <w:left w:w="62" w:type="dxa"/>
            <w:right w:w="62" w:type="dxa"/>
          </w:tblCellMar>
          <w:tblLook w:val="0000"/>
        </w:tblPrEx>
        <w:tc>
          <w:tcPr>
            <w:tcW w:w="406"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3.3</w:t>
            </w:r>
          </w:p>
        </w:tc>
        <w:tc>
          <w:tcPr>
            <w:tcW w:w="4841"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Material crushers are removed in a manner which will assist in replacement in accordance with the work plan</w:t>
            </w:r>
          </w:p>
        </w:tc>
      </w:tr>
      <w:tr w:rsidTr="000904D7">
        <w:tblPrEx>
          <w:tblW w:w="0" w:type="auto"/>
          <w:tblLayout w:type="fixed"/>
          <w:tblCellMar>
            <w:left w:w="62" w:type="dxa"/>
            <w:right w:w="62" w:type="dxa"/>
          </w:tblCellMar>
          <w:tblLook w:val="0000"/>
        </w:tblPrEx>
        <w:tc>
          <w:tcPr>
            <w:tcW w:w="406"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3.4</w:t>
            </w:r>
          </w:p>
        </w:tc>
        <w:tc>
          <w:tcPr>
            <w:tcW w:w="4841"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Material crushers are inspected for abnormalities in accordance with the work plan</w:t>
            </w:r>
          </w:p>
        </w:tc>
      </w:tr>
      <w:tr w:rsidTr="000904D7">
        <w:tblPrEx>
          <w:tblW w:w="0" w:type="auto"/>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4</w:t>
            </w:r>
          </w:p>
        </w:tc>
        <w:tc>
          <w:tcPr>
            <w:tcW w:w="2308" w:type="dxa"/>
            <w:gridSpan w:val="2"/>
            <w:vMerge w:val="restart"/>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Maintain material crushers</w:t>
            </w:r>
          </w:p>
        </w:tc>
        <w:tc>
          <w:tcPr>
            <w:tcW w:w="905"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4.1</w:t>
            </w:r>
          </w:p>
        </w:tc>
        <w:tc>
          <w:tcPr>
            <w:tcW w:w="4841"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Components or sub-assemb</w:t>
            </w:r>
            <w:r w:rsidRPr="002F5533">
              <w:t>lies are dismantled, cleaned and examined to verify tolerances using appropriate techniques and procedures to determine the need to replace, overhaul or repair in accordance with the work plan</w:t>
            </w:r>
          </w:p>
        </w:tc>
      </w:tr>
      <w:tr w:rsidTr="000904D7">
        <w:tblPrEx>
          <w:tblW w:w="0" w:type="auto"/>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4.2</w:t>
            </w:r>
          </w:p>
        </w:tc>
        <w:tc>
          <w:tcPr>
            <w:tcW w:w="4841"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Sketches are made, data noted and components marked for identification and/or re-assembly and overhaul in accordance with the work plan and site requirements</w:t>
            </w:r>
          </w:p>
        </w:tc>
      </w:tr>
      <w:tr w:rsidTr="000904D7">
        <w:tblPrEx>
          <w:tblW w:w="0" w:type="auto"/>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4.3</w:t>
            </w:r>
          </w:p>
        </w:tc>
        <w:tc>
          <w:tcPr>
            <w:tcW w:w="4841"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Dimensional inspection is performed using precision measuring devices to determine complian</w:t>
            </w:r>
            <w:r w:rsidRPr="002F5533">
              <w:t>ce with relevant drawings/ specifications and in accordance with the work plan</w:t>
            </w:r>
          </w:p>
        </w:tc>
      </w:tr>
      <w:tr w:rsidTr="000904D7">
        <w:tblPrEx>
          <w:tblW w:w="0" w:type="auto"/>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4.4</w:t>
            </w:r>
          </w:p>
        </w:tc>
        <w:tc>
          <w:tcPr>
            <w:tcW w:w="4841"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New components are inspected for compliance with manufacturer specifications and prepared for assembly in accordance with the work plan and site requirements</w:t>
            </w:r>
          </w:p>
        </w:tc>
      </w:tr>
      <w:tr w:rsidTr="000904D7">
        <w:tblPrEx>
          <w:tblW w:w="0" w:type="auto"/>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4.5</w:t>
            </w:r>
          </w:p>
        </w:tc>
        <w:tc>
          <w:tcPr>
            <w:tcW w:w="4841"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Components are weighed, measured and recorded in accordance with the work plan and site requirements</w:t>
            </w:r>
          </w:p>
        </w:tc>
      </w:tr>
      <w:tr w:rsidTr="000904D7">
        <w:tblPrEx>
          <w:tblW w:w="0" w:type="auto"/>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4.6</w:t>
            </w:r>
          </w:p>
        </w:tc>
        <w:tc>
          <w:tcPr>
            <w:tcW w:w="4841"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Components are reassembled and preliminary balance of the equipment is obtained, maintained and adjusted by assembling components sequentially and o</w:t>
            </w:r>
            <w:r w:rsidRPr="002F5533">
              <w:t>f appropriate weight in accordance with the work plan</w:t>
            </w:r>
          </w:p>
        </w:tc>
      </w:tr>
      <w:tr w:rsidTr="000904D7">
        <w:tblPrEx>
          <w:tblW w:w="0" w:type="auto"/>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4.7</w:t>
            </w:r>
          </w:p>
        </w:tc>
        <w:tc>
          <w:tcPr>
            <w:tcW w:w="4841"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Plant and machinery is adjusted using appropriate techniques in accordance with manufacturer/site tolerances</w:t>
            </w:r>
          </w:p>
        </w:tc>
      </w:tr>
      <w:tr w:rsidTr="000904D7">
        <w:tblPrEx>
          <w:tblW w:w="0" w:type="auto"/>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4.8</w:t>
            </w:r>
          </w:p>
        </w:tc>
        <w:tc>
          <w:tcPr>
            <w:tcW w:w="4841"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All fastenings are torqued in accordance with manufacturer specifications</w:t>
            </w:r>
          </w:p>
        </w:tc>
      </w:tr>
      <w:tr w:rsidTr="000904D7">
        <w:tblPrEx>
          <w:tblW w:w="0" w:type="auto"/>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4.9</w:t>
            </w:r>
          </w:p>
        </w:tc>
        <w:tc>
          <w:tcPr>
            <w:tcW w:w="4841"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Components are levelled and aligned, using appropriate tools and procedures in accordance with the work plan and site requirements</w:t>
            </w:r>
          </w:p>
        </w:tc>
      </w:tr>
      <w:tr w:rsidTr="000904D7">
        <w:tblPrEx>
          <w:tblW w:w="0" w:type="auto"/>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5</w:t>
            </w:r>
          </w:p>
        </w:tc>
        <w:tc>
          <w:tcPr>
            <w:tcW w:w="2308" w:type="dxa"/>
            <w:gridSpan w:val="2"/>
            <w:vMerge w:val="restart"/>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Replace/install material crushers</w:t>
            </w:r>
          </w:p>
        </w:tc>
        <w:tc>
          <w:tcPr>
            <w:tcW w:w="905"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5.1</w:t>
            </w:r>
          </w:p>
        </w:tc>
        <w:tc>
          <w:tcPr>
            <w:tcW w:w="4841"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Site is prepared for material crushers to be replaced in accordance with the wor</w:t>
            </w:r>
            <w:r w:rsidRPr="002F5533">
              <w:t>k plan</w:t>
            </w:r>
          </w:p>
        </w:tc>
      </w:tr>
      <w:tr w:rsidTr="000904D7">
        <w:tblPrEx>
          <w:tblW w:w="0" w:type="auto"/>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5.2</w:t>
            </w:r>
          </w:p>
        </w:tc>
        <w:tc>
          <w:tcPr>
            <w:tcW w:w="4841"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Material crushers are replaced in accordance with the work plan and manufacturer specifications</w:t>
            </w:r>
          </w:p>
        </w:tc>
      </w:tr>
      <w:tr w:rsidTr="000904D7">
        <w:tblPrEx>
          <w:tblW w:w="0" w:type="auto"/>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5.3</w:t>
            </w:r>
          </w:p>
        </w:tc>
        <w:tc>
          <w:tcPr>
            <w:tcW w:w="4841"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Alterations/corrections are undertaken in accordance with requirements/enterprise procedures</w:t>
            </w:r>
          </w:p>
        </w:tc>
      </w:tr>
      <w:tr w:rsidTr="000904D7">
        <w:tblPrEx>
          <w:tblW w:w="0" w:type="auto"/>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5.4</w:t>
            </w:r>
          </w:p>
        </w:tc>
        <w:tc>
          <w:tcPr>
            <w:tcW w:w="4841"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Material crushers are levelled, aligned and coupled in accordance with the work plan.</w:t>
            </w:r>
          </w:p>
        </w:tc>
      </w:tr>
      <w:tr w:rsidTr="000904D7">
        <w:tblPrEx>
          <w:tblW w:w="0" w:type="auto"/>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5.5</w:t>
            </w:r>
          </w:p>
        </w:tc>
        <w:tc>
          <w:tcPr>
            <w:tcW w:w="4841"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All fastenings are torqued in accordance with manufacturer specifications and site requirements</w:t>
            </w:r>
          </w:p>
        </w:tc>
      </w:tr>
      <w:tr w:rsidTr="000904D7">
        <w:tblPrEx>
          <w:tblW w:w="0" w:type="auto"/>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5.6</w:t>
            </w:r>
          </w:p>
        </w:tc>
        <w:tc>
          <w:tcPr>
            <w:tcW w:w="4841"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 xml:space="preserve">Material crushers are test run and monitored as required in </w:t>
            </w:r>
            <w:r w:rsidRPr="002F5533">
              <w:t>accordance with manufacturer specifications and site requirements</w:t>
            </w:r>
          </w:p>
        </w:tc>
      </w:tr>
      <w:tr w:rsidTr="000904D7">
        <w:tblPrEx>
          <w:tblW w:w="0" w:type="auto"/>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6</w:t>
            </w:r>
          </w:p>
        </w:tc>
        <w:tc>
          <w:tcPr>
            <w:tcW w:w="2308" w:type="dxa"/>
            <w:gridSpan w:val="2"/>
            <w:vMerge w:val="restart"/>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Complete the work</w:t>
            </w:r>
          </w:p>
        </w:tc>
        <w:tc>
          <w:tcPr>
            <w:tcW w:w="905"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6.1</w:t>
            </w:r>
          </w:p>
        </w:tc>
        <w:tc>
          <w:tcPr>
            <w:tcW w:w="4841"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Work is completed and appropriate personnel notified in accordance with site/enterprise requirements</w:t>
            </w:r>
          </w:p>
        </w:tc>
      </w:tr>
      <w:tr w:rsidTr="000904D7">
        <w:tblPrEx>
          <w:tblW w:w="0" w:type="auto"/>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6.2</w:t>
            </w:r>
          </w:p>
        </w:tc>
        <w:tc>
          <w:tcPr>
            <w:tcW w:w="4841"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Work area is cleared of waste, cleaned, restored and secured in accordance with site/enterprise procedures</w:t>
            </w:r>
          </w:p>
        </w:tc>
      </w:tr>
      <w:tr w:rsidTr="000904D7">
        <w:tblPrEx>
          <w:tblW w:w="0" w:type="auto"/>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6.3</w:t>
            </w:r>
          </w:p>
        </w:tc>
        <w:tc>
          <w:tcPr>
            <w:tcW w:w="4841"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Plant, tools and equipment are maintained and stored in accordance with site/enterprise procedures</w:t>
            </w:r>
          </w:p>
        </w:tc>
      </w:tr>
      <w:tr w:rsidTr="000904D7">
        <w:tblPrEx>
          <w:tblW w:w="0" w:type="auto"/>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5"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t>6.4</w:t>
            </w:r>
          </w:p>
        </w:tc>
        <w:tc>
          <w:tcPr>
            <w:tcW w:w="4841" w:type="dxa"/>
            <w:tcBorders>
              <w:top w:val="nil"/>
              <w:left w:val="nil"/>
              <w:bottom w:val="nil"/>
              <w:right w:val="nil"/>
            </w:tcBorders>
            <w:tcMar>
              <w:top w:w="0" w:type="dxa"/>
              <w:left w:w="62" w:type="dxa"/>
              <w:bottom w:w="0" w:type="dxa"/>
              <w:right w:w="62" w:type="dxa"/>
            </w:tcMar>
          </w:tcPr>
          <w:p w:rsidR="00000000" w:rsidRPr="002F5533" w:rsidP="002F5533">
            <w:pPr>
              <w:pStyle w:val="BodyText"/>
            </w:pPr>
            <w:r w:rsidRPr="002F5533">
              <w:t>Work completion details are finalised in accordance with site/enterprise procedures</w:t>
            </w:r>
          </w:p>
        </w:tc>
      </w:tr>
    </w:tbl>
    <w:p w:rsidR="00000000" w:rsidRPr="002F5533" w:rsidP="002F5533">
      <w:pPr>
        <w:pStyle w:val="BodyText"/>
      </w:pPr>
    </w:p>
    <w:p w:rsidR="00000000" w:rsidRPr="002F5533" w:rsidP="002F5533">
      <w:pPr>
        <w:pStyle w:val="AllowPageBreak"/>
      </w:pPr>
    </w:p>
    <w:p w:rsidR="00000000" w:rsidRPr="002F5533" w:rsidP="002F5533">
      <w:pPr>
        <w:pStyle w:val="Heading1"/>
      </w:pPr>
      <w:bookmarkStart w:id="9" w:name="O_469745"/>
      <w:bookmarkEnd w:id="9"/>
      <w:r w:rsidRPr="002F5533">
        <w:t>Required Skills and Knowledge</w:t>
      </w:r>
    </w:p>
    <w:tbl>
      <w:tblPr>
        <w:tblW w:w="0" w:type="auto"/>
        <w:tblLayout w:type="fixed"/>
        <w:tblCellMar>
          <w:left w:w="62" w:type="dxa"/>
          <w:right w:w="62" w:type="dxa"/>
        </w:tblCellMar>
        <w:tblLook w:val="0000"/>
      </w:tblPr>
      <w:tblGrid>
        <w:gridCol w:w="8460"/>
      </w:tblGrid>
      <w:tr w:rsidTr="000904D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rPr>
                <w:rStyle w:val="SpecialBold"/>
              </w:rPr>
              <w:t>REQUIRED SKILLS AND KNOWLEDGE</w:t>
            </w:r>
          </w:p>
        </w:tc>
      </w:tr>
      <w:tr w:rsidTr="000904D7">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2F5533" w:rsidP="002F5533">
            <w:pPr>
              <w:pStyle w:val="BodyText"/>
            </w:pPr>
            <w:r w:rsidRPr="002F5533">
              <w:rPr>
                <w:rStyle w:val="SpecialBold"/>
              </w:rPr>
              <w:t>8)</w:t>
            </w:r>
            <w:r w:rsidRPr="002F5533">
              <w:t xml:space="preserve"> This describes the essential skills and knowledge and their level, required for this unit</w:t>
            </w:r>
            <w:r w:rsidRPr="002F5533">
              <w:t>.</w:t>
            </w:r>
          </w:p>
          <w:p w:rsidR="00000000" w:rsidRPr="002F5533" w:rsidP="002F5533">
            <w:pPr>
              <w:pStyle w:val="BodyText"/>
            </w:pPr>
            <w:r w:rsidRPr="002F5533">
              <w:t>Evidence shall show that knowledge has been acquired of maintaining material crushers.</w:t>
            </w:r>
          </w:p>
          <w:p w:rsidR="00000000" w:rsidRPr="002F5533" w:rsidP="002F5533">
            <w:pPr>
              <w:pStyle w:val="BodyText"/>
            </w:pPr>
            <w:r w:rsidRPr="002F5533">
              <w:t>All knowledge and skills detailed in this unit should be contextualised to current industry practices and technologies.</w:t>
            </w:r>
          </w:p>
          <w:p w:rsidR="00000000" w:rsidRPr="002F5533" w:rsidP="002F5533">
            <w:pPr>
              <w:pStyle w:val="BodyText"/>
            </w:pPr>
            <w:r w:rsidRPr="002F5533">
              <w:t>The extent of the Essential Knowledge and Associated Skills required follows:</w:t>
            </w:r>
          </w:p>
          <w:p w:rsidR="00000000" w:rsidRPr="002F5533" w:rsidP="002F5533">
            <w:pPr>
              <w:pStyle w:val="BodyText"/>
            </w:pPr>
            <w:r w:rsidRPr="002F5533">
              <w:t>KS01-PM310B  Material crushers</w:t>
            </w:r>
          </w:p>
          <w:p w:rsidR="00000000" w:rsidRPr="002F5533" w:rsidP="002F5533">
            <w:pPr>
              <w:pStyle w:val="BodyText"/>
            </w:pPr>
            <w:r w:rsidRPr="002F5533">
              <w:t>T1 Evidence shall show that knowledge has been acquired for safe working practices of:</w:t>
            </w:r>
          </w:p>
          <w:p w:rsidR="00000000" w:rsidRPr="002F5533" w:rsidP="002F5533">
            <w:pPr>
              <w:pStyle w:val="ListBullet"/>
            </w:pPr>
            <w:r w:rsidRPr="002F5533">
              <w:t>Relevant Environmental, Occupational Health and Safety legi</w:t>
            </w:r>
            <w:r w:rsidRPr="002F5533">
              <w:t>slation and  regulations</w:t>
            </w:r>
          </w:p>
          <w:p w:rsidR="00000000" w:rsidRPr="002F5533" w:rsidP="002F5533">
            <w:pPr>
              <w:pStyle w:val="ListBullet"/>
            </w:pPr>
            <w:r w:rsidRPr="002F5533">
              <w:t>Relevant plant and equipment, its location</w:t>
            </w:r>
          </w:p>
          <w:p w:rsidR="00000000" w:rsidRPr="002F5533" w:rsidP="002F5533">
            <w:pPr>
              <w:pStyle w:val="ListBullet"/>
            </w:pPr>
            <w:r w:rsidRPr="002F5533">
              <w:t>Technical drawings and manufacturers manuals</w:t>
            </w:r>
          </w:p>
          <w:p w:rsidR="00000000" w:rsidRPr="002F5533" w:rsidP="002F5533">
            <w:pPr>
              <w:pStyle w:val="ListBullet"/>
            </w:pPr>
            <w:r w:rsidRPr="002F5533">
              <w:t>Introduction to and typical arrangements of power production plant</w:t>
            </w:r>
          </w:p>
          <w:p w:rsidR="00000000" w:rsidRPr="002F5533" w:rsidP="002F5533">
            <w:pPr>
              <w:pStyle w:val="ListBullet"/>
            </w:pPr>
            <w:r w:rsidRPr="002F5533">
              <w:t>Crusher types and operating principles</w:t>
            </w:r>
          </w:p>
          <w:p w:rsidR="00000000" w:rsidRPr="002F5533" w:rsidP="002F5533">
            <w:pPr>
              <w:pStyle w:val="ListBullet"/>
            </w:pPr>
            <w:r w:rsidRPr="002F5533">
              <w:t>Measuring equipment</w:t>
            </w:r>
          </w:p>
          <w:p w:rsidR="00000000" w:rsidRPr="002F5533" w:rsidP="002F5533">
            <w:pPr>
              <w:pStyle w:val="ListBullet"/>
            </w:pPr>
            <w:r w:rsidRPr="002F5533">
              <w:t>Hand and portable</w:t>
            </w:r>
            <w:r w:rsidRPr="002F5533">
              <w:t xml:space="preserve"> power tools</w:t>
            </w:r>
          </w:p>
          <w:p w:rsidR="00000000" w:rsidRPr="002F5533" w:rsidP="002F5533">
            <w:pPr>
              <w:pStyle w:val="ListBullet"/>
            </w:pPr>
            <w:r w:rsidRPr="002F5533">
              <w:t>Specialised tools and jigs</w:t>
            </w:r>
          </w:p>
          <w:p w:rsidR="00000000" w:rsidRPr="002F5533" w:rsidP="002F5533">
            <w:pPr>
              <w:pStyle w:val="ListBullet"/>
            </w:pPr>
            <w:r w:rsidRPr="002F5533">
              <w:t>Levelling and alignment principles</w:t>
            </w:r>
          </w:p>
          <w:p w:rsidR="00000000" w:rsidRPr="002F5533" w:rsidP="002F5533">
            <w:pPr>
              <w:pStyle w:val="ListBullet"/>
            </w:pPr>
            <w:r w:rsidRPr="002F5533">
              <w:t>Rigging and lifting techniques</w:t>
            </w:r>
          </w:p>
          <w:p w:rsidR="00000000" w:rsidRPr="002F5533" w:rsidP="002F5533">
            <w:pPr>
              <w:pStyle w:val="ListBullet"/>
            </w:pPr>
            <w:r w:rsidRPr="002F5533">
              <w:t>Balancing procedures</w:t>
            </w:r>
          </w:p>
          <w:p w:rsidR="00000000" w:rsidRPr="002F5533" w:rsidP="002F5533">
            <w:pPr>
              <w:pStyle w:val="ListBullet"/>
            </w:pPr>
            <w:r w:rsidRPr="002F5533">
              <w:t xml:space="preserve">Lubrication systems </w:t>
            </w:r>
          </w:p>
          <w:p w:rsidR="00000000" w:rsidRPr="002F5533" w:rsidP="002F5533">
            <w:pPr>
              <w:pStyle w:val="BodyText"/>
            </w:pPr>
            <w:r w:rsidRPr="002F5533">
              <w:t>T2 Specific skills needed to achieve the Performance Criteria:</w:t>
            </w:r>
          </w:p>
          <w:p w:rsidR="00000000" w:rsidRPr="002F5533" w:rsidP="002F5533">
            <w:pPr>
              <w:pStyle w:val="ListBullet"/>
            </w:pPr>
            <w:r w:rsidRPr="002F5533">
              <w:t>Apply Relevant Environmental, Occupational H</w:t>
            </w:r>
            <w:r w:rsidRPr="002F5533">
              <w:t>ealth and Safety legislation and  regulations</w:t>
            </w:r>
          </w:p>
          <w:p w:rsidR="00000000" w:rsidRPr="002F5533" w:rsidP="002F5533">
            <w:pPr>
              <w:pStyle w:val="ListBullet"/>
            </w:pPr>
            <w:r w:rsidRPr="002F5533">
              <w:t>Apply levelling and alignment techniques</w:t>
            </w:r>
          </w:p>
          <w:p w:rsidR="00000000" w:rsidRPr="002F5533" w:rsidP="002F5533">
            <w:pPr>
              <w:pStyle w:val="ListBullet"/>
            </w:pPr>
            <w:r w:rsidRPr="002F5533">
              <w:t>Interpret Technical drawings and manufacturers manuals</w:t>
            </w:r>
          </w:p>
          <w:p w:rsidR="00000000" w:rsidRPr="002F5533" w:rsidP="002F5533">
            <w:pPr>
              <w:pStyle w:val="ListBullet"/>
            </w:pPr>
            <w:r w:rsidRPr="002F5533">
              <w:t>Identify and use measuring equipment</w:t>
            </w:r>
          </w:p>
          <w:p w:rsidR="00000000" w:rsidRPr="002F5533" w:rsidP="002F5533">
            <w:pPr>
              <w:pStyle w:val="ListBullet"/>
            </w:pPr>
            <w:r w:rsidRPr="002F5533">
              <w:t>Use hand and portable power tools</w:t>
            </w:r>
          </w:p>
          <w:p w:rsidR="00000000" w:rsidRPr="002F5533" w:rsidP="002F5533">
            <w:pPr>
              <w:pStyle w:val="ListBullet"/>
            </w:pPr>
            <w:r w:rsidRPr="002F5533">
              <w:t>Select and use specialised tools and jigs</w:t>
            </w:r>
          </w:p>
          <w:p w:rsidR="00000000" w:rsidRPr="002F5533" w:rsidP="002F5533">
            <w:pPr>
              <w:pStyle w:val="ListBullet"/>
            </w:pPr>
            <w:r w:rsidRPr="002F5533">
              <w:t>Identify and select materials and components</w:t>
            </w:r>
          </w:p>
          <w:p w:rsidR="00000000" w:rsidRPr="002F5533" w:rsidP="002F5533">
            <w:pPr>
              <w:pStyle w:val="ListBullet"/>
            </w:pPr>
            <w:r w:rsidRPr="002F5533">
              <w:t>Test, adjust, replace and overhaul crushers for desired material sizing</w:t>
            </w:r>
          </w:p>
          <w:p w:rsidR="00000000" w:rsidRPr="002F5533" w:rsidP="002F5533">
            <w:pPr>
              <w:pStyle w:val="ListBullet"/>
            </w:pPr>
            <w:r w:rsidRPr="002F5533">
              <w:t>Dismantle and reassemble components</w:t>
            </w:r>
          </w:p>
          <w:p w:rsidR="00000000" w:rsidRPr="002F5533" w:rsidP="002F5533">
            <w:pPr>
              <w:pStyle w:val="ListBullet"/>
            </w:pPr>
            <w:r w:rsidRPr="002F5533">
              <w:t>Communicate effectively.</w:t>
            </w:r>
          </w:p>
        </w:tc>
      </w:tr>
    </w:tbl>
    <w:p w:rsidR="00000000" w:rsidRPr="002F5533" w:rsidP="002F5533">
      <w:pPr>
        <w:pStyle w:val="BodyText"/>
      </w:pPr>
    </w:p>
    <w:p w:rsidR="00000000" w:rsidRPr="002F5533" w:rsidP="002F5533">
      <w:pPr>
        <w:pStyle w:val="AllowPageBreak"/>
      </w:pPr>
    </w:p>
    <w:p w:rsidR="00000000" w:rsidRPr="002F5533" w:rsidP="002F5533">
      <w:pPr>
        <w:pStyle w:val="Heading1"/>
      </w:pPr>
      <w:bookmarkStart w:id="10" w:name="O_469740"/>
      <w:bookmarkEnd w:id="10"/>
      <w:r w:rsidRPr="002F5533">
        <w:t>Evidence Guide</w:t>
      </w:r>
    </w:p>
    <w:tbl>
      <w:tblPr>
        <w:tblW w:w="0" w:type="auto"/>
        <w:tblLayout w:type="fixed"/>
        <w:tblCellMar>
          <w:left w:w="62" w:type="dxa"/>
          <w:right w:w="62" w:type="dxa"/>
        </w:tblCellMar>
        <w:tblLook w:val="0000"/>
      </w:tblPr>
      <w:tblGrid>
        <w:gridCol w:w="8460"/>
      </w:tblGrid>
      <w:tr w:rsidTr="000904D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rPr>
                <w:rStyle w:val="SpecialBold"/>
              </w:rPr>
              <w:t>EVIDENCE GUIDE</w:t>
            </w:r>
          </w:p>
        </w:tc>
      </w:tr>
      <w:tr w:rsidTr="000904D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F5533" w:rsidP="002F5533">
            <w:pPr>
              <w:pStyle w:val="BodyText"/>
            </w:pPr>
            <w:r w:rsidRPr="002F5533">
              <w:rPr>
                <w:rStyle w:val="SpecialBold"/>
              </w:rPr>
              <w:t>9)</w:t>
            </w:r>
            <w:r w:rsidRPr="002F5533">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2F5533" w:rsidP="002F5533">
            <w:pPr>
              <w:pStyle w:val="BodyText"/>
            </w:pPr>
            <w:r w:rsidRPr="002F5533">
              <w:t>The Evidenc</w:t>
            </w:r>
            <w:r w:rsidRPr="002F5533">
              <w:t>e Guide forms an integral part of this unit and shall be used in conjunction with all components parts of this unit and, performed in accordance with the Assessment Guidelines of this Training Package.</w:t>
            </w:r>
          </w:p>
        </w:tc>
      </w:tr>
    </w:tbl>
    <w:p w:rsidR="00000000" w:rsidRPr="002F5533" w:rsidP="002F5533">
      <w:pPr>
        <w:pStyle w:val="BodyText"/>
      </w:pPr>
    </w:p>
    <w:tbl>
      <w:tblPr>
        <w:tblW w:w="0" w:type="auto"/>
        <w:tblLayout w:type="fixed"/>
        <w:tblCellMar>
          <w:left w:w="62" w:type="dxa"/>
          <w:right w:w="62" w:type="dxa"/>
        </w:tblCellMar>
        <w:tblLook w:val="0000"/>
      </w:tblPr>
      <w:tblGrid>
        <w:gridCol w:w="1890"/>
        <w:gridCol w:w="6570"/>
      </w:tblGrid>
      <w:tr w:rsidTr="000904D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F5533" w:rsidP="002F5533">
            <w:pPr>
              <w:pStyle w:val="BodyText"/>
            </w:pPr>
            <w:r w:rsidRPr="002F553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rPr>
                <w:rStyle w:val="SpecialBold"/>
              </w:rPr>
              <w:t>9.1)</w:t>
            </w:r>
          </w:p>
        </w:tc>
      </w:tr>
      <w:tr w:rsidTr="000904D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F5533" w:rsidP="002F5533">
            <w:pPr>
              <w:pStyle w:val="BodyText"/>
            </w:pPr>
            <w:r w:rsidRPr="002F5533">
              <w:t>Longitude competency d</w:t>
            </w:r>
            <w:r w:rsidRPr="002F5533">
              <w:t xml:space="preserve">evelopment approaches to assessment, such as Profiling, require data to be reliably gathered in a form that can be consistently interpreted over time. This approach is best utilised in Apprenticeship programs and reduces assessment intervention. It is the </w:t>
            </w:r>
            <w:r w:rsidRPr="002F5533">
              <w:t xml:space="preserve">Industry preferred model for apprenticeships. However, where summative (or final) assessment is used it is to include the application of the competency in the normal work environment or in a realistically simulated work environment. It is recognised that, </w:t>
            </w:r>
            <w:r w:rsidRPr="002F5533">
              <w:t>in some circumstances, assessment in part or full can occur outside the workplace; however, it must be in accord with Industry and regulatory policy.</w:t>
            </w:r>
          </w:p>
          <w:p w:rsidR="00000000" w:rsidRPr="002F5533" w:rsidP="002F5533">
            <w:pPr>
              <w:pStyle w:val="BodyText"/>
            </w:pPr>
            <w:r w:rsidRPr="002F5533">
              <w:t>Methods chosen for a particular assessment will be influenced by various factors. These include the extent</w:t>
            </w:r>
            <w:r w:rsidRPr="002F5533">
              <w:t xml:space="preserve"> of the assessment, the most effective locations for the assessment activities to take place, access to physical resources, additional safety measures that may be required and the critical nature of the competencies being assessed.</w:t>
            </w:r>
          </w:p>
          <w:p w:rsidR="00000000" w:rsidRPr="002F5533" w:rsidP="002F5533">
            <w:pPr>
              <w:pStyle w:val="BodyText"/>
            </w:pPr>
            <w:r w:rsidRPr="002F5533">
              <w:t>The critical safety natu</w:t>
            </w:r>
            <w:r w:rsidRPr="002F5533">
              <w:t>re of working with electricity, electrical equipment, gas or any other hazardous substance/material carries risk in deeming a person competent. Hence, sources of evidence need to be ‘rich’ in nature so as to minimise error in judgment.</w:t>
            </w:r>
          </w:p>
          <w:p w:rsidR="00000000" w:rsidRPr="002F5533" w:rsidP="002F5533">
            <w:pPr>
              <w:pStyle w:val="BodyText"/>
            </w:pPr>
            <w:r w:rsidRPr="002F5533">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2F5533">
              <w:t>may be more or less frequently practised. These points are raised for the assessors to consider when choosing an assessment method and developing assessment instruments. Sample assessment instruments are included in the Assessment Guidelines of this Traini</w:t>
            </w:r>
            <w:r w:rsidRPr="002F5533">
              <w:t>ng Package.</w:t>
            </w:r>
          </w:p>
        </w:tc>
      </w:tr>
    </w:tbl>
    <w:p w:rsidR="00000000" w:rsidRPr="002F5533" w:rsidP="002F5533">
      <w:pPr>
        <w:pStyle w:val="BodyText"/>
      </w:pPr>
    </w:p>
    <w:tbl>
      <w:tblPr>
        <w:tblW w:w="0" w:type="auto"/>
        <w:tblLayout w:type="fixed"/>
        <w:tblCellMar>
          <w:left w:w="62" w:type="dxa"/>
          <w:right w:w="62" w:type="dxa"/>
        </w:tblCellMar>
        <w:tblLook w:val="0000"/>
      </w:tblPr>
      <w:tblGrid>
        <w:gridCol w:w="1890"/>
        <w:gridCol w:w="6570"/>
      </w:tblGrid>
      <w:tr w:rsidTr="000904D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F5533" w:rsidP="002F5533">
            <w:pPr>
              <w:pStyle w:val="BodyText"/>
            </w:pPr>
            <w:r w:rsidRPr="002F5533">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rPr>
                <w:rStyle w:val="SpecialBold"/>
              </w:rPr>
              <w:t>9.2)</w:t>
            </w:r>
          </w:p>
        </w:tc>
      </w:tr>
      <w:tr w:rsidTr="000904D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F5533" w:rsidP="002F5533">
            <w:pPr>
              <w:pStyle w:val="BodyText"/>
            </w:pPr>
            <w:r w:rsidRPr="002F5533">
              <w:t>Before the critical aspects of evidence are considered all pre-requisites shall be met.</w:t>
            </w:r>
          </w:p>
          <w:p w:rsidR="00000000" w:rsidRPr="002F5533" w:rsidP="002F5533">
            <w:pPr>
              <w:pStyle w:val="BodyText"/>
            </w:pPr>
            <w:r w:rsidRPr="002F5533">
              <w:t>Evidence for competence in this unit shall be considered holistically.</w:t>
            </w:r>
            <w:r w:rsidRPr="002F5533">
              <w:t xml:space="preserve">  Each element and associated Performance Criteria shall be demonstrated on at least two occasions in accordance with the “Assessment Guidelines – UEP12”.  Evidence shall also comprise:</w:t>
            </w:r>
          </w:p>
          <w:p w:rsidR="00000000" w:rsidRPr="002F5533" w:rsidP="002F5533">
            <w:pPr>
              <w:pStyle w:val="ListBullet"/>
            </w:pPr>
            <w:r w:rsidRPr="002F5533">
              <w:t>A representative body of work performance demonstrated within the tim</w:t>
            </w:r>
            <w:r w:rsidRPr="002F5533">
              <w:t>eframes typically expected of the discipline, work function and industrial environment. In particular this shall incorporate evidence that shows a candidate is able to:</w:t>
            </w:r>
          </w:p>
          <w:p w:rsidR="00000000" w:rsidRPr="002F5533" w:rsidP="002F5533">
            <w:pPr>
              <w:pStyle w:val="ListBullet2"/>
            </w:pPr>
            <w:r w:rsidRPr="002F5533">
              <w:t>Implement OH&amp;S workplace procedures and practices including the use of risk control me</w:t>
            </w:r>
            <w:r w:rsidRPr="002F5533">
              <w:t>asures as specified in the Performance Criteria and Range Statement</w:t>
            </w:r>
          </w:p>
          <w:p w:rsidR="00000000" w:rsidRPr="002F5533" w:rsidP="002F5533">
            <w:pPr>
              <w:pStyle w:val="ListBullet2"/>
            </w:pPr>
            <w:r w:rsidRPr="002F5533">
              <w:t>Apply sustainable energy principles and practices as specified in the Performance Criteria and Range Statement</w:t>
            </w:r>
          </w:p>
          <w:p w:rsidR="00000000" w:rsidRPr="002F5533" w:rsidP="002F5533">
            <w:pPr>
              <w:pStyle w:val="ListBullet2"/>
            </w:pPr>
            <w:r w:rsidRPr="002F5533">
              <w:t>Demonstrate an understanding of the essential knowledge and associated skills as described in 6) Essential Knowledge and Associated Skills of this unit</w:t>
            </w:r>
          </w:p>
          <w:p w:rsidR="00000000" w:rsidRPr="002F5533" w:rsidP="002F5533">
            <w:pPr>
              <w:pStyle w:val="ListBullet2"/>
            </w:pPr>
            <w:r w:rsidRPr="002F5533">
              <w:t>Demonstrate an appropriate level of employability skills</w:t>
            </w:r>
          </w:p>
          <w:p w:rsidR="00000000" w:rsidRPr="002F5533" w:rsidP="002F5533">
            <w:pPr>
              <w:pStyle w:val="ListBullet2"/>
            </w:pPr>
            <w:r w:rsidRPr="002F5533">
              <w:t>Conduct work observing the relevant Anti Discri</w:t>
            </w:r>
            <w:r w:rsidRPr="002F5533">
              <w:t>mination legislation, regulations, polices and workplace procedures</w:t>
            </w:r>
          </w:p>
          <w:p w:rsidR="00000000" w:rsidRPr="002F5533" w:rsidP="002F5533">
            <w:pPr>
              <w:pStyle w:val="ListBullet"/>
            </w:pPr>
            <w:r w:rsidRPr="002F5533">
              <w:t>Demonstrated performance across a representative range of contexts from the prescribed items below:</w:t>
            </w:r>
          </w:p>
          <w:p w:rsidR="00000000" w:rsidRPr="002F5533" w:rsidP="002F5533">
            <w:pPr>
              <w:pStyle w:val="ListBullet2"/>
            </w:pPr>
            <w:r w:rsidRPr="002F5533">
              <w:t xml:space="preserve">The knowledge and application of relevant sections of: Occupational Health and Safety </w:t>
            </w:r>
            <w:r w:rsidRPr="002F5533">
              <w:t>legislation; Statutory legislation; Enterprise/site safety procedures; Enterprise/site emergency procedures</w:t>
            </w:r>
          </w:p>
          <w:p w:rsidR="00000000" w:rsidRPr="002F5533" w:rsidP="002F5533">
            <w:pPr>
              <w:pStyle w:val="ListBullet2"/>
            </w:pPr>
            <w:r w:rsidRPr="002F5533">
              <w:t>Preparation and planning of work</w:t>
            </w:r>
          </w:p>
          <w:p w:rsidR="00000000" w:rsidRPr="002F5533" w:rsidP="002F5533">
            <w:pPr>
              <w:pStyle w:val="ListBullet2"/>
            </w:pPr>
            <w:r w:rsidRPr="002F5533">
              <w:t>Removal techniques</w:t>
            </w:r>
          </w:p>
          <w:p w:rsidR="00000000" w:rsidRPr="002F5533" w:rsidP="002F5533">
            <w:pPr>
              <w:pStyle w:val="ListBullet2"/>
            </w:pPr>
            <w:r w:rsidRPr="002F5533">
              <w:t>Identifying faults</w:t>
            </w:r>
          </w:p>
          <w:p w:rsidR="00000000" w:rsidRPr="002F5533" w:rsidP="002F5533">
            <w:pPr>
              <w:pStyle w:val="ListBullet2"/>
            </w:pPr>
            <w:r w:rsidRPr="002F5533">
              <w:t>Conducting in service testing</w:t>
            </w:r>
          </w:p>
          <w:p w:rsidR="00000000" w:rsidRPr="002F5533" w:rsidP="002F5533">
            <w:pPr>
              <w:pStyle w:val="ListBullet2"/>
            </w:pPr>
            <w:r w:rsidRPr="002F5533">
              <w:t>Maintenance techniques and procedures</w:t>
            </w:r>
          </w:p>
          <w:p w:rsidR="00000000" w:rsidRPr="002F5533" w:rsidP="002F5533">
            <w:pPr>
              <w:pStyle w:val="ListBullet2"/>
            </w:pPr>
            <w:r w:rsidRPr="002F5533">
              <w:t>Installat</w:t>
            </w:r>
            <w:r w:rsidRPr="002F5533">
              <w:t>ion techniques and procedures</w:t>
            </w:r>
          </w:p>
          <w:p w:rsidR="00000000" w:rsidRPr="002F5533" w:rsidP="002F5533">
            <w:pPr>
              <w:pStyle w:val="ListBullet2"/>
            </w:pPr>
            <w:r w:rsidRPr="002F5533">
              <w:t>Completion of work procedures</w:t>
            </w:r>
          </w:p>
          <w:p w:rsidR="00000000" w:rsidRPr="002F5533" w:rsidP="002F5533">
            <w:pPr>
              <w:pStyle w:val="ListBullet2"/>
            </w:pPr>
            <w:r w:rsidRPr="002F5533">
              <w:t>In service test procedures</w:t>
            </w:r>
          </w:p>
          <w:p w:rsidR="00000000" w:rsidRPr="002F5533" w:rsidP="002F5533">
            <w:pPr>
              <w:pStyle w:val="ListBullet2"/>
            </w:pPr>
            <w:r w:rsidRPr="002F5533">
              <w:t>Dealing with an unplanned event by drawing on essential knowledge and skills to provide appropriate solutions incorporated in the holistic assessment with the above listed items.</w:t>
            </w:r>
          </w:p>
        </w:tc>
      </w:tr>
    </w:tbl>
    <w:p w:rsidR="00000000" w:rsidRPr="002F5533" w:rsidP="002F5533">
      <w:pPr>
        <w:pStyle w:val="BodyText"/>
      </w:pPr>
    </w:p>
    <w:tbl>
      <w:tblPr>
        <w:tblW w:w="0" w:type="auto"/>
        <w:tblLayout w:type="fixed"/>
        <w:tblCellMar>
          <w:left w:w="62" w:type="dxa"/>
          <w:right w:w="62" w:type="dxa"/>
        </w:tblCellMar>
        <w:tblLook w:val="0000"/>
      </w:tblPr>
      <w:tblGrid>
        <w:gridCol w:w="1890"/>
        <w:gridCol w:w="6570"/>
      </w:tblGrid>
      <w:tr w:rsidTr="000904D7">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F5533" w:rsidP="002F5533">
            <w:pPr>
              <w:pStyle w:val="BodyText"/>
            </w:pPr>
            <w:r w:rsidRPr="002F553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rPr>
                <w:rStyle w:val="SpecialBold"/>
              </w:rPr>
              <w:t>9.3)</w:t>
            </w:r>
          </w:p>
        </w:tc>
      </w:tr>
      <w:tr w:rsidTr="000904D7">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F5533" w:rsidP="002F5533">
            <w:pPr>
              <w:pStyle w:val="BodyText"/>
            </w:pPr>
            <w:r w:rsidRPr="002F5533">
              <w:t>This unit should be assessed as it relates to normal work practice using procedures, information and resources typical of a workplace. This should include:</w:t>
            </w:r>
          </w:p>
          <w:p w:rsidR="00000000" w:rsidRPr="002F5533" w:rsidP="002F5533">
            <w:pPr>
              <w:pStyle w:val="ListBullet"/>
            </w:pPr>
            <w:r w:rsidRPr="002F5533">
              <w:t>OHS policy and work procedures and instructions.</w:t>
            </w:r>
          </w:p>
          <w:p w:rsidR="00000000" w:rsidRPr="002F5533" w:rsidP="002F5533">
            <w:pPr>
              <w:pStyle w:val="ListBullet"/>
            </w:pPr>
            <w:r w:rsidRPr="002F5533">
              <w:t>Suitable work environment, facilities, equipment a</w:t>
            </w:r>
            <w:r w:rsidRPr="002F5533">
              <w:t>nd materials to undertake actual work as prescribed by this unit.</w:t>
            </w:r>
          </w:p>
          <w:p w:rsidR="00000000" w:rsidRPr="002F5533" w:rsidP="002F5533">
            <w:pPr>
              <w:pStyle w:val="BodyText"/>
            </w:pPr>
            <w:r w:rsidRPr="002F5533">
              <w:t>Competency Standards should be assessed in the workplace or simulated workplace and under the normal range of workplace conditions.</w:t>
            </w:r>
          </w:p>
          <w:p w:rsidR="00000000" w:rsidRPr="002F5533" w:rsidP="002F5533">
            <w:pPr>
              <w:pStyle w:val="BodyText"/>
            </w:pPr>
            <w:r w:rsidRPr="002F5533">
              <w:t>Assessment of this unit will be supported with documentary</w:t>
            </w:r>
            <w:r w:rsidRPr="002F5533">
              <w:t xml:space="preserve"> evidence, by means of endorsement stating type and application of work.</w:t>
            </w:r>
          </w:p>
          <w:p w:rsidR="00000000" w:rsidRPr="002F5533" w:rsidP="002F5533">
            <w:pPr>
              <w:pStyle w:val="BodyText"/>
            </w:pPr>
            <w:r w:rsidRPr="002F5533">
              <w:t>In addition to the resources listed above in Context of assessment’, evidence should show competency working, in limited spaces, with different types of plant and equipment as well as</w:t>
            </w:r>
            <w:r w:rsidRPr="002F5533">
              <w:t xml:space="preserve"> different structural/construction types and method and in a variety of environments.</w:t>
            </w:r>
          </w:p>
        </w:tc>
      </w:tr>
    </w:tbl>
    <w:p w:rsidR="00000000" w:rsidRPr="002F5533" w:rsidP="002F5533">
      <w:pPr>
        <w:pStyle w:val="BodyText"/>
      </w:pPr>
    </w:p>
    <w:tbl>
      <w:tblPr>
        <w:tblW w:w="0" w:type="auto"/>
        <w:tblLayout w:type="fixed"/>
        <w:tblCellMar>
          <w:left w:w="62" w:type="dxa"/>
          <w:right w:w="62" w:type="dxa"/>
        </w:tblCellMar>
        <w:tblLook w:val="0000"/>
      </w:tblPr>
      <w:tblGrid>
        <w:gridCol w:w="1890"/>
        <w:gridCol w:w="6570"/>
      </w:tblGrid>
      <w:tr w:rsidTr="000904D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F5533" w:rsidP="002F5533">
            <w:pPr>
              <w:pStyle w:val="BodyText"/>
            </w:pPr>
            <w:r w:rsidRPr="002F553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rPr>
                <w:rStyle w:val="SpecialBold"/>
              </w:rPr>
              <w:t>9.4)</w:t>
            </w:r>
          </w:p>
        </w:tc>
      </w:tr>
      <w:tr w:rsidTr="000904D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F5533" w:rsidP="002F5533">
            <w:pPr>
              <w:pStyle w:val="BodyText"/>
            </w:pPr>
            <w:r w:rsidRPr="002F5533">
              <w:t>This unit shall be assessed by methods given in Section 1.3.00 Assessment Guidelines.</w:t>
            </w:r>
          </w:p>
          <w:p w:rsidR="00000000" w:rsidRPr="002F5533" w:rsidP="002F5533">
            <w:pPr>
              <w:pStyle w:val="BodyText"/>
            </w:pPr>
            <w:r w:rsidRPr="002F5533">
              <w:t xml:space="preserve">Note: Competent performance with inherent safe working practices is expected in the Industry to which this unit applies. This requires that the specified essential knowledge and associated skills are assessed in a structured environment which is primarily </w:t>
            </w:r>
            <w:r w:rsidRPr="002F5533">
              <w:t>intended for learning/assessment and incorporates all necessary equipment and facilities for learners to develop and demonstrate the essential knowledge and skills described in this unit.</w:t>
            </w:r>
          </w:p>
        </w:tc>
      </w:tr>
    </w:tbl>
    <w:p w:rsidR="00000000" w:rsidRPr="002F5533" w:rsidP="002F5533">
      <w:pPr>
        <w:pStyle w:val="BodyText"/>
      </w:pPr>
    </w:p>
    <w:tbl>
      <w:tblPr>
        <w:tblW w:w="0" w:type="auto"/>
        <w:tblLayout w:type="fixed"/>
        <w:tblCellMar>
          <w:left w:w="62" w:type="dxa"/>
          <w:right w:w="62" w:type="dxa"/>
        </w:tblCellMar>
        <w:tblLook w:val="0000"/>
      </w:tblPr>
      <w:tblGrid>
        <w:gridCol w:w="1890"/>
        <w:gridCol w:w="6570"/>
      </w:tblGrid>
      <w:tr w:rsidTr="000904D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F5533" w:rsidP="002F5533">
            <w:pPr>
              <w:pStyle w:val="BodyText"/>
            </w:pPr>
            <w:r w:rsidRPr="002F5533">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rPr>
                <w:rStyle w:val="SpecialBold"/>
              </w:rPr>
              <w:t>9.5)</w:t>
            </w:r>
          </w:p>
        </w:tc>
      </w:tr>
      <w:tr w:rsidTr="000904D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F5533" w:rsidP="002F5533">
            <w:pPr>
              <w:pStyle w:val="BodyText"/>
            </w:pPr>
            <w:r w:rsidRPr="002F5533">
              <w:t>The</w:t>
            </w:r>
            <w:r w:rsidRPr="002F5533">
              <w:t>re are no recommended concurrent assessments with this unit, however in some cases efficiencies may be gained in terms of learning and assessment effort being concurrently managed with allied competency standard units where listed.</w:t>
            </w:r>
          </w:p>
          <w:p w:rsidR="00000000" w:rsidRPr="002F5533" w:rsidP="002F5533">
            <w:pPr>
              <w:pStyle w:val="BodyText"/>
            </w:pPr>
            <w:r w:rsidRPr="002F5533">
              <w:t>Nil</w:t>
            </w:r>
            <w:r w:rsidRPr="002F5533">
              <w:tab/>
            </w:r>
          </w:p>
        </w:tc>
      </w:tr>
    </w:tbl>
    <w:p w:rsidR="00000000" w:rsidRPr="002F5533" w:rsidP="002F5533">
      <w:pPr>
        <w:pStyle w:val="BodyText"/>
      </w:pPr>
    </w:p>
    <w:p w:rsidR="00000000" w:rsidRPr="002F5533" w:rsidP="002F5533">
      <w:pPr>
        <w:pStyle w:val="AllowPageBreak"/>
      </w:pPr>
    </w:p>
    <w:p w:rsidR="00000000" w:rsidRPr="002F5533" w:rsidP="002F5533">
      <w:pPr>
        <w:pStyle w:val="Heading1"/>
      </w:pPr>
      <w:bookmarkStart w:id="11" w:name="O_469744"/>
      <w:bookmarkEnd w:id="11"/>
      <w:r w:rsidRPr="002F5533">
        <w:t>Range Statement</w:t>
      </w:r>
    </w:p>
    <w:tbl>
      <w:tblPr>
        <w:tblW w:w="0" w:type="auto"/>
        <w:tblLayout w:type="fixed"/>
        <w:tblCellMar>
          <w:left w:w="62" w:type="dxa"/>
          <w:right w:w="62" w:type="dxa"/>
        </w:tblCellMar>
        <w:tblLook w:val="0000"/>
      </w:tblPr>
      <w:tblGrid>
        <w:gridCol w:w="8460"/>
      </w:tblGrid>
      <w:tr w:rsidTr="000904D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rPr>
                <w:rStyle w:val="SpecialBold"/>
              </w:rPr>
              <w:t>RANGE STATEMENT</w:t>
            </w:r>
          </w:p>
        </w:tc>
      </w:tr>
      <w:tr w:rsidTr="000904D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F5533" w:rsidP="002F5533">
            <w:pPr>
              <w:pStyle w:val="BodyText"/>
            </w:pPr>
            <w:r w:rsidRPr="002F5533">
              <w:rPr>
                <w:rStyle w:val="SpecialBold"/>
              </w:rPr>
              <w:t>10)</w:t>
            </w:r>
            <w:r w:rsidRPr="002F5533">
              <w:t xml:space="preserve"> This relates to the competency standard unit as a whole providing the range of contexts and conditio</w:t>
            </w:r>
            <w:r w:rsidRPr="002F5533">
              <w:t>ns to which the Performance Criteria apply. It allows for different work environments and situations that will affect performance.</w:t>
            </w:r>
          </w:p>
          <w:p w:rsidR="00000000" w:rsidRPr="002F5533" w:rsidP="002F5533">
            <w:pPr>
              <w:pStyle w:val="BodyText"/>
            </w:pPr>
            <w:r w:rsidRPr="002F5533">
              <w:t>Crusher types may include impact, ball mills, bowl mills, hammer, jaw crushers, pulverisers, rotary breaker, roller crusher a</w:t>
            </w:r>
            <w:r w:rsidRPr="002F5533">
              <w:t>nd tines.</w:t>
            </w:r>
          </w:p>
          <w:p w:rsidR="00000000" w:rsidRPr="002F5533" w:rsidP="002F5533">
            <w:pPr>
              <w:pStyle w:val="BodyText"/>
            </w:pPr>
            <w:r w:rsidRPr="002F5533">
              <w:t>Details of maintenance may be clarified by diagnosis and work place inspection.</w:t>
            </w:r>
          </w:p>
          <w:p w:rsidR="00000000" w:rsidRPr="002F5533" w:rsidP="002F5533">
            <w:pPr>
              <w:pStyle w:val="BodyText"/>
            </w:pPr>
            <w:r w:rsidRPr="002F5533">
              <w:t>Maintenance may include repair, inspection, modification, overhaul, lubrication, servicing and test running.</w:t>
            </w:r>
          </w:p>
          <w:p w:rsidR="00000000" w:rsidRPr="002F5533" w:rsidP="002F5533">
            <w:pPr>
              <w:pStyle w:val="BodyText"/>
            </w:pPr>
            <w:r w:rsidRPr="002F5533">
              <w:t>Work completion details may include plant and maintenance</w:t>
            </w:r>
            <w:r w:rsidRPr="002F5533">
              <w:t xml:space="preserve"> records, job cards, check sheets, on device labelling updates and reporting and/or documenting equipment defects.</w:t>
            </w:r>
          </w:p>
          <w:p w:rsidR="00000000" w:rsidRPr="002F5533" w:rsidP="002F5533">
            <w:pPr>
              <w:pStyle w:val="BodyText"/>
            </w:pPr>
            <w:r w:rsidRPr="002F5533">
              <w:t>Work site environment may be affected by nearby plant or processes, e.g. chemical, heat, dust, noise, gas and oil.</w:t>
            </w:r>
          </w:p>
          <w:p w:rsidR="00000000" w:rsidRPr="002F5533" w:rsidP="002F5533">
            <w:pPr>
              <w:pStyle w:val="BodyText"/>
            </w:pPr>
            <w:r w:rsidRPr="002F5533">
              <w:t>Isolations can refer to el</w:t>
            </w:r>
            <w:r w:rsidRPr="002F5533">
              <w:t>ectrical/mechanical or other associated processes.</w:t>
            </w:r>
          </w:p>
          <w:p w:rsidR="00000000" w:rsidRPr="002F5533" w:rsidP="002F5533">
            <w:pPr>
              <w:pStyle w:val="BodyText"/>
            </w:pPr>
            <w:r w:rsidRPr="002F5533">
              <w:t>Generic terms are used throughout this Training Package for vocational standard shall be regarded as part of the Range Statement in which competency is demonstrated. The definition of these and other terms</w:t>
            </w:r>
            <w:r w:rsidRPr="002F5533">
              <w:t xml:space="preserve"> are given in Section 2.1.00 Preliminary Information and Glossaries.</w:t>
            </w:r>
          </w:p>
        </w:tc>
      </w:tr>
    </w:tbl>
    <w:p w:rsidR="00000000" w:rsidRPr="002F5533" w:rsidP="002F5533">
      <w:pPr>
        <w:pStyle w:val="BodyText"/>
      </w:pPr>
    </w:p>
    <w:p w:rsidR="00000000" w:rsidRPr="002F5533" w:rsidP="002F5533">
      <w:pPr>
        <w:pStyle w:val="AllowPageBreak"/>
      </w:pPr>
    </w:p>
    <w:p w:rsidR="00000000" w:rsidRPr="002F5533" w:rsidP="002F5533">
      <w:pPr>
        <w:pStyle w:val="Heading1"/>
      </w:pPr>
      <w:bookmarkStart w:id="12" w:name="O_469747"/>
      <w:bookmarkEnd w:id="12"/>
      <w:r w:rsidRPr="002F5533">
        <w:t>Unit Sector(s)</w:t>
      </w:r>
    </w:p>
    <w:p w:rsidR="00000000" w:rsidRPr="002F5533" w:rsidP="002F5533">
      <w:pPr>
        <w:pStyle w:val="BodyText"/>
      </w:pPr>
      <w:r w:rsidRPr="002F5533">
        <w:t>Not applicable.</w:t>
      </w:r>
    </w:p>
    <w:p w:rsidR="00000000" w:rsidRPr="002F5533" w:rsidP="002F5533">
      <w:pPr>
        <w:pStyle w:val="AllowPageBreak"/>
      </w:pPr>
    </w:p>
    <w:p w:rsidR="00000000" w:rsidRPr="002F5533" w:rsidP="002F5533">
      <w:pPr>
        <w:pStyle w:val="Heading1"/>
      </w:pPr>
      <w:bookmarkStart w:id="13" w:name="O_469736"/>
      <w:bookmarkEnd w:id="13"/>
      <w:r w:rsidRPr="002F5533">
        <w:t>Competency Field</w:t>
      </w:r>
    </w:p>
    <w:tbl>
      <w:tblPr>
        <w:tblW w:w="0" w:type="auto"/>
        <w:tblLayout w:type="fixed"/>
        <w:tblCellMar>
          <w:left w:w="62" w:type="dxa"/>
          <w:right w:w="62" w:type="dxa"/>
        </w:tblCellMar>
        <w:tblLook w:val="0000"/>
      </w:tblPr>
      <w:tblGrid>
        <w:gridCol w:w="2700"/>
        <w:gridCol w:w="5760"/>
      </w:tblGrid>
      <w:tr w:rsidTr="000904D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F5533" w:rsidP="002F5533">
            <w:pPr>
              <w:pStyle w:val="BodyText"/>
            </w:pPr>
            <w:r w:rsidRPr="002F553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F5533">
            <w:pPr>
              <w:pStyle w:val="BodyText"/>
              <w:rPr>
                <w:lang w:val="en-NZ"/>
              </w:rPr>
            </w:pPr>
            <w:r w:rsidRPr="002F5533">
              <w:rPr>
                <w:rStyle w:val="SpecialBold"/>
              </w:rPr>
              <w:t xml:space="preserve">11) </w:t>
            </w:r>
          </w:p>
        </w:tc>
      </w:tr>
      <w:tr w:rsidTr="000904D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F5533" w:rsidP="002F5533">
            <w:pPr>
              <w:pStyle w:val="BodyText"/>
            </w:pPr>
            <w:r w:rsidRPr="002F5533">
              <w:t>Maintenance</w:t>
            </w:r>
          </w:p>
        </w:tc>
      </w:tr>
    </w:tbl>
    <w:p w:rsidR="00000000" w:rsidRPr="002F5533" w:rsidP="002F5533">
      <w:pPr>
        <w:pStyle w:val="BodyText"/>
      </w:pPr>
    </w:p>
    <w:p w:rsidR="00000000" w:rsidRPr="002F5533" w:rsidP="002F5533"/>
    <w:sectPr w:rsidSect="002F55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5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04D7" w:rsidP="000904D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5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4D7" w:rsidP="002F553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904D7" w:rsidP="002F55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904D7" w:rsidP="002F55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5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533" w:rsidRPr="000904D7" w:rsidP="000904D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5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4D7" w:rsidRPr="002D2AF8" w:rsidP="002F5533">
    <w:pPr>
      <w:pStyle w:val="Header"/>
      <w:framePr w:wrap="around"/>
    </w:pPr>
    <w:r>
      <w:fldChar w:fldCharType="begin"/>
    </w:r>
    <w:r>
      <w:instrText xml:space="preserve"> TITLE   \* MERGEFORMAT </w:instrText>
    </w:r>
    <w:r>
      <w:fldChar w:fldCharType="separate"/>
    </w:r>
    <w:r>
      <w:t>UEPMNT310B Maintain material crushers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0904D7" w:rsidP="002F55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AC57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BE6C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3875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5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5533"/>
    <w:pPr>
      <w:spacing w:before="360" w:after="60"/>
      <w:outlineLvl w:val="0"/>
    </w:pPr>
    <w:rPr>
      <w:sz w:val="32"/>
    </w:rPr>
  </w:style>
  <w:style w:type="paragraph" w:styleId="Heading2">
    <w:name w:val="heading 2"/>
    <w:basedOn w:val="HeadingBase"/>
    <w:next w:val="BodyText"/>
    <w:link w:val="Heading2Char"/>
    <w:qFormat/>
    <w:rsid w:val="002F5533"/>
    <w:pPr>
      <w:keepLines/>
      <w:spacing w:before="240" w:after="120"/>
      <w:outlineLvl w:val="1"/>
    </w:pPr>
    <w:rPr>
      <w:sz w:val="28"/>
      <w:szCs w:val="40"/>
    </w:rPr>
  </w:style>
  <w:style w:type="paragraph" w:styleId="Heading3">
    <w:name w:val="heading 3"/>
    <w:basedOn w:val="HeadingBase"/>
    <w:next w:val="BodyText"/>
    <w:link w:val="Heading3Char"/>
    <w:qFormat/>
    <w:rsid w:val="002F5533"/>
    <w:pPr>
      <w:spacing w:before="180" w:after="120"/>
      <w:outlineLvl w:val="2"/>
    </w:pPr>
    <w:rPr>
      <w:spacing w:val="-10"/>
      <w:kern w:val="32"/>
    </w:rPr>
  </w:style>
  <w:style w:type="paragraph" w:styleId="Heading4">
    <w:name w:val="heading 4"/>
    <w:basedOn w:val="HeadingBase"/>
    <w:next w:val="BodyText"/>
    <w:link w:val="Heading4Char"/>
    <w:qFormat/>
    <w:rsid w:val="002F5533"/>
    <w:pPr>
      <w:spacing w:before="160" w:after="120"/>
      <w:outlineLvl w:val="3"/>
    </w:pPr>
    <w:rPr>
      <w:sz w:val="22"/>
    </w:rPr>
  </w:style>
  <w:style w:type="paragraph" w:styleId="Heading5">
    <w:name w:val="heading 5"/>
    <w:basedOn w:val="HeadingBase"/>
    <w:next w:val="Normal"/>
    <w:link w:val="Heading5Char"/>
    <w:qFormat/>
    <w:rsid w:val="002F5533"/>
    <w:pPr>
      <w:spacing w:before="80"/>
      <w:outlineLvl w:val="4"/>
    </w:pPr>
    <w:rPr>
      <w:color w:val="918585"/>
      <w:sz w:val="20"/>
    </w:rPr>
  </w:style>
  <w:style w:type="paragraph" w:styleId="Heading6">
    <w:name w:val="heading 6"/>
    <w:basedOn w:val="HeadingBase"/>
    <w:next w:val="Normal"/>
    <w:link w:val="Heading6Char"/>
    <w:qFormat/>
    <w:rsid w:val="002F5533"/>
    <w:pPr>
      <w:spacing w:before="60"/>
      <w:outlineLvl w:val="5"/>
    </w:pPr>
    <w:rPr>
      <w:color w:val="918585"/>
      <w:sz w:val="20"/>
    </w:rPr>
  </w:style>
  <w:style w:type="paragraph" w:styleId="Heading7">
    <w:name w:val="heading 7"/>
    <w:basedOn w:val="Normal"/>
    <w:next w:val="Normal"/>
    <w:link w:val="Heading7Char"/>
    <w:qFormat/>
    <w:rsid w:val="002F5533"/>
    <w:pPr>
      <w:ind w:left="720"/>
      <w:outlineLvl w:val="6"/>
    </w:pPr>
    <w:rPr>
      <w:i/>
    </w:rPr>
  </w:style>
  <w:style w:type="paragraph" w:styleId="Heading8">
    <w:name w:val="heading 8"/>
    <w:basedOn w:val="Normal"/>
    <w:next w:val="Normal"/>
    <w:link w:val="Heading8Char"/>
    <w:qFormat/>
    <w:rsid w:val="002F5533"/>
    <w:pPr>
      <w:ind w:left="720"/>
      <w:outlineLvl w:val="7"/>
    </w:pPr>
    <w:rPr>
      <w:i/>
    </w:rPr>
  </w:style>
  <w:style w:type="paragraph" w:styleId="Heading9">
    <w:name w:val="heading 9"/>
    <w:basedOn w:val="Normal"/>
    <w:next w:val="Normal"/>
    <w:link w:val="Heading9Char"/>
    <w:qFormat/>
    <w:rsid w:val="002F5533"/>
    <w:pPr>
      <w:ind w:left="720"/>
      <w:outlineLvl w:val="8"/>
    </w:pPr>
    <w:rPr>
      <w:i/>
    </w:rPr>
  </w:style>
  <w:style w:type="character" w:default="1" w:styleId="DefaultParagraphFont">
    <w:name w:val="Default Paragraph Font"/>
    <w:uiPriority w:val="1"/>
    <w:unhideWhenUsed/>
    <w:rsid w:val="002F55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5533"/>
  </w:style>
  <w:style w:type="character" w:customStyle="1" w:styleId="Heading1Char">
    <w:name w:val="Heading 1 Char"/>
    <w:basedOn w:val="DefaultParagraphFont"/>
    <w:link w:val="Heading1"/>
    <w:rsid w:val="002F5533"/>
    <w:rPr>
      <w:rFonts w:ascii="Times New Roman" w:eastAsia="Times New Roman" w:hAnsi="Times New Roman" w:cs="Times New Roman"/>
      <w:b/>
      <w:sz w:val="32"/>
      <w:szCs w:val="20"/>
      <w:lang w:eastAsia="en-US"/>
    </w:rPr>
  </w:style>
  <w:style w:type="paragraph" w:styleId="BodyText">
    <w:name w:val="Body Text"/>
    <w:basedOn w:val="Normal"/>
    <w:link w:val="BodyTextChar"/>
    <w:rsid w:val="002F55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5533"/>
    <w:rPr>
      <w:rFonts w:ascii="Times New Roman" w:eastAsia="Times New Roman" w:hAnsi="Times New Roman" w:cs="Times New Roman"/>
      <w:sz w:val="24"/>
      <w:lang w:eastAsia="en-US"/>
    </w:rPr>
  </w:style>
  <w:style w:type="paragraph" w:styleId="Footer">
    <w:name w:val="footer"/>
    <w:basedOn w:val="Normal"/>
    <w:link w:val="FooterChar"/>
    <w:rsid w:val="002F55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5533"/>
    <w:rPr>
      <w:rFonts w:ascii="Times New Roman" w:eastAsia="Times New Roman" w:hAnsi="Times New Roman" w:cs="Times New Roman"/>
      <w:sz w:val="16"/>
      <w:lang w:eastAsia="en-US"/>
    </w:rPr>
  </w:style>
  <w:style w:type="paragraph" w:styleId="ListBullet">
    <w:name w:val="List Bullet"/>
    <w:basedOn w:val="List"/>
    <w:rsid w:val="002F5533"/>
    <w:pPr>
      <w:numPr>
        <w:numId w:val="13"/>
      </w:numPr>
      <w:tabs>
        <w:tab w:val="clear" w:pos="340"/>
      </w:tabs>
      <w:spacing w:before="40" w:after="40"/>
    </w:pPr>
  </w:style>
  <w:style w:type="character" w:customStyle="1" w:styleId="SpecialBold">
    <w:name w:val="Special Bold"/>
    <w:basedOn w:val="DefaultParagraphFont"/>
    <w:rsid w:val="002F5533"/>
    <w:rPr>
      <w:b/>
      <w:spacing w:val="0"/>
    </w:rPr>
  </w:style>
  <w:style w:type="paragraph" w:styleId="ListBullet2">
    <w:name w:val="List Bullet 2"/>
    <w:basedOn w:val="List2"/>
    <w:rsid w:val="002F5533"/>
    <w:pPr>
      <w:numPr>
        <w:numId w:val="14"/>
      </w:numPr>
      <w:tabs>
        <w:tab w:val="clear" w:pos="680"/>
      </w:tabs>
    </w:pPr>
  </w:style>
  <w:style w:type="paragraph" w:customStyle="1" w:styleId="SuperHeading">
    <w:name w:val="SuperHeading"/>
    <w:basedOn w:val="Normal"/>
    <w:rsid w:val="002F5533"/>
    <w:pPr>
      <w:spacing w:before="240" w:after="120"/>
      <w:outlineLvl w:val="0"/>
    </w:pPr>
    <w:rPr>
      <w:rFonts w:ascii="Times New Roman" w:hAnsi="Times New Roman"/>
      <w:b/>
      <w:sz w:val="28"/>
    </w:rPr>
  </w:style>
  <w:style w:type="paragraph" w:customStyle="1" w:styleId="AllowPageBreak">
    <w:name w:val="AllowPageBreak"/>
    <w:rsid w:val="002F55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55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55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55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55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55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55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55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5533"/>
    <w:rPr>
      <w:rFonts w:ascii="Courier New" w:eastAsia="Times New Roman" w:hAnsi="Courier New" w:cs="Times New Roman"/>
      <w:i/>
      <w:szCs w:val="20"/>
      <w:lang w:eastAsia="en-US"/>
    </w:rPr>
  </w:style>
  <w:style w:type="paragraph" w:customStyle="1" w:styleId="HeadingBase">
    <w:name w:val="Heading Base"/>
    <w:rsid w:val="002F55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5533"/>
    <w:pPr>
      <w:tabs>
        <w:tab w:val="right" w:leader="dot" w:pos="9072"/>
      </w:tabs>
      <w:ind w:left="567"/>
    </w:pPr>
    <w:rPr>
      <w:szCs w:val="22"/>
    </w:rPr>
  </w:style>
  <w:style w:type="paragraph" w:customStyle="1" w:styleId="TOCBase">
    <w:name w:val="TOC Base"/>
    <w:rsid w:val="002F55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5533"/>
    <w:pPr>
      <w:tabs>
        <w:tab w:val="right" w:leader="dot" w:pos="9072"/>
      </w:tabs>
      <w:spacing w:before="40" w:after="40"/>
      <w:ind w:left="284"/>
    </w:pPr>
    <w:rPr>
      <w:rFonts w:ascii="Times New Roman" w:hAnsi="Times New Roman"/>
    </w:rPr>
  </w:style>
  <w:style w:type="paragraph" w:styleId="TOC1">
    <w:name w:val="toc 1"/>
    <w:basedOn w:val="TOCBase"/>
    <w:next w:val="Normal"/>
    <w:rsid w:val="002F55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5533"/>
    <w:pPr>
      <w:spacing w:before="5040"/>
      <w:jc w:val="center"/>
    </w:pPr>
    <w:rPr>
      <w:sz w:val="48"/>
      <w:szCs w:val="72"/>
      <w:lang w:val="en-US"/>
    </w:rPr>
  </w:style>
  <w:style w:type="character" w:customStyle="1" w:styleId="TitleChar">
    <w:name w:val="Title Char"/>
    <w:basedOn w:val="DefaultParagraphFont"/>
    <w:link w:val="Title"/>
    <w:rsid w:val="002F55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5533"/>
    <w:pPr>
      <w:tabs>
        <w:tab w:val="left" w:pos="3600"/>
        <w:tab w:val="left" w:pos="3958"/>
      </w:tabs>
    </w:pPr>
  </w:style>
  <w:style w:type="paragraph" w:styleId="List">
    <w:name w:val="List"/>
    <w:basedOn w:val="BodyText"/>
    <w:next w:val="BodyText"/>
    <w:rsid w:val="002F5533"/>
    <w:pPr>
      <w:tabs>
        <w:tab w:val="left" w:pos="340"/>
      </w:tabs>
      <w:spacing w:before="60" w:after="60"/>
      <w:ind w:left="340" w:hanging="340"/>
    </w:pPr>
  </w:style>
  <w:style w:type="paragraph" w:customStyle="1" w:styleId="Note">
    <w:name w:val="Note"/>
    <w:basedOn w:val="BodyText"/>
    <w:rsid w:val="002F55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5533"/>
    <w:pPr>
      <w:framePr w:wrap="auto" w:hAnchor="text" w:y="6049"/>
    </w:pPr>
    <w:rPr>
      <w:color w:val="000000"/>
      <w:sz w:val="40"/>
    </w:rPr>
  </w:style>
  <w:style w:type="paragraph" w:customStyle="1" w:styleId="TOCTitle">
    <w:name w:val="TOCTitle"/>
    <w:basedOn w:val="Heading1"/>
    <w:rsid w:val="002F5533"/>
    <w:pPr>
      <w:spacing w:after="240"/>
      <w:jc w:val="center"/>
      <w:outlineLvl w:val="9"/>
    </w:pPr>
    <w:rPr>
      <w:caps/>
    </w:rPr>
  </w:style>
  <w:style w:type="paragraph" w:customStyle="1" w:styleId="Version">
    <w:name w:val="Version"/>
    <w:rsid w:val="002F55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5533"/>
    <w:pPr>
      <w:keepNext w:val="0"/>
      <w:tabs>
        <w:tab w:val="right" w:pos="4176"/>
      </w:tabs>
      <w:ind w:left="198" w:hanging="198"/>
    </w:pPr>
    <w:rPr>
      <w:rFonts w:ascii="Garamond" w:hAnsi="Garamond"/>
    </w:rPr>
  </w:style>
  <w:style w:type="paragraph" w:styleId="IndexHeading">
    <w:name w:val="index heading"/>
    <w:basedOn w:val="Normal"/>
    <w:next w:val="Index1"/>
    <w:semiHidden/>
    <w:rsid w:val="002F5533"/>
    <w:pPr>
      <w:spacing w:before="120" w:after="120"/>
    </w:pPr>
    <w:rPr>
      <w:rFonts w:ascii="Arial" w:hAnsi="Arial"/>
      <w:b/>
      <w:color w:val="918585"/>
      <w:sz w:val="24"/>
    </w:rPr>
  </w:style>
  <w:style w:type="paragraph" w:styleId="Header">
    <w:name w:val="header"/>
    <w:basedOn w:val="Normal"/>
    <w:link w:val="HeaderChar"/>
    <w:rsid w:val="002F55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5533"/>
    <w:rPr>
      <w:rFonts w:ascii="Times New Roman" w:eastAsia="Times New Roman" w:hAnsi="Times New Roman" w:cs="Times New Roman"/>
      <w:sz w:val="16"/>
      <w:szCs w:val="20"/>
      <w:lang w:val="en-GB" w:eastAsia="en-US"/>
    </w:rPr>
  </w:style>
  <w:style w:type="paragraph" w:customStyle="1" w:styleId="Chapter">
    <w:name w:val="Chapter"/>
    <w:basedOn w:val="Normal"/>
    <w:rsid w:val="002F5533"/>
    <w:pPr>
      <w:spacing w:before="240"/>
    </w:pPr>
    <w:rPr>
      <w:rFonts w:ascii="Times New Roman" w:hAnsi="Times New Roman"/>
      <w:smallCaps/>
      <w:spacing w:val="80"/>
      <w:sz w:val="28"/>
    </w:rPr>
  </w:style>
  <w:style w:type="paragraph" w:customStyle="1" w:styleId="InChapter">
    <w:name w:val="InChapter"/>
    <w:basedOn w:val="Heading3"/>
    <w:rsid w:val="002F5533"/>
    <w:pPr>
      <w:spacing w:after="240"/>
      <w:outlineLvl w:val="9"/>
    </w:pPr>
    <w:rPr>
      <w:noProof/>
    </w:rPr>
  </w:style>
  <w:style w:type="paragraph" w:styleId="Index2">
    <w:name w:val="index 2"/>
    <w:basedOn w:val="Normal"/>
    <w:next w:val="Normal"/>
    <w:semiHidden/>
    <w:rsid w:val="002F5533"/>
    <w:pPr>
      <w:tabs>
        <w:tab w:val="right" w:pos="4176"/>
      </w:tabs>
      <w:ind w:left="568" w:hanging="284"/>
    </w:pPr>
    <w:rPr>
      <w:rFonts w:ascii="Garamond" w:hAnsi="Garamond"/>
    </w:rPr>
  </w:style>
  <w:style w:type="paragraph" w:customStyle="1" w:styleId="Byline">
    <w:name w:val="Byline"/>
    <w:rsid w:val="002F55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5533"/>
    <w:pPr>
      <w:tabs>
        <w:tab w:val="clear" w:pos="3600"/>
        <w:tab w:val="clear" w:pos="3958"/>
      </w:tabs>
      <w:jc w:val="right"/>
    </w:pPr>
  </w:style>
  <w:style w:type="character" w:styleId="Emphasis">
    <w:name w:val="Emphasis"/>
    <w:basedOn w:val="DefaultParagraphFont"/>
    <w:qFormat/>
    <w:rsid w:val="002F5533"/>
    <w:rPr>
      <w:i/>
    </w:rPr>
  </w:style>
  <w:style w:type="paragraph" w:styleId="Caption">
    <w:name w:val="caption"/>
    <w:basedOn w:val="BodyText"/>
    <w:next w:val="Normal"/>
    <w:qFormat/>
    <w:rsid w:val="002F5533"/>
    <w:pPr>
      <w:framePr w:w="2268" w:hSpace="181" w:vSpace="181" w:wrap="around" w:vAnchor="text" w:hAnchor="page" w:x="1135" w:y="285" w:anchorLock="1"/>
    </w:pPr>
    <w:rPr>
      <w:i/>
    </w:rPr>
  </w:style>
  <w:style w:type="paragraph" w:customStyle="1" w:styleId="MiniTOCTitle">
    <w:name w:val="MiniTOCTitle"/>
    <w:basedOn w:val="Heading4"/>
    <w:rsid w:val="002F5533"/>
    <w:pPr>
      <w:spacing w:before="240"/>
      <w:outlineLvl w:val="9"/>
    </w:pPr>
    <w:rPr>
      <w:noProof/>
      <w:sz w:val="24"/>
    </w:rPr>
  </w:style>
  <w:style w:type="paragraph" w:customStyle="1" w:styleId="MiniTOCItem">
    <w:name w:val="MiniTOCItem"/>
    <w:basedOn w:val="ListBullet"/>
    <w:rsid w:val="002F5533"/>
    <w:pPr>
      <w:numPr>
        <w:numId w:val="0"/>
      </w:numPr>
      <w:tabs>
        <w:tab w:val="right" w:leader="dot" w:pos="6521"/>
      </w:tabs>
      <w:spacing w:before="0" w:after="0"/>
    </w:pPr>
  </w:style>
  <w:style w:type="paragraph" w:customStyle="1" w:styleId="TOFTitle">
    <w:name w:val="TOFTitle"/>
    <w:basedOn w:val="TOCTitle"/>
    <w:rsid w:val="002F5533"/>
  </w:style>
  <w:style w:type="paragraph" w:styleId="TableofFigures">
    <w:name w:val="table of figures"/>
    <w:basedOn w:val="Normal"/>
    <w:next w:val="Normal"/>
    <w:semiHidden/>
    <w:rsid w:val="002F5533"/>
    <w:pPr>
      <w:tabs>
        <w:tab w:val="right" w:leader="dot" w:pos="9072"/>
      </w:tabs>
      <w:ind w:left="970" w:hanging="403"/>
    </w:pPr>
    <w:rPr>
      <w:rFonts w:ascii="Times New Roman" w:hAnsi="Times New Roman"/>
      <w:b/>
    </w:rPr>
  </w:style>
  <w:style w:type="paragraph" w:styleId="ListNumber">
    <w:name w:val="List Number"/>
    <w:basedOn w:val="List"/>
    <w:rsid w:val="002F5533"/>
    <w:pPr>
      <w:numPr>
        <w:numId w:val="11"/>
      </w:numPr>
    </w:pPr>
  </w:style>
  <w:style w:type="character" w:customStyle="1" w:styleId="WingdingSymbols">
    <w:name w:val="Wingding Symbols"/>
    <w:rsid w:val="002F5533"/>
    <w:rPr>
      <w:rFonts w:ascii="Wingdings" w:hAnsi="Wingdings"/>
    </w:rPr>
  </w:style>
  <w:style w:type="paragraph" w:customStyle="1" w:styleId="TableHeading">
    <w:name w:val="Table Heading"/>
    <w:basedOn w:val="HeadingBase"/>
    <w:rsid w:val="002F5533"/>
    <w:pPr>
      <w:keepLines/>
      <w:pBdr>
        <w:bottom w:val="single" w:sz="6" w:space="1" w:color="918585"/>
      </w:pBdr>
      <w:spacing w:before="240"/>
    </w:pPr>
  </w:style>
  <w:style w:type="character" w:customStyle="1" w:styleId="HotSpot">
    <w:name w:val="HotSpot"/>
    <w:rsid w:val="002F5533"/>
    <w:rPr>
      <w:color w:val="0033CC"/>
      <w:u w:val="none"/>
    </w:rPr>
  </w:style>
  <w:style w:type="paragraph" w:customStyle="1" w:styleId="BodyTextRight">
    <w:name w:val="Body Text Right"/>
    <w:basedOn w:val="BodyText"/>
    <w:rsid w:val="002F5533"/>
    <w:pPr>
      <w:spacing w:before="0" w:after="0"/>
      <w:jc w:val="right"/>
    </w:pPr>
  </w:style>
  <w:style w:type="paragraph" w:styleId="Index3">
    <w:name w:val="index 3"/>
    <w:basedOn w:val="ListNumber2"/>
    <w:next w:val="Normal"/>
    <w:semiHidden/>
    <w:rsid w:val="002F5533"/>
    <w:pPr>
      <w:numPr>
        <w:numId w:val="0"/>
      </w:numPr>
      <w:tabs>
        <w:tab w:val="right" w:leader="dot" w:pos="4176"/>
      </w:tabs>
    </w:pPr>
  </w:style>
  <w:style w:type="paragraph" w:styleId="ListNumber2">
    <w:name w:val="List Number 2"/>
    <w:basedOn w:val="List2"/>
    <w:rsid w:val="002F5533"/>
    <w:pPr>
      <w:numPr>
        <w:numId w:val="10"/>
      </w:numPr>
      <w:tabs>
        <w:tab w:val="clear" w:pos="1060"/>
      </w:tabs>
    </w:pPr>
  </w:style>
  <w:style w:type="paragraph" w:customStyle="1" w:styleId="MarginNote">
    <w:name w:val="Margin Note"/>
    <w:basedOn w:val="BodyText"/>
    <w:rsid w:val="002F55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55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55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5533"/>
    <w:rPr>
      <w:sz w:val="32"/>
    </w:rPr>
  </w:style>
  <w:style w:type="paragraph" w:customStyle="1" w:styleId="HeadingProcedure">
    <w:name w:val="Heading Procedure"/>
    <w:basedOn w:val="HeadingBase"/>
    <w:next w:val="Normal"/>
    <w:rsid w:val="002F5533"/>
    <w:pPr>
      <w:tabs>
        <w:tab w:val="left" w:pos="0"/>
      </w:tabs>
      <w:spacing w:before="120" w:after="60"/>
    </w:pPr>
    <w:rPr>
      <w:i/>
      <w:color w:val="918585"/>
      <w:sz w:val="22"/>
    </w:rPr>
  </w:style>
  <w:style w:type="paragraph" w:customStyle="1" w:styleId="TableBodyText">
    <w:name w:val="Table Body Text"/>
    <w:basedOn w:val="BodyText"/>
    <w:rsid w:val="002F5533"/>
    <w:pPr>
      <w:spacing w:before="60" w:after="60"/>
    </w:pPr>
  </w:style>
  <w:style w:type="paragraph" w:styleId="ListContinue">
    <w:name w:val="List Continue"/>
    <w:basedOn w:val="List"/>
    <w:rsid w:val="002F5533"/>
    <w:pPr>
      <w:ind w:firstLine="0"/>
    </w:pPr>
  </w:style>
  <w:style w:type="paragraph" w:customStyle="1" w:styleId="ListNote">
    <w:name w:val="List Note"/>
    <w:basedOn w:val="List"/>
    <w:rsid w:val="002F5533"/>
    <w:pPr>
      <w:pBdr>
        <w:top w:val="single" w:sz="6" w:space="2" w:color="918585"/>
        <w:bottom w:val="single" w:sz="6" w:space="2" w:color="918585"/>
      </w:pBdr>
      <w:tabs>
        <w:tab w:val="left" w:pos="1021"/>
      </w:tabs>
      <w:ind w:firstLine="0"/>
    </w:pPr>
  </w:style>
  <w:style w:type="paragraph" w:customStyle="1" w:styleId="Warning">
    <w:name w:val="Warning"/>
    <w:basedOn w:val="BodyText"/>
    <w:rsid w:val="002F5533"/>
    <w:pPr>
      <w:shd w:val="clear" w:color="auto" w:fill="D9D9D9"/>
      <w:tabs>
        <w:tab w:val="left" w:pos="992"/>
      </w:tabs>
      <w:ind w:left="119" w:right="119"/>
    </w:pPr>
    <w:rPr>
      <w:sz w:val="20"/>
    </w:rPr>
  </w:style>
  <w:style w:type="paragraph" w:customStyle="1" w:styleId="MarginIcons">
    <w:name w:val="Margin Icons"/>
    <w:basedOn w:val="BodyText"/>
    <w:rsid w:val="002F55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5533"/>
    <w:rPr>
      <w:rFonts w:ascii="Courier New" w:hAnsi="Courier New"/>
    </w:rPr>
  </w:style>
  <w:style w:type="paragraph" w:customStyle="1" w:styleId="NoteBullet">
    <w:name w:val="Note Bullet"/>
    <w:basedOn w:val="Note"/>
    <w:rsid w:val="002F5533"/>
    <w:pPr>
      <w:tabs>
        <w:tab w:val="clear" w:pos="680"/>
      </w:tabs>
      <w:spacing w:before="60" w:after="60"/>
    </w:pPr>
  </w:style>
  <w:style w:type="paragraph" w:customStyle="1" w:styleId="SubHeading2">
    <w:name w:val="SubHeading2"/>
    <w:basedOn w:val="HeadingBase"/>
    <w:rsid w:val="002F5533"/>
    <w:pPr>
      <w:spacing w:before="240" w:after="60"/>
    </w:pPr>
    <w:rPr>
      <w:sz w:val="20"/>
    </w:rPr>
  </w:style>
  <w:style w:type="paragraph" w:customStyle="1" w:styleId="SubHeading1">
    <w:name w:val="SubHeading1"/>
    <w:basedOn w:val="HeadingBase"/>
    <w:rsid w:val="002F5533"/>
    <w:pPr>
      <w:spacing w:before="240" w:after="60"/>
    </w:pPr>
    <w:rPr>
      <w:color w:val="918585"/>
      <w:sz w:val="22"/>
    </w:rPr>
  </w:style>
  <w:style w:type="paragraph" w:customStyle="1" w:styleId="SideHeading">
    <w:name w:val="Side Heading"/>
    <w:basedOn w:val="HeadingBase"/>
    <w:rsid w:val="002F55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5533"/>
    <w:pPr>
      <w:numPr>
        <w:numId w:val="12"/>
      </w:numPr>
    </w:pPr>
  </w:style>
  <w:style w:type="paragraph" w:styleId="PlainText">
    <w:name w:val="Plain Text"/>
    <w:basedOn w:val="Normal"/>
    <w:link w:val="PlainTextChar"/>
    <w:rsid w:val="002F5533"/>
    <w:rPr>
      <w:sz w:val="20"/>
    </w:rPr>
  </w:style>
  <w:style w:type="character" w:customStyle="1" w:styleId="PlainTextChar">
    <w:name w:val="Plain Text Char"/>
    <w:basedOn w:val="DefaultParagraphFont"/>
    <w:link w:val="PlainText"/>
    <w:rsid w:val="002F5533"/>
    <w:rPr>
      <w:rFonts w:ascii="Courier New" w:eastAsia="Times New Roman" w:hAnsi="Courier New" w:cs="Times New Roman"/>
      <w:sz w:val="20"/>
      <w:szCs w:val="20"/>
      <w:lang w:eastAsia="en-US"/>
    </w:rPr>
  </w:style>
  <w:style w:type="character" w:customStyle="1" w:styleId="MenuOption">
    <w:name w:val="Menu Option"/>
    <w:basedOn w:val="DefaultParagraphFont"/>
    <w:rsid w:val="002F5533"/>
    <w:rPr>
      <w:b/>
      <w:smallCaps/>
    </w:rPr>
  </w:style>
  <w:style w:type="paragraph" w:customStyle="1" w:styleId="TableListNumber">
    <w:name w:val="Table List Number"/>
    <w:basedOn w:val="ListNumber"/>
    <w:rsid w:val="002F5533"/>
    <w:pPr>
      <w:numPr>
        <w:numId w:val="0"/>
      </w:numPr>
    </w:pPr>
  </w:style>
  <w:style w:type="paragraph" w:styleId="TOC4">
    <w:name w:val="toc 4"/>
    <w:basedOn w:val="TOCBase"/>
    <w:next w:val="Normal"/>
    <w:semiHidden/>
    <w:rsid w:val="002F5533"/>
    <w:pPr>
      <w:tabs>
        <w:tab w:val="right" w:leader="dot" w:pos="9071"/>
      </w:tabs>
      <w:ind w:left="1701"/>
    </w:pPr>
  </w:style>
  <w:style w:type="paragraph" w:customStyle="1" w:styleId="ListAlpha">
    <w:name w:val="List Alpha"/>
    <w:basedOn w:val="List"/>
    <w:rsid w:val="002F5533"/>
    <w:pPr>
      <w:numPr>
        <w:numId w:val="9"/>
      </w:numPr>
    </w:pPr>
  </w:style>
  <w:style w:type="paragraph" w:customStyle="1" w:styleId="ListAlpha2">
    <w:name w:val="List Alpha 2"/>
    <w:basedOn w:val="List2"/>
    <w:rsid w:val="002F5533"/>
    <w:pPr>
      <w:numPr>
        <w:numId w:val="8"/>
      </w:numPr>
    </w:pPr>
  </w:style>
  <w:style w:type="paragraph" w:styleId="List2">
    <w:name w:val="List 2"/>
    <w:basedOn w:val="BodyText"/>
    <w:rsid w:val="002F5533"/>
    <w:pPr>
      <w:tabs>
        <w:tab w:val="left" w:pos="680"/>
      </w:tabs>
      <w:spacing w:before="60" w:after="60"/>
      <w:ind w:left="680" w:hanging="340"/>
    </w:pPr>
  </w:style>
  <w:style w:type="paragraph" w:styleId="List3">
    <w:name w:val="List 3"/>
    <w:basedOn w:val="BodyText"/>
    <w:rsid w:val="002F5533"/>
    <w:pPr>
      <w:tabs>
        <w:tab w:val="left" w:pos="1021"/>
      </w:tabs>
      <w:spacing w:before="60" w:after="60"/>
      <w:ind w:left="1020" w:hanging="340"/>
    </w:pPr>
  </w:style>
  <w:style w:type="paragraph" w:styleId="List4">
    <w:name w:val="List 4"/>
    <w:basedOn w:val="BodyText"/>
    <w:rsid w:val="002F5533"/>
    <w:pPr>
      <w:tabs>
        <w:tab w:val="left" w:pos="1361"/>
      </w:tabs>
      <w:spacing w:before="60" w:after="60"/>
      <w:ind w:left="1361" w:hanging="340"/>
    </w:pPr>
  </w:style>
  <w:style w:type="paragraph" w:styleId="List5">
    <w:name w:val="List 5"/>
    <w:basedOn w:val="BodyText"/>
    <w:rsid w:val="002F5533"/>
    <w:pPr>
      <w:tabs>
        <w:tab w:val="left" w:pos="1701"/>
      </w:tabs>
      <w:spacing w:before="60" w:after="60"/>
      <w:ind w:left="1701" w:hanging="340"/>
    </w:pPr>
  </w:style>
  <w:style w:type="paragraph" w:styleId="ListBullet3">
    <w:name w:val="List Bullet 3"/>
    <w:basedOn w:val="List3"/>
    <w:rsid w:val="002F5533"/>
    <w:pPr>
      <w:numPr>
        <w:numId w:val="15"/>
      </w:numPr>
      <w:tabs>
        <w:tab w:val="clear" w:pos="1021"/>
      </w:tabs>
      <w:ind w:left="1037" w:hanging="357"/>
    </w:pPr>
  </w:style>
  <w:style w:type="paragraph" w:styleId="ListBullet4">
    <w:name w:val="List Bullet 4"/>
    <w:basedOn w:val="List4"/>
    <w:rsid w:val="002F5533"/>
    <w:pPr>
      <w:numPr>
        <w:numId w:val="3"/>
      </w:numPr>
    </w:pPr>
  </w:style>
  <w:style w:type="paragraph" w:styleId="ListBullet5">
    <w:name w:val="List Bullet 5"/>
    <w:basedOn w:val="List5"/>
    <w:rsid w:val="002F5533"/>
    <w:pPr>
      <w:numPr>
        <w:numId w:val="4"/>
      </w:numPr>
    </w:pPr>
  </w:style>
  <w:style w:type="paragraph" w:styleId="ListContinue2">
    <w:name w:val="List Continue 2"/>
    <w:basedOn w:val="List2"/>
    <w:rsid w:val="002F5533"/>
    <w:pPr>
      <w:ind w:firstLine="0"/>
    </w:pPr>
  </w:style>
  <w:style w:type="paragraph" w:styleId="ListContinue3">
    <w:name w:val="List Continue 3"/>
    <w:basedOn w:val="List3"/>
    <w:rsid w:val="002F5533"/>
    <w:pPr>
      <w:ind w:left="1021" w:firstLine="0"/>
    </w:pPr>
  </w:style>
  <w:style w:type="paragraph" w:styleId="ListContinue4">
    <w:name w:val="List Continue 4"/>
    <w:basedOn w:val="List4"/>
    <w:rsid w:val="002F5533"/>
    <w:pPr>
      <w:ind w:firstLine="0"/>
    </w:pPr>
  </w:style>
  <w:style w:type="paragraph" w:styleId="ListContinue5">
    <w:name w:val="List Continue 5"/>
    <w:basedOn w:val="List5"/>
    <w:rsid w:val="002F5533"/>
    <w:pPr>
      <w:ind w:firstLine="0"/>
    </w:pPr>
  </w:style>
  <w:style w:type="paragraph" w:styleId="ListNumber3">
    <w:name w:val="List Number 3"/>
    <w:basedOn w:val="List3"/>
    <w:rsid w:val="002F5533"/>
    <w:pPr>
      <w:numPr>
        <w:numId w:val="5"/>
      </w:numPr>
    </w:pPr>
  </w:style>
  <w:style w:type="paragraph" w:styleId="ListNumber4">
    <w:name w:val="List Number 4"/>
    <w:basedOn w:val="List4"/>
    <w:rsid w:val="002F5533"/>
    <w:pPr>
      <w:numPr>
        <w:numId w:val="6"/>
      </w:numPr>
    </w:pPr>
  </w:style>
  <w:style w:type="paragraph" w:styleId="ListNumber5">
    <w:name w:val="List Number 5"/>
    <w:basedOn w:val="List5"/>
    <w:rsid w:val="002F5533"/>
    <w:pPr>
      <w:numPr>
        <w:numId w:val="7"/>
      </w:numPr>
    </w:pPr>
  </w:style>
  <w:style w:type="paragraph" w:styleId="BlockText">
    <w:name w:val="Block Text"/>
    <w:basedOn w:val="Normal"/>
    <w:rsid w:val="002F5533"/>
    <w:pPr>
      <w:spacing w:after="120"/>
      <w:ind w:left="1440" w:right="1440"/>
    </w:pPr>
  </w:style>
  <w:style w:type="character" w:customStyle="1" w:styleId="Subscript">
    <w:name w:val="Subscript"/>
    <w:basedOn w:val="DefaultParagraphFont"/>
    <w:rsid w:val="002F5533"/>
    <w:rPr>
      <w:sz w:val="16"/>
      <w:vertAlign w:val="subscript"/>
    </w:rPr>
  </w:style>
  <w:style w:type="character" w:customStyle="1" w:styleId="Superscript">
    <w:name w:val="Superscript"/>
    <w:basedOn w:val="DefaultParagraphFont"/>
    <w:rsid w:val="002F5533"/>
    <w:rPr>
      <w:sz w:val="16"/>
      <w:vertAlign w:val="superscript"/>
    </w:rPr>
  </w:style>
  <w:style w:type="character" w:customStyle="1" w:styleId="Symbols">
    <w:name w:val="Symbols"/>
    <w:basedOn w:val="DefaultParagraphFont"/>
    <w:rsid w:val="002F5533"/>
    <w:rPr>
      <w:rFonts w:ascii="Symbol" w:hAnsi="Symbol"/>
    </w:rPr>
  </w:style>
  <w:style w:type="character" w:customStyle="1" w:styleId="MenuOptions">
    <w:name w:val="Menu Options"/>
    <w:basedOn w:val="DefaultParagraphFont"/>
    <w:rsid w:val="002F5533"/>
    <w:rPr>
      <w:rFonts w:ascii="Arial Narrow" w:hAnsi="Arial Narrow"/>
      <w:smallCaps/>
    </w:rPr>
  </w:style>
  <w:style w:type="character" w:customStyle="1" w:styleId="Buttons">
    <w:name w:val="Buttons"/>
    <w:basedOn w:val="DefaultParagraphFont"/>
    <w:rsid w:val="002F5533"/>
    <w:rPr>
      <w:b/>
    </w:rPr>
  </w:style>
  <w:style w:type="character" w:customStyle="1" w:styleId="Underlined">
    <w:name w:val="Underlined"/>
    <w:basedOn w:val="DefaultParagraphFont"/>
    <w:rsid w:val="002F5533"/>
    <w:rPr>
      <w:u w:val="single"/>
    </w:rPr>
  </w:style>
  <w:style w:type="paragraph" w:customStyle="1" w:styleId="TableBodyTextRight">
    <w:name w:val="Table Body Text Right"/>
    <w:basedOn w:val="TableBodyText"/>
    <w:rsid w:val="002F5533"/>
    <w:pPr>
      <w:widowControl w:val="0"/>
      <w:autoSpaceDE w:val="0"/>
      <w:autoSpaceDN w:val="0"/>
      <w:adjustRightInd w:val="0"/>
      <w:jc w:val="right"/>
    </w:pPr>
    <w:rPr>
      <w:rFonts w:cs="Arial"/>
      <w:szCs w:val="18"/>
    </w:rPr>
  </w:style>
  <w:style w:type="paragraph" w:customStyle="1" w:styleId="CopyrightText">
    <w:name w:val="Copyright Text"/>
    <w:basedOn w:val="BodyText"/>
    <w:rsid w:val="002F5533"/>
    <w:rPr>
      <w:sz w:val="18"/>
    </w:rPr>
  </w:style>
  <w:style w:type="paragraph" w:customStyle="1" w:styleId="BodySmallRight">
    <w:name w:val="Body Small Right"/>
    <w:basedOn w:val="BodyTextRight"/>
    <w:rsid w:val="002F5533"/>
    <w:rPr>
      <w:sz w:val="18"/>
      <w:szCs w:val="18"/>
    </w:rPr>
  </w:style>
  <w:style w:type="paragraph" w:customStyle="1" w:styleId="MarginEdition">
    <w:name w:val="Margin Edition"/>
    <w:basedOn w:val="MarginNote"/>
    <w:rsid w:val="002F5533"/>
    <w:pPr>
      <w:spacing w:before="0" w:after="0"/>
    </w:pPr>
    <w:rPr>
      <w:rFonts w:ascii="Times New Roman" w:hAnsi="Times New Roman"/>
      <w:color w:val="999999"/>
    </w:rPr>
  </w:style>
  <w:style w:type="paragraph" w:customStyle="1" w:styleId="Spacer">
    <w:name w:val="Spacer"/>
    <w:basedOn w:val="Normal"/>
    <w:rsid w:val="002F5533"/>
    <w:rPr>
      <w:sz w:val="2"/>
      <w:szCs w:val="2"/>
    </w:rPr>
  </w:style>
  <w:style w:type="character" w:customStyle="1" w:styleId="Small">
    <w:name w:val="Small"/>
    <w:basedOn w:val="DefaultParagraphFont"/>
    <w:rsid w:val="002F5533"/>
    <w:rPr>
      <w:sz w:val="16"/>
    </w:rPr>
  </w:style>
  <w:style w:type="paragraph" w:customStyle="1" w:styleId="WideTable">
    <w:name w:val="Wide Table"/>
    <w:basedOn w:val="Normal"/>
    <w:rsid w:val="002F5533"/>
    <w:pPr>
      <w:ind w:left="-1418"/>
    </w:pPr>
    <w:rPr>
      <w:sz w:val="2"/>
      <w:szCs w:val="2"/>
    </w:rPr>
  </w:style>
  <w:style w:type="character" w:styleId="PageNumber">
    <w:name w:val="page number"/>
    <w:basedOn w:val="DefaultParagraphFont"/>
    <w:rsid w:val="002F5533"/>
  </w:style>
  <w:style w:type="paragraph" w:styleId="Quote">
    <w:name w:val="Quote"/>
    <w:basedOn w:val="Heading1"/>
    <w:link w:val="QuoteChar"/>
    <w:qFormat/>
    <w:rsid w:val="002F5533"/>
    <w:rPr>
      <w:b w:val="0"/>
      <w:sz w:val="72"/>
      <w:szCs w:val="72"/>
      <w:lang w:val="en-NZ"/>
    </w:rPr>
  </w:style>
  <w:style w:type="character" w:customStyle="1" w:styleId="QuoteChar">
    <w:name w:val="Quote Char"/>
    <w:basedOn w:val="DefaultParagraphFont"/>
    <w:link w:val="Quote"/>
    <w:rsid w:val="002F55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5533"/>
    <w:pPr>
      <w:pageBreakBefore/>
    </w:pPr>
  </w:style>
  <w:style w:type="paragraph" w:customStyle="1" w:styleId="Border">
    <w:name w:val="Border"/>
    <w:basedOn w:val="Normal"/>
    <w:qFormat/>
    <w:rsid w:val="002F55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5533"/>
    <w:rPr>
      <w:b/>
      <w:bCs/>
      <w:i/>
      <w:iCs/>
      <w:color w:val="auto"/>
    </w:rPr>
  </w:style>
  <w:style w:type="paragraph" w:styleId="IntenseQuote">
    <w:name w:val="Intense Quote"/>
    <w:basedOn w:val="Normal"/>
    <w:next w:val="Normal"/>
    <w:link w:val="IntenseQuoteChar"/>
    <w:uiPriority w:val="30"/>
    <w:qFormat/>
    <w:rsid w:val="002F55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55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5533"/>
    <w:rPr>
      <w:smallCaps/>
      <w:color w:val="auto"/>
      <w:u w:val="single"/>
    </w:rPr>
  </w:style>
  <w:style w:type="character" w:styleId="IntenseReference">
    <w:name w:val="Intense Reference"/>
    <w:basedOn w:val="DefaultParagraphFont"/>
    <w:uiPriority w:val="32"/>
    <w:qFormat/>
    <w:rsid w:val="002F5533"/>
    <w:rPr>
      <w:b/>
      <w:bCs/>
      <w:smallCaps/>
      <w:color w:val="auto"/>
      <w:spacing w:val="5"/>
      <w:u w:val="single"/>
    </w:rPr>
  </w:style>
  <w:style w:type="paragraph" w:customStyle="1" w:styleId="2ColumnHeading">
    <w:name w:val="2Column Heading"/>
    <w:basedOn w:val="BodyText"/>
    <w:qFormat/>
    <w:rsid w:val="002F5533"/>
    <w:pPr>
      <w:spacing w:after="60"/>
      <w:ind w:left="-2268"/>
    </w:pPr>
    <w:rPr>
      <w:b/>
    </w:rPr>
  </w:style>
  <w:style w:type="paragraph" w:customStyle="1" w:styleId="Heading1TOC">
    <w:name w:val="Heading1 TOC"/>
    <w:basedOn w:val="Normal"/>
    <w:qFormat/>
    <w:rsid w:val="002F5533"/>
    <w:pPr>
      <w:spacing w:before="240" w:after="120"/>
    </w:pPr>
    <w:rPr>
      <w:rFonts w:ascii="Times New Roman" w:hAnsi="Times New Roman"/>
      <w:b/>
      <w:sz w:val="32"/>
    </w:rPr>
  </w:style>
  <w:style w:type="paragraph" w:customStyle="1" w:styleId="Heading2TOC">
    <w:name w:val="Heading2 TOC"/>
    <w:basedOn w:val="Normal"/>
    <w:qFormat/>
    <w:rsid w:val="002F5533"/>
    <w:pPr>
      <w:spacing w:before="240" w:after="60"/>
    </w:pPr>
    <w:rPr>
      <w:rFonts w:ascii="Times New Roman" w:hAnsi="Times New Roman"/>
      <w:b/>
      <w:sz w:val="28"/>
    </w:rPr>
  </w:style>
  <w:style w:type="character" w:customStyle="1" w:styleId="Underline">
    <w:name w:val="Underline"/>
    <w:basedOn w:val="DefaultParagraphFont"/>
    <w:qFormat/>
    <w:rsid w:val="002F5533"/>
    <w:rPr>
      <w:u w:val="single"/>
    </w:rPr>
  </w:style>
  <w:style w:type="character" w:customStyle="1" w:styleId="BoldandItalics">
    <w:name w:val="Bold and Italics"/>
    <w:qFormat/>
    <w:rsid w:val="002F5533"/>
    <w:rPr>
      <w:b/>
      <w:i/>
      <w:u w:val="none"/>
    </w:rPr>
  </w:style>
  <w:style w:type="paragraph" w:styleId="BalloonText">
    <w:name w:val="Balloon Text"/>
    <w:basedOn w:val="Normal"/>
    <w:link w:val="BalloonTextChar"/>
    <w:rsid w:val="002F5533"/>
    <w:rPr>
      <w:rFonts w:ascii="Tahoma" w:hAnsi="Tahoma" w:cs="Tahoma"/>
      <w:sz w:val="16"/>
      <w:szCs w:val="16"/>
    </w:rPr>
  </w:style>
  <w:style w:type="character" w:customStyle="1" w:styleId="BalloonTextChar">
    <w:name w:val="Balloon Text Char"/>
    <w:basedOn w:val="DefaultParagraphFont"/>
    <w:link w:val="BalloonText"/>
    <w:rsid w:val="002F55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55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55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5533"/>
    <w:rPr>
      <w:b/>
      <w:color w:val="660033"/>
      <w:spacing w:val="0"/>
    </w:rPr>
  </w:style>
  <w:style w:type="paragraph" w:customStyle="1" w:styleId="Nameditemlist">
    <w:name w:val="Named item list"/>
    <w:basedOn w:val="BodyText"/>
    <w:qFormat/>
    <w:rsid w:val="002F553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2291</Words>
  <Characters>14045</Characters>
  <Application>Microsoft Office Word</Application>
  <DocSecurity>0</DocSecurity>
  <Lines>568</Lines>
  <Paragraphs>239</Paragraphs>
  <ScaleCrop>false</ScaleCrop>
  <Company>Author-it Software Corporation Ltd.</Company>
  <LinksUpToDate>false</LinksUpToDate>
  <CharactersWithSpaces>16152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UEPMNT310B Maintain material crushers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2012-07-25T17:05:00Z</dcterms:created>
  <dcterms:modified xsi:type="dcterms:W3CDTF">2012-07-25T17:05:00Z</dcterms:modified>
</cp:coreProperties>
</file>