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EF4" w:rsidP="00344EF4">
      <w:pPr>
        <w:pStyle w:val="Title"/>
      </w:pPr>
      <w:bookmarkStart w:id="0" w:name="_GoBack"/>
      <w:bookmarkEnd w:id="0"/>
      <w:r>
        <w:fldChar w:fldCharType="begin"/>
      </w:r>
      <w:r>
        <w:instrText xml:space="preserve"> TITLE   \* MERGEFORMAT </w:instrText>
      </w:r>
      <w:r>
        <w:fldChar w:fldCharType="separate"/>
      </w:r>
      <w:r>
        <w:t>UEPMNT305B Maintain industrial fans</w:t>
      </w:r>
      <w:r>
        <w:fldChar w:fldCharType="end"/>
      </w:r>
    </w:p>
    <w:p w:rsidR="00344EF4" w:rsidP="00344EF4">
      <w:pPr>
        <w:pStyle w:val="Version"/>
        <w:sectPr w:rsidSect="009D6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0EB" w:rsidP="009D60EB">
      <w:pPr>
        <w:pStyle w:val="SuperHeading"/>
      </w:pPr>
      <w:r w:rsidRPr="009D60EB">
        <w:t>UEPMNT305B Maintain industrial fans</w:t>
      </w:r>
    </w:p>
    <w:p w:rsidR="00000000" w:rsidRPr="009D60EB" w:rsidP="009D60EB">
      <w:pPr>
        <w:pStyle w:val="Heading1"/>
      </w:pPr>
      <w:bookmarkStart w:id="1" w:name="O_469688"/>
      <w:bookmarkEnd w:id="1"/>
      <w:r w:rsidRPr="009D60EB">
        <w:t>Modification History</w:t>
      </w:r>
    </w:p>
    <w:p w:rsidR="00000000" w:rsidRPr="009D60EB" w:rsidP="009D60EB">
      <w:pPr>
        <w:pStyle w:val="BodyText"/>
      </w:pPr>
      <w:r w:rsidRPr="009D60EB">
        <w:t>Not applicable.</w:t>
      </w:r>
    </w:p>
    <w:p w:rsidR="00000000" w:rsidRPr="009D60EB" w:rsidP="009D60EB">
      <w:pPr>
        <w:pStyle w:val="AllowPageBreak"/>
      </w:pPr>
    </w:p>
    <w:p w:rsidR="00000000" w:rsidRPr="009D60EB" w:rsidP="009D60EB">
      <w:pPr>
        <w:pStyle w:val="Heading1"/>
      </w:pPr>
      <w:bookmarkStart w:id="2" w:name="O_469686"/>
      <w:bookmarkEnd w:id="2"/>
      <w:r w:rsidRPr="009D60EB">
        <w:t>Unit Descriptor</w:t>
      </w:r>
    </w:p>
    <w:tbl>
      <w:tblPr>
        <w:tblW w:w="0" w:type="auto"/>
        <w:tblLayout w:type="fixed"/>
        <w:tblCellMar>
          <w:left w:w="62" w:type="dxa"/>
          <w:right w:w="62" w:type="dxa"/>
        </w:tblCellMar>
        <w:tblLook w:val="0000"/>
      </w:tblPr>
      <w:tblGrid>
        <w:gridCol w:w="2700"/>
        <w:gridCol w:w="5760"/>
      </w:tblGrid>
      <w:tr w:rsidTr="00344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1)</w:t>
            </w:r>
            <w:r w:rsidRPr="009D60EB">
              <w:t xml:space="preserve"> </w:t>
            </w:r>
            <w:r w:rsidRPr="009D60EB">
              <w:rPr>
                <w:rStyle w:val="SpecialBold"/>
              </w:rPr>
              <w:t>Scope:</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60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1.1) Descriptor</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This unit deals with the skills and knowledge required to undertake all work required to maintain/overhaul industrial fans and may involve fault finding, diagnosis, repair and could require the removal and replacement of rotating elements with modulating c</w:t>
            </w:r>
            <w:r w:rsidRPr="009D60EB">
              <w:t>ontrols.</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3" w:name="O_469675"/>
      <w:bookmarkEnd w:id="3"/>
      <w:r w:rsidRPr="009D60EB">
        <w:t>Application of the Unit</w:t>
      </w:r>
    </w:p>
    <w:tbl>
      <w:tblPr>
        <w:tblW w:w="0" w:type="auto"/>
        <w:tblLayout w:type="fixed"/>
        <w:tblCellMar>
          <w:left w:w="62" w:type="dxa"/>
          <w:right w:w="62" w:type="dxa"/>
        </w:tblCellMar>
        <w:tblLook w:val="0000"/>
      </w:tblPr>
      <w:tblGrid>
        <w:gridCol w:w="2672"/>
        <w:gridCol w:w="5699"/>
      </w:tblGrid>
      <w:tr w:rsidTr="00344E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2)</w:t>
            </w:r>
          </w:p>
        </w:tc>
      </w:tr>
      <w:tr w:rsidTr="00344E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This unit is intended to augment formally acquired competencies. It is suitable for employment-based programs under an approved contract of training.</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4" w:name="O_469682"/>
      <w:bookmarkEnd w:id="4"/>
      <w:r w:rsidRPr="009D60EB">
        <w:t>Licensing/Regulatory Information</w:t>
      </w:r>
    </w:p>
    <w:tbl>
      <w:tblPr>
        <w:tblW w:w="0" w:type="auto"/>
        <w:tblLayout w:type="fixed"/>
        <w:tblCellMar>
          <w:left w:w="62" w:type="dxa"/>
          <w:right w:w="62" w:type="dxa"/>
        </w:tblCellMar>
        <w:tblLook w:val="0000"/>
      </w:tblPr>
      <w:tblGrid>
        <w:gridCol w:w="2700"/>
        <w:gridCol w:w="5760"/>
      </w:tblGrid>
      <w:tr w:rsidTr="00344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 xml:space="preserve">3) </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The skills and knowledge described in this unit do not require a licence to practise in the workplace. However, practice in this unit is subject to regulations directly related to Occupational Heal</w:t>
            </w:r>
            <w:r w:rsidRPr="009D60EB">
              <w:t>th and Safety and where applicable contracts of training such as apprenticeships and the like.</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5" w:name="O_469683"/>
      <w:bookmarkEnd w:id="5"/>
      <w:r w:rsidRPr="009D60EB">
        <w:t>Pre-Requisites</w:t>
      </w:r>
    </w:p>
    <w:tbl>
      <w:tblPr>
        <w:tblW w:w="0" w:type="auto"/>
        <w:tblLayout w:type="fixed"/>
        <w:tblCellMar>
          <w:left w:w="62" w:type="dxa"/>
          <w:right w:w="62" w:type="dxa"/>
        </w:tblCellMar>
        <w:tblLook w:val="0000"/>
      </w:tblPr>
      <w:tblGrid>
        <w:gridCol w:w="2700"/>
        <w:gridCol w:w="2070"/>
        <w:gridCol w:w="3696"/>
      </w:tblGrid>
      <w:tr w:rsidTr="00344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 xml:space="preserve">4) </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4.1)</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Granting of competency in this unit shall be made only after competency in the following unit(s) has/have been confirmed.</w:t>
            </w:r>
          </w:p>
          <w:p w:rsidR="00000000" w:rsidRPr="009D60EB" w:rsidP="009D60EB">
            <w:pPr>
              <w:pStyle w:val="BodyText"/>
            </w:pPr>
            <w:r w:rsidRPr="009D60EB">
              <w:t>Where pre-requisite pathways have been identified. All competencies in the Common Unit Group must be have been completed.</w:t>
            </w:r>
          </w:p>
          <w:p w:rsidR="00000000" w:rsidP="009D60EB">
            <w:pPr>
              <w:pStyle w:val="BodyText"/>
              <w:rPr>
                <w:lang w:val="en-NZ"/>
              </w:rPr>
            </w:pPr>
            <w:r w:rsidRPr="009D60EB">
              <w:t xml:space="preserve">Common Unit </w:t>
            </w:r>
            <w:r w:rsidRPr="009D60EB">
              <w:t>Group</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Unit Code</w:t>
            </w:r>
            <w:r w:rsidRPr="009D60EB">
              <w:tab/>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Unit Title</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MEM18006C</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Repair and fit engineering components</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MEM09002B</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Interpret technical drawing</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MEM12023A</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Perform Engineering Measurements</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MEM18001C</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Use hand tools</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MEM18002B</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Use power tools/hand held operations</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MEM18003C</w:t>
            </w:r>
          </w:p>
        </w:tc>
        <w:tc>
          <w:tcPr>
            <w:tcW w:w="36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Use tools for precision work</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MEM18055B</w:t>
            </w:r>
          </w:p>
        </w:tc>
        <w:tc>
          <w:tcPr>
            <w:tcW w:w="3696"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Dismantle, replace and assemble engineering components</w:t>
            </w:r>
          </w:p>
        </w:tc>
      </w:tr>
    </w:tbl>
    <w:p w:rsidR="00000000" w:rsidRPr="009D60EB" w:rsidP="009D60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44EF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 xml:space="preserve">4.2) </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Participants are best equipped to achieve this unit if they have reading, writing and numeracy skills indicated by the following levels. A description of what each level entails is provided in Section 2.3.1 Language, Literacy and Numeracy.</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Reading</w:t>
            </w:r>
          </w:p>
        </w:tc>
        <w:tc>
          <w:tcPr>
            <w:tcW w:w="81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w:t>
            </w:r>
          </w:p>
        </w:tc>
        <w:tc>
          <w:tcPr>
            <w:tcW w:w="99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Writing</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w:t>
            </w:r>
          </w:p>
        </w:tc>
        <w:tc>
          <w:tcPr>
            <w:tcW w:w="12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Numeracy</w:t>
            </w:r>
          </w:p>
        </w:tc>
        <w:tc>
          <w:tcPr>
            <w:tcW w:w="72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3</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6" w:name="O_469679"/>
      <w:bookmarkEnd w:id="6"/>
      <w:r w:rsidRPr="009D60EB">
        <w:t>Employability Skills Information</w:t>
      </w:r>
    </w:p>
    <w:tbl>
      <w:tblPr>
        <w:tblW w:w="0" w:type="auto"/>
        <w:tblLayout w:type="fixed"/>
        <w:tblCellMar>
          <w:left w:w="62" w:type="dxa"/>
          <w:right w:w="62" w:type="dxa"/>
        </w:tblCellMar>
        <w:tblLook w:val="0000"/>
      </w:tblPr>
      <w:tblGrid>
        <w:gridCol w:w="2700"/>
        <w:gridCol w:w="5760"/>
      </w:tblGrid>
      <w:tr w:rsidTr="00344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 xml:space="preserve">5) </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 xml:space="preserve">The required outcomes described in this unit of competency contain applicable facets of Employability Skills. The Employability Skills Summary </w:t>
            </w:r>
            <w:r w:rsidRPr="009D60EB">
              <w:t>of the qualification in which this unit of competency is packaged will assist in identifying Employability Skill requirements.</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7" w:name="O_469678"/>
      <w:bookmarkEnd w:id="7"/>
      <w:r w:rsidRPr="009D60EB">
        <w:t>Elements and Performance Criteria Pre-Content</w:t>
      </w:r>
    </w:p>
    <w:tbl>
      <w:tblPr>
        <w:tblW w:w="0" w:type="auto"/>
        <w:tblLayout w:type="fixed"/>
        <w:tblCellMar>
          <w:left w:w="62" w:type="dxa"/>
          <w:right w:w="62" w:type="dxa"/>
        </w:tblCellMar>
        <w:tblLook w:val="0000"/>
      </w:tblPr>
      <w:tblGrid>
        <w:gridCol w:w="2700"/>
        <w:gridCol w:w="5760"/>
      </w:tblGrid>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6)</w:t>
            </w:r>
            <w:r w:rsidRPr="009D60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Performance Criteria describe the required performance needed to demonstrate achievement of the element. Assessment of performance is to be consistent with the Evidence Guide.</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8" w:name="O_469677"/>
      <w:bookmarkEnd w:id="8"/>
      <w:r w:rsidRPr="009D60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44E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PERFORMANCE CRITERIA</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w:t>
            </w:r>
          </w:p>
        </w:tc>
        <w:tc>
          <w:tcPr>
            <w:tcW w:w="2296" w:type="dxa"/>
            <w:vMerge w:val="restart"/>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1.1</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Work requirements are identified from request/work orders or equivalent and clarified/confirmed with appropriate parties or by site inspection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1.2</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Occupational Health and Safety standards, statutory requirements, relevant Australian standards, codes of practice, manufacturer specifications, environmental requirements and enterprise procedures are identified, applied and monitored throughout th</w:t>
            </w:r>
            <w:r w:rsidRPr="009D60EB">
              <w:t>e work procedure</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1.3</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Resources required to satisfy the work plan are identified, obtained and inspected for compliance with the job specifications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1.4</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Relevant plans, drawings and texts are selected and interpreted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1.5</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Correct size, type and quantity of materials/components are determined, obtained and inspected for compliance with the job specifications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1.6</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Work is planned in detail including sequencing and prioritising and considerations made, where appropriate, for the maintenance of plant security and capacity in accordance with system/site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1.7</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 xml:space="preserve">Coordination requirements, including requests </w:t>
            </w:r>
            <w:r w:rsidRPr="009D60EB">
              <w:t>for isolations where appropriate, are resolved with others involved, affected or required by the work</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1.8</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Potential hazards are identified and prevention and/or control measures are selected in accordance with the work plan and site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1.9</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Wo</w:t>
            </w:r>
            <w:r w:rsidRPr="009D60EB">
              <w:t>rk area is prepared in accordance with work requirements and site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1.10</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 xml:space="preserve">Where appropriate, the teams and individuals roles and responsibilities within the team are identified and where required, assist in the provision of on-the-job training </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2</w:t>
            </w:r>
          </w:p>
        </w:tc>
        <w:tc>
          <w:tcPr>
            <w:tcW w:w="2296" w:type="dxa"/>
            <w:vMerge w:val="restart"/>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Remove fan for maintenance</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2.1</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Required isolations are confirmed, where appropriate, in accordance with 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2.2</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disconnected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2.3</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removed in a manner which will assist in replacement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2.4</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inspected for abnormalities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w:t>
            </w:r>
          </w:p>
        </w:tc>
        <w:tc>
          <w:tcPr>
            <w:tcW w:w="22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Maintain fans</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3.1</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Maintenance is performed in accordance with manufacturer specif</w:t>
            </w:r>
            <w:r w:rsidRPr="009D60EB">
              <w:t>ication and site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3.2</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Components are disassembled/assembled and preliminary balance of the equipment is obtained, maintained and adjusted by assembling components of an appropriate weight in accordance with manufacturer/site specifications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3.3</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Sketches are made, data noted and components marked for identification and/or re-assembly in accordance with job requirements and site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3.4</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New components are obtained and inspected for compliance with manufacturer specifications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3.5</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Dimensional inspection is performed with precision measuring devices to ensure compliance with specifications and results recorded in accordance with job requirements and site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3.6</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reassembled applying appropriate principles and techn</w:t>
            </w:r>
            <w:r w:rsidRPr="009D60EB">
              <w:t>iques in accordance with manufacturer specifications and 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3.7</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Modifications/alterations are undertaken in accordance with 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w:t>
            </w:r>
          </w:p>
        </w:tc>
        <w:tc>
          <w:tcPr>
            <w:tcW w:w="22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Replace/install fans</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4.1</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Site is prepared for fans replacement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4.2</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replaced in accordance with the work plan and manufacturer specifications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4.3</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Fans are levelled, aligned, coupled and connected in accordance with the work plan</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4.4</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All fastenings are torqued in accordance with manufacturer specifications and 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4.5</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Machinery/plant and fans are test run, monitored and adjusted as required in accordance with manufacturer specifications and site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5</w:t>
            </w:r>
          </w:p>
        </w:tc>
        <w:tc>
          <w:tcPr>
            <w:tcW w:w="2296"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Com</w:t>
            </w:r>
            <w:r w:rsidRPr="009D60EB">
              <w:t>plete the work</w:t>
            </w: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5.1</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Work is completed and appropriate personnel notified in accordance with site/enterprise requirements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5.2</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Work area is cleared of waste, cleaned, restored and secured in accordance with site/enterprise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5.3</w:t>
            </w:r>
          </w:p>
        </w:tc>
        <w:tc>
          <w:tcPr>
            <w:tcW w:w="48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Plant, tools an</w:t>
            </w:r>
            <w:r w:rsidRPr="009D60EB">
              <w:t>d equipment are maintained and stored in accordance with site/enterprise procedures</w:t>
            </w:r>
          </w:p>
        </w:tc>
      </w:tr>
      <w:tr w:rsidTr="00344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t>5.4</w:t>
            </w:r>
          </w:p>
        </w:tc>
        <w:tc>
          <w:tcPr>
            <w:tcW w:w="48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Work completion details are finalised in accordance with site/enterprise procedures</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9" w:name="O_469685"/>
      <w:bookmarkEnd w:id="9"/>
      <w:r w:rsidRPr="009D60EB">
        <w:t>Required Skills and Knowledge</w:t>
      </w:r>
    </w:p>
    <w:tbl>
      <w:tblPr>
        <w:tblW w:w="0" w:type="auto"/>
        <w:tblLayout w:type="fixed"/>
        <w:tblCellMar>
          <w:left w:w="62" w:type="dxa"/>
          <w:right w:w="62" w:type="dxa"/>
        </w:tblCellMar>
        <w:tblLook w:val="0000"/>
      </w:tblPr>
      <w:tblGrid>
        <w:gridCol w:w="8460"/>
      </w:tblGrid>
      <w:tr w:rsidTr="00344E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REQUIRED SKILLS AND KNOWLEDGE</w:t>
            </w:r>
          </w:p>
        </w:tc>
      </w:tr>
      <w:tr w:rsidTr="00344EF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8)</w:t>
            </w:r>
            <w:r w:rsidRPr="009D60EB">
              <w:t xml:space="preserve"> This describes the essential skills and knowledge and their level, required for this unit.</w:t>
            </w:r>
          </w:p>
          <w:p w:rsidR="00000000" w:rsidRPr="009D60EB" w:rsidP="009D60EB">
            <w:pPr>
              <w:pStyle w:val="BodyText"/>
            </w:pPr>
            <w:r w:rsidRPr="009D60EB">
              <w:t>Evidence shall show that knowledge has been acquired of maintaining industrial fans.</w:t>
            </w:r>
          </w:p>
          <w:p w:rsidR="00000000" w:rsidRPr="009D60EB" w:rsidP="009D60EB">
            <w:pPr>
              <w:pStyle w:val="BodyText"/>
            </w:pPr>
            <w:r w:rsidRPr="009D60EB">
              <w:t>All knowledge and skills detailed in this unit should be contextualised to cu</w:t>
            </w:r>
            <w:r w:rsidRPr="009D60EB">
              <w:t>rrent industry practices and technologies.</w:t>
            </w:r>
          </w:p>
          <w:p w:rsidR="00000000" w:rsidRPr="009D60EB" w:rsidP="009D60EB">
            <w:pPr>
              <w:pStyle w:val="BodyText"/>
            </w:pPr>
            <w:r w:rsidRPr="009D60EB">
              <w:t>The extent of the Essential Knowledge and Associated Skills required follows:</w:t>
            </w:r>
          </w:p>
          <w:p w:rsidR="00000000" w:rsidRPr="009D60EB" w:rsidP="009D60EB">
            <w:pPr>
              <w:pStyle w:val="BodyText"/>
            </w:pPr>
            <w:r w:rsidRPr="009D60EB">
              <w:t>KS01-PM305B Industrial fans</w:t>
            </w:r>
          </w:p>
          <w:p w:rsidR="00000000" w:rsidRPr="009D60EB" w:rsidP="009D60EB">
            <w:pPr>
              <w:pStyle w:val="BodyText"/>
            </w:pPr>
            <w:r w:rsidRPr="009D60EB">
              <w:t>T1 Evidence shall show that knowledge has been acquired for safe working practices of:</w:t>
            </w:r>
          </w:p>
          <w:p w:rsidR="00000000" w:rsidRPr="009D60EB" w:rsidP="009D60EB">
            <w:pPr>
              <w:pStyle w:val="ListBullet"/>
            </w:pPr>
            <w:r w:rsidRPr="009D60EB">
              <w:t>Relevant Environmental, Occupational Health and Safety legislation and  regulations</w:t>
            </w:r>
          </w:p>
          <w:p w:rsidR="00000000" w:rsidRPr="009D60EB" w:rsidP="009D60EB">
            <w:pPr>
              <w:pStyle w:val="ListBullet"/>
            </w:pPr>
            <w:r w:rsidRPr="009D60EB">
              <w:t>Introduction to and typical arrangements of power production plant</w:t>
            </w:r>
          </w:p>
          <w:p w:rsidR="00000000" w:rsidRPr="009D60EB" w:rsidP="009D60EB">
            <w:pPr>
              <w:pStyle w:val="ListBullet"/>
            </w:pPr>
            <w:r w:rsidRPr="009D60EB">
              <w:t>Fan and motor types and characteristics</w:t>
            </w:r>
          </w:p>
          <w:p w:rsidR="00000000" w:rsidRPr="009D60EB" w:rsidP="009D60EB">
            <w:pPr>
              <w:pStyle w:val="ListBullet"/>
            </w:pPr>
            <w:r w:rsidRPr="009D60EB">
              <w:t>Introduction to and typical arrangements of power production plan</w:t>
            </w:r>
            <w:r w:rsidRPr="009D60EB">
              <w:t>t</w:t>
            </w:r>
          </w:p>
          <w:p w:rsidR="00000000" w:rsidRPr="009D60EB" w:rsidP="009D60EB">
            <w:pPr>
              <w:pStyle w:val="ListBullet"/>
            </w:pPr>
            <w:r w:rsidRPr="009D60EB">
              <w:t>Motor variable speed drive types and characteristics</w:t>
            </w:r>
          </w:p>
          <w:p w:rsidR="00000000" w:rsidRPr="009D60EB" w:rsidP="009D60EB">
            <w:pPr>
              <w:pStyle w:val="ListBullet"/>
            </w:pPr>
            <w:r w:rsidRPr="009D60EB">
              <w:t>Precision measuring equipment</w:t>
            </w:r>
          </w:p>
          <w:p w:rsidR="00000000" w:rsidRPr="009D60EB" w:rsidP="009D60EB">
            <w:pPr>
              <w:pStyle w:val="ListBullet"/>
            </w:pPr>
            <w:r w:rsidRPr="009D60EB">
              <w:t>Seals and gaskets</w:t>
            </w:r>
          </w:p>
          <w:p w:rsidR="00000000" w:rsidRPr="009D60EB" w:rsidP="009D60EB">
            <w:pPr>
              <w:pStyle w:val="ListBullet"/>
            </w:pPr>
            <w:r w:rsidRPr="009D60EB">
              <w:t>Coupling levelling and alignment</w:t>
            </w:r>
          </w:p>
          <w:p w:rsidR="00000000" w:rsidRPr="009D60EB" w:rsidP="009D60EB">
            <w:pPr>
              <w:pStyle w:val="ListBullet"/>
            </w:pPr>
            <w:r w:rsidRPr="009D60EB">
              <w:t>Rigging and lifting</w:t>
            </w:r>
          </w:p>
          <w:p w:rsidR="00000000" w:rsidRPr="009D60EB" w:rsidP="009D60EB">
            <w:pPr>
              <w:pStyle w:val="ListBullet"/>
            </w:pPr>
            <w:r w:rsidRPr="009D60EB">
              <w:t>Technical drawings and manufacturers manuals</w:t>
            </w:r>
          </w:p>
          <w:p w:rsidR="00000000" w:rsidRPr="009D60EB" w:rsidP="009D60EB">
            <w:pPr>
              <w:pStyle w:val="ListBullet"/>
            </w:pPr>
            <w:r w:rsidRPr="009D60EB">
              <w:t>Hand and power tools</w:t>
            </w:r>
          </w:p>
          <w:p w:rsidR="00000000" w:rsidRPr="009D60EB" w:rsidP="009D60EB">
            <w:pPr>
              <w:pStyle w:val="ListBullet"/>
            </w:pPr>
            <w:r w:rsidRPr="009D60EB">
              <w:t>Protective coatings</w:t>
            </w:r>
          </w:p>
          <w:p w:rsidR="00000000" w:rsidRPr="009D60EB" w:rsidP="009D60EB">
            <w:pPr>
              <w:pStyle w:val="ListBullet"/>
            </w:pPr>
            <w:r w:rsidRPr="009D60EB">
              <w:t>Balancing tech</w:t>
            </w:r>
            <w:r w:rsidRPr="009D60EB">
              <w:t>niques</w:t>
            </w:r>
          </w:p>
          <w:p w:rsidR="00000000" w:rsidRPr="009D60EB" w:rsidP="009D60EB">
            <w:pPr>
              <w:pStyle w:val="ListBullet"/>
            </w:pPr>
            <w:r w:rsidRPr="009D60EB">
              <w:t xml:space="preserve">Isolation procedures </w:t>
            </w:r>
          </w:p>
          <w:p w:rsidR="00000000" w:rsidRPr="009D60EB" w:rsidP="009D60EB">
            <w:pPr>
              <w:pStyle w:val="BodyText"/>
            </w:pPr>
            <w:r w:rsidRPr="009D60EB">
              <w:t>T2 Specific skills needed to achieve the Performance Criteria:</w:t>
            </w:r>
          </w:p>
          <w:p w:rsidR="00000000" w:rsidRPr="009D60EB" w:rsidP="009D60EB">
            <w:pPr>
              <w:pStyle w:val="ListBullet"/>
            </w:pPr>
            <w:r w:rsidRPr="009D60EB">
              <w:t>Apply Relevant Environmental, Occupational Health and Safety legislation and  regulations</w:t>
            </w:r>
          </w:p>
          <w:p w:rsidR="00000000" w:rsidRPr="009D60EB" w:rsidP="009D60EB">
            <w:pPr>
              <w:pStyle w:val="ListBullet"/>
            </w:pPr>
            <w:r w:rsidRPr="009D60EB">
              <w:t>Identify and use measuring equipment</w:t>
            </w:r>
          </w:p>
          <w:p w:rsidR="00000000" w:rsidRPr="009D60EB" w:rsidP="009D60EB">
            <w:pPr>
              <w:pStyle w:val="ListBullet"/>
            </w:pPr>
            <w:r w:rsidRPr="009D60EB">
              <w:t>Manufacture and install seals and ga</w:t>
            </w:r>
            <w:r w:rsidRPr="009D60EB">
              <w:t>skets</w:t>
            </w:r>
          </w:p>
          <w:p w:rsidR="00000000" w:rsidRPr="009D60EB" w:rsidP="009D60EB">
            <w:pPr>
              <w:pStyle w:val="ListBullet"/>
            </w:pPr>
            <w:r w:rsidRPr="009D60EB">
              <w:t>Apply coupling levelling and aligning techniques</w:t>
            </w:r>
          </w:p>
          <w:p w:rsidR="00000000" w:rsidRPr="009D60EB" w:rsidP="009D60EB">
            <w:pPr>
              <w:pStyle w:val="ListBullet"/>
            </w:pPr>
            <w:r w:rsidRPr="009D60EB">
              <w:t>Interpret Technical drawings and manufacturers manuals</w:t>
            </w:r>
          </w:p>
          <w:p w:rsidR="00000000" w:rsidRPr="009D60EB" w:rsidP="009D60EB">
            <w:pPr>
              <w:pStyle w:val="ListBullet"/>
            </w:pPr>
            <w:r w:rsidRPr="009D60EB">
              <w:t>Identify and select materials and components</w:t>
            </w:r>
          </w:p>
          <w:p w:rsidR="00000000" w:rsidRPr="009D60EB" w:rsidP="009D60EB">
            <w:pPr>
              <w:pStyle w:val="ListBullet"/>
            </w:pPr>
            <w:r w:rsidRPr="009D60EB">
              <w:t>Use hand and portable power tools</w:t>
            </w:r>
          </w:p>
          <w:p w:rsidR="00000000" w:rsidRPr="009D60EB" w:rsidP="009D60EB">
            <w:pPr>
              <w:pStyle w:val="ListBullet"/>
            </w:pPr>
            <w:r w:rsidRPr="009D60EB">
              <w:t>Work to defined tolerances</w:t>
            </w:r>
          </w:p>
          <w:p w:rsidR="00000000" w:rsidRPr="009D60EB" w:rsidP="009D60EB">
            <w:pPr>
              <w:pStyle w:val="ListBullet"/>
            </w:pPr>
            <w:r w:rsidRPr="009D60EB">
              <w:t>Dismantle and assemble components</w:t>
            </w:r>
          </w:p>
          <w:p w:rsidR="00000000" w:rsidRPr="009D60EB" w:rsidP="009D60EB">
            <w:pPr>
              <w:pStyle w:val="ListBullet"/>
            </w:pPr>
            <w:r w:rsidRPr="009D60EB">
              <w:t>Apply balancing procedures</w:t>
            </w:r>
          </w:p>
          <w:p w:rsidR="00000000" w:rsidRPr="009D60EB" w:rsidP="009D60EB">
            <w:pPr>
              <w:pStyle w:val="ListBullet"/>
            </w:pPr>
            <w:r w:rsidRPr="009D60EB">
              <w:t>Recognise worn/damaged components</w:t>
            </w:r>
          </w:p>
          <w:p w:rsidR="00000000" w:rsidRPr="009D60EB" w:rsidP="009D60EB">
            <w:pPr>
              <w:pStyle w:val="ListBullet"/>
            </w:pPr>
            <w:r w:rsidRPr="009D60EB">
              <w:t>Communicate effectively.</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10" w:name="O_469680"/>
      <w:bookmarkEnd w:id="10"/>
      <w:r w:rsidRPr="009D60EB">
        <w:t>Evidence Guide</w:t>
      </w:r>
    </w:p>
    <w:tbl>
      <w:tblPr>
        <w:tblW w:w="0" w:type="auto"/>
        <w:tblLayout w:type="fixed"/>
        <w:tblCellMar>
          <w:left w:w="62" w:type="dxa"/>
          <w:right w:w="62" w:type="dxa"/>
        </w:tblCellMar>
        <w:tblLook w:val="0000"/>
      </w:tblPr>
      <w:tblGrid>
        <w:gridCol w:w="8460"/>
      </w:tblGrid>
      <w:tr w:rsidTr="00344E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EVIDENCE GUIDE</w:t>
            </w:r>
          </w:p>
        </w:tc>
      </w:tr>
      <w:tr w:rsidTr="00344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9)</w:t>
            </w:r>
            <w:r w:rsidRPr="009D60EB">
              <w:t xml:space="preserve"> This provides essential advice for assessment of the competency standard unit and must be read </w:t>
            </w:r>
            <w:r w:rsidRPr="009D60EB">
              <w:t>in conjunction with the Performance Criteria and the range statement of the competency standard unit and the Training Package Assessment Guidelines.</w:t>
            </w:r>
          </w:p>
          <w:p w:rsidR="00000000" w:rsidRPr="009D60EB" w:rsidP="009D60EB">
            <w:pPr>
              <w:pStyle w:val="BodyText"/>
            </w:pPr>
            <w:r w:rsidRPr="009D60EB">
              <w:t>The Evidence Guide forms an integral part of this unit and shall be used in conjunction with all components</w:t>
            </w:r>
            <w:r w:rsidRPr="009D60EB">
              <w:t xml:space="preserve"> parts of this unit and, performed in accordance with the Assessment Guidelines of this Training Package.</w:t>
            </w:r>
          </w:p>
        </w:tc>
      </w:tr>
    </w:tbl>
    <w:p w:rsidR="00000000" w:rsidRPr="009D60EB" w:rsidP="009D60EB">
      <w:pPr>
        <w:pStyle w:val="BodyText"/>
      </w:pPr>
    </w:p>
    <w:tbl>
      <w:tblPr>
        <w:tblW w:w="0" w:type="auto"/>
        <w:tblLayout w:type="fixed"/>
        <w:tblCellMar>
          <w:left w:w="62" w:type="dxa"/>
          <w:right w:w="62" w:type="dxa"/>
        </w:tblCellMar>
        <w:tblLook w:val="0000"/>
      </w:tblPr>
      <w:tblGrid>
        <w:gridCol w:w="1890"/>
        <w:gridCol w:w="6390"/>
      </w:tblGrid>
      <w:tr w:rsidTr="00344EF4">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Overview of Assessment</w:t>
            </w:r>
          </w:p>
        </w:tc>
        <w:tc>
          <w:tcPr>
            <w:tcW w:w="639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9.1)</w:t>
            </w:r>
          </w:p>
        </w:tc>
      </w:tr>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 xml:space="preserve">Longitude competency development approaches to assessment, such as Profiling, require data to be reliably gathered in </w:t>
            </w:r>
            <w:r w:rsidRPr="009D60EB">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9D60EB">
              <w:t>used it is to include the application of the competency in the normal work environment or in a realistically simulated work environment. It is recognised that, in some circumstances, assessment in part or full can occur outside the workplace; however, it m</w:t>
            </w:r>
            <w:r w:rsidRPr="009D60EB">
              <w:t>ust be in accord with Industry and regulatory policy.</w:t>
            </w:r>
          </w:p>
          <w:p w:rsidR="00000000" w:rsidRPr="009D60EB" w:rsidP="009D60EB">
            <w:pPr>
              <w:pStyle w:val="BodyText"/>
            </w:pPr>
            <w:r w:rsidRPr="009D60EB">
              <w:t>Methods chosen for a particular assessment will be influenced by various factors. These include the extent of the assessment, the most effective locations for the assessment activities to take place, ac</w:t>
            </w:r>
            <w:r w:rsidRPr="009D60EB">
              <w:t>cess to physical resources, additional safety measures that may be required and the critical nature of the competencies being assessed.</w:t>
            </w:r>
          </w:p>
          <w:p w:rsidR="00000000" w:rsidRPr="009D60EB" w:rsidP="009D60EB">
            <w:pPr>
              <w:pStyle w:val="BodyText"/>
            </w:pPr>
            <w:r w:rsidRPr="009D60EB">
              <w:t>The critical safety nature of working with electricity, electrical equipment, gas or any other hazardous substance/material carries risk in deeming a person competent. Hence, sources of evidence need to be ‘rich’ in nature so as to minimise error in judgme</w:t>
            </w:r>
            <w:r w:rsidRPr="009D60EB">
              <w:t>nt.</w:t>
            </w:r>
          </w:p>
          <w:p w:rsidR="00000000" w:rsidRPr="009D60EB" w:rsidP="009D60EB">
            <w:pPr>
              <w:pStyle w:val="BodyText"/>
            </w:pPr>
            <w:r w:rsidRPr="009D60EB">
              <w:t>Activities associated with normal every day work have a bearing on the decision as to how much and how detailed the data gathered will contribute to its ‘richness’. Some skills are more critical to safety and operational requirements while the same ski</w:t>
            </w:r>
            <w:r w:rsidRPr="009D60EB">
              <w:t>lls may be more or less frequently practised. These points are raised for the assessors to consider when choosing an assessment method and developing assessment instruments. Sample assessment instruments are included in the Assessment Guidelines of this Tr</w:t>
            </w:r>
            <w:r w:rsidRPr="009D60EB">
              <w:t>aining Package.</w:t>
            </w:r>
          </w:p>
        </w:tc>
      </w:tr>
    </w:tbl>
    <w:p w:rsidR="00000000" w:rsidRPr="009D60EB" w:rsidP="009D60EB">
      <w:pPr>
        <w:pStyle w:val="BodyText"/>
      </w:pPr>
    </w:p>
    <w:tbl>
      <w:tblPr>
        <w:tblW w:w="0" w:type="auto"/>
        <w:tblLayout w:type="fixed"/>
        <w:tblCellMar>
          <w:left w:w="62" w:type="dxa"/>
          <w:right w:w="62" w:type="dxa"/>
        </w:tblCellMar>
        <w:tblLook w:val="0000"/>
      </w:tblPr>
      <w:tblGrid>
        <w:gridCol w:w="1890"/>
        <w:gridCol w:w="6570"/>
      </w:tblGrid>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9.2)</w:t>
            </w:r>
          </w:p>
        </w:tc>
      </w:tr>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Before the critical aspects of evidence are considered all pre-requisites shall be met.</w:t>
            </w:r>
          </w:p>
          <w:p w:rsidR="00000000" w:rsidRPr="009D60EB" w:rsidP="009D60EB">
            <w:pPr>
              <w:pStyle w:val="BodyText"/>
            </w:pPr>
            <w:r w:rsidRPr="009D60EB">
              <w:t>Evidence for competence in this unit shall be considered holistica</w:t>
            </w:r>
            <w:r w:rsidRPr="009D60EB">
              <w:t>lly.  Each element and associated Performance Criteria shall be demonstrated on at least two occasions in accordance with the “Assessment Guidelines – UEP12”.  Evidence shall also comprise:</w:t>
            </w:r>
          </w:p>
          <w:p w:rsidR="00000000" w:rsidRPr="009D60EB" w:rsidP="009D60EB">
            <w:pPr>
              <w:pStyle w:val="ListBullet"/>
            </w:pPr>
            <w:r w:rsidRPr="009D60EB">
              <w:t>A representative body of work performance demonstrated within the</w:t>
            </w:r>
            <w:r w:rsidRPr="009D60EB">
              <w:t xml:space="preserve"> timeframes typically expected of the discipline, work function and industrial environment. In particular this shall incorporate evidence that shows a candidate is able to:</w:t>
            </w:r>
          </w:p>
          <w:p w:rsidR="00000000" w:rsidRPr="009D60EB" w:rsidP="009D60EB">
            <w:pPr>
              <w:pStyle w:val="ListBullet2"/>
            </w:pPr>
            <w:r w:rsidRPr="009D60EB">
              <w:t xml:space="preserve">Implement Occupational Health and Safety workplace </w:t>
            </w:r>
            <w:r w:rsidRPr="009D60EB">
              <w:t>procedures and practices including the use of risk control measures as specified in the Performance Criteria and Range Statement</w:t>
            </w:r>
          </w:p>
          <w:p w:rsidR="00000000" w:rsidRPr="009D60EB" w:rsidP="009D60EB">
            <w:pPr>
              <w:pStyle w:val="ListBullet2"/>
            </w:pPr>
            <w:r w:rsidRPr="009D60EB">
              <w:t>Apply sustainable energy principles and practices as specified in the Performance Criteria and Range Statement</w:t>
            </w:r>
          </w:p>
          <w:p w:rsidR="00000000" w:rsidRPr="009D60EB" w:rsidP="009D60EB">
            <w:pPr>
              <w:pStyle w:val="ListBullet2"/>
            </w:pPr>
            <w:r w:rsidRPr="009D60EB">
              <w:t>Demonstrate an u</w:t>
            </w:r>
            <w:r w:rsidRPr="009D60EB">
              <w:t>nderstanding of the essential knowledge and associated skills as described in 6) Essential Knowledge and Associated Skills of this unit</w:t>
            </w:r>
          </w:p>
          <w:p w:rsidR="00000000" w:rsidRPr="009D60EB" w:rsidP="009D60EB">
            <w:pPr>
              <w:pStyle w:val="ListBullet2"/>
            </w:pPr>
            <w:r w:rsidRPr="009D60EB">
              <w:t>Demonstrate an appropriate level of employability skills</w:t>
            </w:r>
          </w:p>
          <w:p w:rsidR="00000000" w:rsidRPr="009D60EB" w:rsidP="009D60EB">
            <w:pPr>
              <w:pStyle w:val="ListBullet2"/>
            </w:pPr>
            <w:r w:rsidRPr="009D60EB">
              <w:t>Conduct work observing the relevant Anti Discrimination legisla</w:t>
            </w:r>
            <w:r w:rsidRPr="009D60EB">
              <w:t>tion, regulations, polices and workplace procedures</w:t>
            </w:r>
          </w:p>
          <w:p w:rsidR="00000000" w:rsidRPr="009D60EB" w:rsidP="009D60EB">
            <w:pPr>
              <w:pStyle w:val="ListBullet"/>
            </w:pPr>
            <w:r w:rsidRPr="009D60EB">
              <w:t>Demonstrated performance across a representative range of contexts from the prescribed items below:</w:t>
            </w:r>
          </w:p>
          <w:p w:rsidR="00000000" w:rsidRPr="009D60EB" w:rsidP="009D60EB">
            <w:pPr>
              <w:pStyle w:val="ListBullet2"/>
            </w:pPr>
            <w:r w:rsidRPr="009D60EB">
              <w:t>The knowledge and application of relevant sections of: Occupational Health and Safety legislation; Sta</w:t>
            </w:r>
            <w:r w:rsidRPr="009D60EB">
              <w:t>tutory legislation; Enterprise/site safety procedures; Enterprise/site emergency procedures</w:t>
            </w:r>
          </w:p>
          <w:p w:rsidR="00000000" w:rsidRPr="009D60EB" w:rsidP="009D60EB">
            <w:pPr>
              <w:pStyle w:val="ListBullet2"/>
            </w:pPr>
            <w:r w:rsidRPr="009D60EB">
              <w:t>Removal techniques</w:t>
            </w:r>
          </w:p>
          <w:p w:rsidR="00000000" w:rsidRPr="009D60EB" w:rsidP="009D60EB">
            <w:pPr>
              <w:pStyle w:val="ListBullet2"/>
            </w:pPr>
            <w:r w:rsidRPr="009D60EB">
              <w:t>Maintenance techniques and procedures</w:t>
            </w:r>
          </w:p>
          <w:p w:rsidR="00000000" w:rsidRPr="009D60EB" w:rsidP="009D60EB">
            <w:pPr>
              <w:pStyle w:val="ListBullet2"/>
            </w:pPr>
            <w:r w:rsidRPr="009D60EB">
              <w:t>Installation techniques and procedures</w:t>
            </w:r>
          </w:p>
          <w:p w:rsidR="00000000" w:rsidRPr="009D60EB" w:rsidP="009D60EB">
            <w:pPr>
              <w:pStyle w:val="ListBullet2"/>
            </w:pPr>
            <w:r w:rsidRPr="009D60EB">
              <w:t>Completion of work procedures</w:t>
            </w:r>
          </w:p>
          <w:p w:rsidR="00000000" w:rsidRPr="009D60EB" w:rsidP="009D60EB">
            <w:pPr>
              <w:pStyle w:val="ListBullet2"/>
            </w:pPr>
            <w:r w:rsidRPr="009D60EB">
              <w:t>Dealing with an unplanned event by dra</w:t>
            </w:r>
            <w:r w:rsidRPr="009D60EB">
              <w:t>wing on essential knowledge and skills to provide appropriate solutions incorporated in the holistic assessment with the above listed items.</w:t>
            </w:r>
          </w:p>
        </w:tc>
      </w:tr>
    </w:tbl>
    <w:p w:rsidR="00000000" w:rsidRPr="009D60EB" w:rsidP="009D60EB">
      <w:pPr>
        <w:pStyle w:val="BodyText"/>
      </w:pPr>
    </w:p>
    <w:tbl>
      <w:tblPr>
        <w:tblW w:w="0" w:type="auto"/>
        <w:tblLayout w:type="fixed"/>
        <w:tblCellMar>
          <w:left w:w="62" w:type="dxa"/>
          <w:right w:w="62" w:type="dxa"/>
        </w:tblCellMar>
        <w:tblLook w:val="0000"/>
      </w:tblPr>
      <w:tblGrid>
        <w:gridCol w:w="1890"/>
        <w:gridCol w:w="6570"/>
      </w:tblGrid>
      <w:tr w:rsidTr="00344EF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9.3)</w:t>
            </w:r>
          </w:p>
        </w:tc>
      </w:tr>
      <w:tr w:rsidTr="00344EF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This unit should be assessed as it relates to normal work practice using procedures, information and resources typical of a workplace. This should include:</w:t>
            </w:r>
          </w:p>
          <w:p w:rsidR="00000000" w:rsidRPr="009D60EB" w:rsidP="009D60EB">
            <w:pPr>
              <w:pStyle w:val="ListBullet"/>
            </w:pPr>
            <w:r w:rsidRPr="009D60EB">
              <w:t>OHS policy and work procedures and instructions.</w:t>
            </w:r>
          </w:p>
          <w:p w:rsidR="00000000" w:rsidRPr="009D60EB" w:rsidP="009D60EB">
            <w:pPr>
              <w:pStyle w:val="ListBullet"/>
            </w:pPr>
            <w:r w:rsidRPr="009D60EB">
              <w:t>Suitable work environment, facilities, equipment a</w:t>
            </w:r>
            <w:r w:rsidRPr="009D60EB">
              <w:t>nd materials to undertake actual work as prescribed by this unit.</w:t>
            </w:r>
          </w:p>
          <w:p w:rsidR="00000000" w:rsidRPr="009D60EB" w:rsidP="009D60EB">
            <w:pPr>
              <w:pStyle w:val="BodyText"/>
            </w:pPr>
            <w:r w:rsidRPr="009D60EB">
              <w:t>Competency Standards should be assessed in the workplace or simulated workplace and under the normal range of workplace conditions.</w:t>
            </w:r>
          </w:p>
          <w:p w:rsidR="00000000" w:rsidRPr="009D60EB" w:rsidP="009D60EB">
            <w:pPr>
              <w:pStyle w:val="BodyText"/>
            </w:pPr>
            <w:r w:rsidRPr="009D60EB">
              <w:t>Assessment of this unit will be supported with documentary evidence, by means of endorsement stating type and application of work.</w:t>
            </w:r>
          </w:p>
          <w:p w:rsidR="00000000" w:rsidRPr="009D60EB" w:rsidP="009D60EB">
            <w:pPr>
              <w:pStyle w:val="BodyText"/>
            </w:pPr>
            <w:r w:rsidRPr="009D60EB">
              <w:t>In addition to the resources listed above in Context of assessment’, evidence should show competency working, in limited spac</w:t>
            </w:r>
            <w:r w:rsidRPr="009D60EB">
              <w:t>es, with different types of plant and equipment as well as different structural/construction types and method and in a variety of environments.</w:t>
            </w:r>
          </w:p>
        </w:tc>
      </w:tr>
    </w:tbl>
    <w:p w:rsidR="00000000" w:rsidRPr="009D60EB" w:rsidP="009D60EB">
      <w:pPr>
        <w:pStyle w:val="BodyText"/>
      </w:pPr>
    </w:p>
    <w:tbl>
      <w:tblPr>
        <w:tblW w:w="0" w:type="auto"/>
        <w:tblLayout w:type="fixed"/>
        <w:tblCellMar>
          <w:left w:w="62" w:type="dxa"/>
          <w:right w:w="62" w:type="dxa"/>
        </w:tblCellMar>
        <w:tblLook w:val="0000"/>
      </w:tblPr>
      <w:tblGrid>
        <w:gridCol w:w="1890"/>
        <w:gridCol w:w="6570"/>
      </w:tblGrid>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9.4)</w:t>
            </w:r>
          </w:p>
        </w:tc>
      </w:tr>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 xml:space="preserve">This unit shall be assessed by </w:t>
            </w:r>
            <w:r w:rsidRPr="009D60EB">
              <w:t>methods given in Section 1.3.00 Assessment Guidelines.</w:t>
            </w:r>
          </w:p>
          <w:p w:rsidR="00000000" w:rsidRPr="009D60EB" w:rsidP="009D60EB">
            <w:pPr>
              <w:pStyle w:val="BodyText"/>
            </w:pPr>
            <w:r w:rsidRPr="009D60EB">
              <w:t>Note: Competent performance with inherent safe working practices is expected in the Industry to which this unit applies. This requires that the specified essential knowledge and associated skills are a</w:t>
            </w:r>
            <w:r w:rsidRPr="009D60EB">
              <w:t>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9D60EB" w:rsidP="009D60EB">
      <w:pPr>
        <w:pStyle w:val="BodyText"/>
      </w:pPr>
    </w:p>
    <w:tbl>
      <w:tblPr>
        <w:tblW w:w="0" w:type="auto"/>
        <w:tblLayout w:type="fixed"/>
        <w:tblCellMar>
          <w:left w:w="62" w:type="dxa"/>
          <w:right w:w="62" w:type="dxa"/>
        </w:tblCellMar>
        <w:tblLook w:val="0000"/>
      </w:tblPr>
      <w:tblGrid>
        <w:gridCol w:w="1890"/>
        <w:gridCol w:w="6570"/>
      </w:tblGrid>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 xml:space="preserve">Concurrent </w:t>
            </w:r>
            <w:r w:rsidRPr="009D60EB">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9.5)</w:t>
            </w:r>
          </w:p>
        </w:tc>
      </w:tr>
      <w:tr w:rsidTr="00344E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There are no recommended concurrent assessments with this unit, however in some cases efficiencies may be gained in terms of learning and assessment effort being concurrently managed with allied competenc</w:t>
            </w:r>
            <w:r w:rsidRPr="009D60EB">
              <w:t>y standard units where listed.</w:t>
            </w:r>
          </w:p>
          <w:p w:rsidR="00000000" w:rsidRPr="009D60EB" w:rsidP="009D60EB">
            <w:pPr>
              <w:pStyle w:val="BodyText"/>
            </w:pPr>
            <w:r w:rsidRPr="009D60EB">
              <w:t>Nil</w:t>
            </w:r>
            <w:r w:rsidRPr="009D60EB">
              <w:tab/>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11" w:name="O_469684"/>
      <w:bookmarkEnd w:id="11"/>
      <w:r w:rsidRPr="009D60EB">
        <w:t>Range Statement</w:t>
      </w:r>
    </w:p>
    <w:tbl>
      <w:tblPr>
        <w:tblW w:w="0" w:type="auto"/>
        <w:tblLayout w:type="fixed"/>
        <w:tblCellMar>
          <w:left w:w="62" w:type="dxa"/>
          <w:right w:w="62" w:type="dxa"/>
        </w:tblCellMar>
        <w:tblLook w:val="0000"/>
      </w:tblPr>
      <w:tblGrid>
        <w:gridCol w:w="8460"/>
      </w:tblGrid>
      <w:tr w:rsidTr="00344E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RANGE STATEMENT</w:t>
            </w:r>
          </w:p>
        </w:tc>
      </w:tr>
      <w:tr w:rsidTr="00344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10)</w:t>
            </w:r>
            <w:r w:rsidRPr="009D60EB">
              <w:t xml:space="preserve"> This relates to the competency standard unit as a whole providing the range of contexts and </w:t>
            </w:r>
            <w:r w:rsidRPr="009D60EB">
              <w:t>conditions to which the Performance Criteria apply. It allows for different work environments and situations that will affect performance.</w:t>
            </w:r>
          </w:p>
          <w:p w:rsidR="00000000" w:rsidRPr="009D60EB" w:rsidP="009D60EB">
            <w:pPr>
              <w:pStyle w:val="BodyText"/>
            </w:pPr>
            <w:r w:rsidRPr="009D60EB">
              <w:t>Fans may include induced draft, forced draft, cooling and exhaust.</w:t>
            </w:r>
          </w:p>
          <w:p w:rsidR="00000000" w:rsidRPr="009D60EB" w:rsidP="009D60EB">
            <w:pPr>
              <w:pStyle w:val="BodyText"/>
            </w:pPr>
            <w:r w:rsidRPr="009D60EB">
              <w:t>Modulating controls may be to guide vanes and impe</w:t>
            </w:r>
            <w:r w:rsidRPr="009D60EB">
              <w:t>llor blades.</w:t>
            </w:r>
          </w:p>
          <w:p w:rsidR="00000000" w:rsidRPr="009D60EB" w:rsidP="009D60EB">
            <w:pPr>
              <w:pStyle w:val="BodyText"/>
            </w:pPr>
            <w:r w:rsidRPr="009D60EB">
              <w:t>Maintenance may include repair, inspection, modification, balancing, overhaul, lubrication, servicing, test running and identifying and replacing defective components.</w:t>
            </w:r>
          </w:p>
          <w:p w:rsidR="00000000" w:rsidRPr="009D60EB" w:rsidP="009D60EB">
            <w:pPr>
              <w:pStyle w:val="BodyText"/>
            </w:pPr>
            <w:r w:rsidRPr="009D60EB">
              <w:t>Tools may include micrometers, verniers, dial test indicators, slip gauges,</w:t>
            </w:r>
            <w:r w:rsidRPr="009D60EB">
              <w:t xml:space="preserve"> hand tools, hydraulic spanners, customised mandrels, digital height gauges, internal micrometers, depth gauges, air grinders, jigs and fixtures, customised spanners, thermal blankets, induction heaters, thermal crayons, digital thermometers, oxyacetylene </w:t>
            </w:r>
            <w:r w:rsidRPr="009D60EB">
              <w:t>gear and appropriate lifting devices.</w:t>
            </w:r>
          </w:p>
          <w:p w:rsidR="00000000" w:rsidRPr="009D60EB" w:rsidP="009D60EB">
            <w:pPr>
              <w:pStyle w:val="BodyText"/>
            </w:pPr>
            <w:r w:rsidRPr="009D60EB">
              <w:t>Work completion details may include plant and maintenance records, job cards, check sheets, on device labelling updates and reporting and/or documenting equipment defects.</w:t>
            </w:r>
          </w:p>
          <w:p w:rsidR="00000000" w:rsidRPr="009D60EB" w:rsidP="009D60EB">
            <w:pPr>
              <w:pStyle w:val="BodyText"/>
            </w:pPr>
            <w:r w:rsidRPr="009D60EB">
              <w:t>Work site environment may be affected by nearb</w:t>
            </w:r>
            <w:r w:rsidRPr="009D60EB">
              <w:t>y plant or processes, e.g. chemical, heat, dust, noise, gas and oil.</w:t>
            </w:r>
          </w:p>
          <w:p w:rsidR="00000000" w:rsidRPr="009D60EB" w:rsidP="009D60EB">
            <w:pPr>
              <w:pStyle w:val="BodyText"/>
            </w:pPr>
            <w:r w:rsidRPr="009D60EB">
              <w:t>Isolations can refer to electrical/mechanical or other associated processes.</w:t>
            </w:r>
          </w:p>
          <w:p w:rsidR="00000000" w:rsidRPr="009D60EB" w:rsidP="009D60EB">
            <w:pPr>
              <w:pStyle w:val="BodyText"/>
            </w:pPr>
            <w:r w:rsidRPr="009D60EB">
              <w:t>Generic terms are used throughout this Training Package for vocational standard shall be regarded as part of t</w:t>
            </w:r>
            <w:r w:rsidRPr="009D60EB">
              <w:t>he Range Statement in which competency is demonstrated. The definition of these and other terms are given in Section 2.1.00 Preliminary Information and Glossaries.</w:t>
            </w:r>
          </w:p>
        </w:tc>
      </w:tr>
    </w:tbl>
    <w:p w:rsidR="00000000" w:rsidRPr="009D60EB" w:rsidP="009D60EB">
      <w:pPr>
        <w:pStyle w:val="BodyText"/>
      </w:pPr>
    </w:p>
    <w:p w:rsidR="00000000" w:rsidRPr="009D60EB" w:rsidP="009D60EB">
      <w:pPr>
        <w:pStyle w:val="AllowPageBreak"/>
      </w:pPr>
    </w:p>
    <w:p w:rsidR="00000000" w:rsidRPr="009D60EB" w:rsidP="009D60EB">
      <w:pPr>
        <w:pStyle w:val="Heading1"/>
      </w:pPr>
      <w:bookmarkStart w:id="12" w:name="O_469687"/>
      <w:bookmarkEnd w:id="12"/>
      <w:r w:rsidRPr="009D60EB">
        <w:t>Unit Sector(s)</w:t>
      </w:r>
    </w:p>
    <w:p w:rsidR="00000000" w:rsidRPr="009D60EB" w:rsidP="009D60EB">
      <w:pPr>
        <w:pStyle w:val="BodyText"/>
      </w:pPr>
      <w:r w:rsidRPr="009D60EB">
        <w:t>Not applicable.</w:t>
      </w:r>
    </w:p>
    <w:p w:rsidR="00000000" w:rsidRPr="009D60EB" w:rsidP="009D60EB">
      <w:pPr>
        <w:pStyle w:val="AllowPageBreak"/>
      </w:pPr>
    </w:p>
    <w:p w:rsidR="00000000" w:rsidRPr="009D60EB" w:rsidP="009D60EB">
      <w:pPr>
        <w:pStyle w:val="Heading1"/>
      </w:pPr>
      <w:bookmarkStart w:id="13" w:name="O_469676"/>
      <w:bookmarkEnd w:id="13"/>
      <w:r w:rsidRPr="009D60EB">
        <w:t>Competency Field</w:t>
      </w:r>
    </w:p>
    <w:tbl>
      <w:tblPr>
        <w:tblW w:w="0" w:type="auto"/>
        <w:tblLayout w:type="fixed"/>
        <w:tblCellMar>
          <w:left w:w="62" w:type="dxa"/>
          <w:right w:w="62" w:type="dxa"/>
        </w:tblCellMar>
        <w:tblLook w:val="0000"/>
      </w:tblPr>
      <w:tblGrid>
        <w:gridCol w:w="2700"/>
        <w:gridCol w:w="5760"/>
      </w:tblGrid>
      <w:tr w:rsidTr="00344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D60EB">
            <w:pPr>
              <w:pStyle w:val="BodyText"/>
              <w:rPr>
                <w:lang w:val="en-NZ"/>
              </w:rPr>
            </w:pPr>
            <w:r w:rsidRPr="009D60EB">
              <w:rPr>
                <w:rStyle w:val="SpecialBold"/>
              </w:rPr>
              <w:t xml:space="preserve">11) </w:t>
            </w:r>
          </w:p>
        </w:tc>
      </w:tr>
      <w:tr w:rsidTr="00344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60EB" w:rsidP="009D60EB">
            <w:pPr>
              <w:pStyle w:val="BodyText"/>
            </w:pPr>
            <w:r w:rsidRPr="009D60EB">
              <w:t>Maintenance</w:t>
            </w:r>
          </w:p>
        </w:tc>
      </w:tr>
    </w:tbl>
    <w:p w:rsidR="00000000" w:rsidRPr="009D60EB" w:rsidP="009D60EB">
      <w:pPr>
        <w:pStyle w:val="BodyText"/>
      </w:pPr>
    </w:p>
    <w:p w:rsidR="00000000" w:rsidRPr="009D60EB" w:rsidP="009D60EB"/>
    <w:sectPr w:rsidSect="009D6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EF4" w:rsidP="00344E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F4" w:rsidP="009D60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4EF4" w:rsidP="009D60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44EF4" w:rsidP="009D60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rsidRPr="00344EF4" w:rsidP="00344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F4" w:rsidRPr="002D2AF8" w:rsidP="009D60EB">
    <w:pPr>
      <w:pStyle w:val="Header"/>
      <w:framePr w:wrap="around"/>
    </w:pPr>
    <w:r>
      <w:fldChar w:fldCharType="begin"/>
    </w:r>
    <w:r>
      <w:instrText xml:space="preserve"> TITLE   \* MERGEFORMAT </w:instrText>
    </w:r>
    <w:r>
      <w:fldChar w:fldCharType="separate"/>
    </w:r>
    <w:r>
      <w:t>UEPMNT305B Maintain industrial fans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44EF4" w:rsidP="009D6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E3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41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63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0EB"/>
    <w:pPr>
      <w:spacing w:before="360" w:after="60"/>
      <w:outlineLvl w:val="0"/>
    </w:pPr>
    <w:rPr>
      <w:sz w:val="32"/>
    </w:rPr>
  </w:style>
  <w:style w:type="paragraph" w:styleId="Heading2">
    <w:name w:val="heading 2"/>
    <w:basedOn w:val="HeadingBase"/>
    <w:next w:val="BodyText"/>
    <w:link w:val="Heading2Char"/>
    <w:qFormat/>
    <w:rsid w:val="009D60EB"/>
    <w:pPr>
      <w:keepLines/>
      <w:spacing w:before="240" w:after="120"/>
      <w:outlineLvl w:val="1"/>
    </w:pPr>
    <w:rPr>
      <w:sz w:val="28"/>
      <w:szCs w:val="40"/>
    </w:rPr>
  </w:style>
  <w:style w:type="paragraph" w:styleId="Heading3">
    <w:name w:val="heading 3"/>
    <w:basedOn w:val="HeadingBase"/>
    <w:next w:val="BodyText"/>
    <w:link w:val="Heading3Char"/>
    <w:qFormat/>
    <w:rsid w:val="009D60EB"/>
    <w:pPr>
      <w:spacing w:before="180" w:after="120"/>
      <w:outlineLvl w:val="2"/>
    </w:pPr>
    <w:rPr>
      <w:spacing w:val="-10"/>
      <w:kern w:val="32"/>
    </w:rPr>
  </w:style>
  <w:style w:type="paragraph" w:styleId="Heading4">
    <w:name w:val="heading 4"/>
    <w:basedOn w:val="HeadingBase"/>
    <w:next w:val="BodyText"/>
    <w:link w:val="Heading4Char"/>
    <w:qFormat/>
    <w:rsid w:val="009D60EB"/>
    <w:pPr>
      <w:spacing w:before="160" w:after="120"/>
      <w:outlineLvl w:val="3"/>
    </w:pPr>
    <w:rPr>
      <w:sz w:val="22"/>
    </w:rPr>
  </w:style>
  <w:style w:type="paragraph" w:styleId="Heading5">
    <w:name w:val="heading 5"/>
    <w:basedOn w:val="HeadingBase"/>
    <w:next w:val="Normal"/>
    <w:link w:val="Heading5Char"/>
    <w:qFormat/>
    <w:rsid w:val="009D60EB"/>
    <w:pPr>
      <w:spacing w:before="80"/>
      <w:outlineLvl w:val="4"/>
    </w:pPr>
    <w:rPr>
      <w:color w:val="918585"/>
      <w:sz w:val="20"/>
    </w:rPr>
  </w:style>
  <w:style w:type="paragraph" w:styleId="Heading6">
    <w:name w:val="heading 6"/>
    <w:basedOn w:val="HeadingBase"/>
    <w:next w:val="Normal"/>
    <w:link w:val="Heading6Char"/>
    <w:qFormat/>
    <w:rsid w:val="009D60EB"/>
    <w:pPr>
      <w:spacing w:before="60"/>
      <w:outlineLvl w:val="5"/>
    </w:pPr>
    <w:rPr>
      <w:color w:val="918585"/>
      <w:sz w:val="20"/>
    </w:rPr>
  </w:style>
  <w:style w:type="paragraph" w:styleId="Heading7">
    <w:name w:val="heading 7"/>
    <w:basedOn w:val="Normal"/>
    <w:next w:val="Normal"/>
    <w:link w:val="Heading7Char"/>
    <w:qFormat/>
    <w:rsid w:val="009D60EB"/>
    <w:pPr>
      <w:ind w:left="720"/>
      <w:outlineLvl w:val="6"/>
    </w:pPr>
    <w:rPr>
      <w:i/>
    </w:rPr>
  </w:style>
  <w:style w:type="paragraph" w:styleId="Heading8">
    <w:name w:val="heading 8"/>
    <w:basedOn w:val="Normal"/>
    <w:next w:val="Normal"/>
    <w:link w:val="Heading8Char"/>
    <w:qFormat/>
    <w:rsid w:val="009D60EB"/>
    <w:pPr>
      <w:ind w:left="720"/>
      <w:outlineLvl w:val="7"/>
    </w:pPr>
    <w:rPr>
      <w:i/>
    </w:rPr>
  </w:style>
  <w:style w:type="paragraph" w:styleId="Heading9">
    <w:name w:val="heading 9"/>
    <w:basedOn w:val="Normal"/>
    <w:next w:val="Normal"/>
    <w:link w:val="Heading9Char"/>
    <w:qFormat/>
    <w:rsid w:val="009D60EB"/>
    <w:pPr>
      <w:ind w:left="720"/>
      <w:outlineLvl w:val="8"/>
    </w:pPr>
    <w:rPr>
      <w:i/>
    </w:rPr>
  </w:style>
  <w:style w:type="character" w:default="1" w:styleId="DefaultParagraphFont">
    <w:name w:val="Default Paragraph Font"/>
    <w:uiPriority w:val="1"/>
    <w:unhideWhenUsed/>
    <w:rsid w:val="009D6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0EB"/>
  </w:style>
  <w:style w:type="character" w:customStyle="1" w:styleId="Heading1Char">
    <w:name w:val="Heading 1 Char"/>
    <w:basedOn w:val="DefaultParagraphFont"/>
    <w:link w:val="Heading1"/>
    <w:rsid w:val="009D60EB"/>
    <w:rPr>
      <w:rFonts w:ascii="Times New Roman" w:eastAsia="Times New Roman" w:hAnsi="Times New Roman" w:cs="Times New Roman"/>
      <w:b/>
      <w:sz w:val="32"/>
      <w:szCs w:val="20"/>
      <w:lang w:eastAsia="en-US"/>
    </w:rPr>
  </w:style>
  <w:style w:type="paragraph" w:styleId="BodyText">
    <w:name w:val="Body Text"/>
    <w:basedOn w:val="Normal"/>
    <w:link w:val="BodyTextChar"/>
    <w:rsid w:val="009D6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0EB"/>
    <w:rPr>
      <w:rFonts w:ascii="Times New Roman" w:eastAsia="Times New Roman" w:hAnsi="Times New Roman" w:cs="Times New Roman"/>
      <w:sz w:val="24"/>
      <w:lang w:eastAsia="en-US"/>
    </w:rPr>
  </w:style>
  <w:style w:type="paragraph" w:styleId="Footer">
    <w:name w:val="footer"/>
    <w:basedOn w:val="Normal"/>
    <w:link w:val="FooterChar"/>
    <w:rsid w:val="009D6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0EB"/>
    <w:rPr>
      <w:rFonts w:ascii="Times New Roman" w:eastAsia="Times New Roman" w:hAnsi="Times New Roman" w:cs="Times New Roman"/>
      <w:sz w:val="16"/>
      <w:lang w:eastAsia="en-US"/>
    </w:rPr>
  </w:style>
  <w:style w:type="paragraph" w:styleId="ListBullet">
    <w:name w:val="List Bullet"/>
    <w:basedOn w:val="List"/>
    <w:rsid w:val="009D60EB"/>
    <w:pPr>
      <w:numPr>
        <w:numId w:val="13"/>
      </w:numPr>
      <w:tabs>
        <w:tab w:val="clear" w:pos="340"/>
      </w:tabs>
      <w:spacing w:before="40" w:after="40"/>
    </w:pPr>
  </w:style>
  <w:style w:type="character" w:customStyle="1" w:styleId="SpecialBold">
    <w:name w:val="Special Bold"/>
    <w:basedOn w:val="DefaultParagraphFont"/>
    <w:rsid w:val="009D60EB"/>
    <w:rPr>
      <w:b/>
      <w:spacing w:val="0"/>
    </w:rPr>
  </w:style>
  <w:style w:type="paragraph" w:styleId="ListBullet2">
    <w:name w:val="List Bullet 2"/>
    <w:basedOn w:val="List2"/>
    <w:rsid w:val="009D60EB"/>
    <w:pPr>
      <w:numPr>
        <w:numId w:val="14"/>
      </w:numPr>
      <w:tabs>
        <w:tab w:val="clear" w:pos="680"/>
      </w:tabs>
    </w:pPr>
  </w:style>
  <w:style w:type="paragraph" w:customStyle="1" w:styleId="SuperHeading">
    <w:name w:val="SuperHeading"/>
    <w:basedOn w:val="Normal"/>
    <w:rsid w:val="009D60EB"/>
    <w:pPr>
      <w:spacing w:before="240" w:after="120"/>
      <w:outlineLvl w:val="0"/>
    </w:pPr>
    <w:rPr>
      <w:rFonts w:ascii="Times New Roman" w:hAnsi="Times New Roman"/>
      <w:b/>
      <w:sz w:val="28"/>
    </w:rPr>
  </w:style>
  <w:style w:type="paragraph" w:customStyle="1" w:styleId="AllowPageBreak">
    <w:name w:val="AllowPageBreak"/>
    <w:rsid w:val="009D6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0EB"/>
    <w:rPr>
      <w:rFonts w:ascii="Courier New" w:eastAsia="Times New Roman" w:hAnsi="Courier New" w:cs="Times New Roman"/>
      <w:i/>
      <w:szCs w:val="20"/>
      <w:lang w:eastAsia="en-US"/>
    </w:rPr>
  </w:style>
  <w:style w:type="paragraph" w:customStyle="1" w:styleId="HeadingBase">
    <w:name w:val="Heading Base"/>
    <w:rsid w:val="009D6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0EB"/>
    <w:pPr>
      <w:tabs>
        <w:tab w:val="right" w:leader="dot" w:pos="9072"/>
      </w:tabs>
      <w:ind w:left="567"/>
    </w:pPr>
    <w:rPr>
      <w:szCs w:val="22"/>
    </w:rPr>
  </w:style>
  <w:style w:type="paragraph" w:customStyle="1" w:styleId="TOCBase">
    <w:name w:val="TOC Base"/>
    <w:rsid w:val="009D6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0EB"/>
    <w:pPr>
      <w:tabs>
        <w:tab w:val="right" w:leader="dot" w:pos="9072"/>
      </w:tabs>
      <w:spacing w:before="40" w:after="40"/>
      <w:ind w:left="284"/>
    </w:pPr>
    <w:rPr>
      <w:rFonts w:ascii="Times New Roman" w:hAnsi="Times New Roman"/>
    </w:rPr>
  </w:style>
  <w:style w:type="paragraph" w:styleId="TOC1">
    <w:name w:val="toc 1"/>
    <w:basedOn w:val="TOCBase"/>
    <w:next w:val="Normal"/>
    <w:rsid w:val="009D60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0EB"/>
    <w:pPr>
      <w:spacing w:before="5040"/>
      <w:jc w:val="center"/>
    </w:pPr>
    <w:rPr>
      <w:sz w:val="48"/>
      <w:szCs w:val="72"/>
      <w:lang w:val="en-US"/>
    </w:rPr>
  </w:style>
  <w:style w:type="character" w:customStyle="1" w:styleId="TitleChar">
    <w:name w:val="Title Char"/>
    <w:basedOn w:val="DefaultParagraphFont"/>
    <w:link w:val="Title"/>
    <w:rsid w:val="009D6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0EB"/>
    <w:pPr>
      <w:tabs>
        <w:tab w:val="left" w:pos="3600"/>
        <w:tab w:val="left" w:pos="3958"/>
      </w:tabs>
    </w:pPr>
  </w:style>
  <w:style w:type="paragraph" w:styleId="List">
    <w:name w:val="List"/>
    <w:basedOn w:val="BodyText"/>
    <w:next w:val="BodyText"/>
    <w:rsid w:val="009D60EB"/>
    <w:pPr>
      <w:tabs>
        <w:tab w:val="left" w:pos="340"/>
      </w:tabs>
      <w:spacing w:before="60" w:after="60"/>
      <w:ind w:left="340" w:hanging="340"/>
    </w:pPr>
  </w:style>
  <w:style w:type="paragraph" w:customStyle="1" w:styleId="Note">
    <w:name w:val="Note"/>
    <w:basedOn w:val="BodyText"/>
    <w:rsid w:val="009D6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0EB"/>
    <w:pPr>
      <w:framePr w:wrap="auto" w:hAnchor="text" w:y="6049"/>
    </w:pPr>
    <w:rPr>
      <w:color w:val="000000"/>
      <w:sz w:val="40"/>
    </w:rPr>
  </w:style>
  <w:style w:type="paragraph" w:customStyle="1" w:styleId="TOCTitle">
    <w:name w:val="TOCTitle"/>
    <w:basedOn w:val="Heading1"/>
    <w:rsid w:val="009D60EB"/>
    <w:pPr>
      <w:spacing w:after="240"/>
      <w:jc w:val="center"/>
      <w:outlineLvl w:val="9"/>
    </w:pPr>
    <w:rPr>
      <w:caps/>
    </w:rPr>
  </w:style>
  <w:style w:type="paragraph" w:customStyle="1" w:styleId="Version">
    <w:name w:val="Version"/>
    <w:rsid w:val="009D6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0EB"/>
    <w:pPr>
      <w:keepNext w:val="0"/>
      <w:tabs>
        <w:tab w:val="right" w:pos="4176"/>
      </w:tabs>
      <w:ind w:left="198" w:hanging="198"/>
    </w:pPr>
    <w:rPr>
      <w:rFonts w:ascii="Garamond" w:hAnsi="Garamond"/>
    </w:rPr>
  </w:style>
  <w:style w:type="paragraph" w:styleId="IndexHeading">
    <w:name w:val="index heading"/>
    <w:basedOn w:val="Normal"/>
    <w:next w:val="Index1"/>
    <w:semiHidden/>
    <w:rsid w:val="009D60EB"/>
    <w:pPr>
      <w:spacing w:before="120" w:after="120"/>
    </w:pPr>
    <w:rPr>
      <w:rFonts w:ascii="Arial" w:hAnsi="Arial"/>
      <w:b/>
      <w:color w:val="918585"/>
      <w:sz w:val="24"/>
    </w:rPr>
  </w:style>
  <w:style w:type="paragraph" w:styleId="Header">
    <w:name w:val="header"/>
    <w:basedOn w:val="Normal"/>
    <w:link w:val="HeaderChar"/>
    <w:rsid w:val="009D6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0EB"/>
    <w:rPr>
      <w:rFonts w:ascii="Times New Roman" w:eastAsia="Times New Roman" w:hAnsi="Times New Roman" w:cs="Times New Roman"/>
      <w:sz w:val="16"/>
      <w:szCs w:val="20"/>
      <w:lang w:val="en-GB" w:eastAsia="en-US"/>
    </w:rPr>
  </w:style>
  <w:style w:type="paragraph" w:customStyle="1" w:styleId="Chapter">
    <w:name w:val="Chapter"/>
    <w:basedOn w:val="Normal"/>
    <w:rsid w:val="009D60EB"/>
    <w:pPr>
      <w:spacing w:before="240"/>
    </w:pPr>
    <w:rPr>
      <w:rFonts w:ascii="Times New Roman" w:hAnsi="Times New Roman"/>
      <w:smallCaps/>
      <w:spacing w:val="80"/>
      <w:sz w:val="28"/>
    </w:rPr>
  </w:style>
  <w:style w:type="paragraph" w:customStyle="1" w:styleId="InChapter">
    <w:name w:val="InChapter"/>
    <w:basedOn w:val="Heading3"/>
    <w:rsid w:val="009D60EB"/>
    <w:pPr>
      <w:spacing w:after="240"/>
      <w:outlineLvl w:val="9"/>
    </w:pPr>
    <w:rPr>
      <w:noProof/>
    </w:rPr>
  </w:style>
  <w:style w:type="paragraph" w:styleId="Index2">
    <w:name w:val="index 2"/>
    <w:basedOn w:val="Normal"/>
    <w:next w:val="Normal"/>
    <w:semiHidden/>
    <w:rsid w:val="009D60EB"/>
    <w:pPr>
      <w:tabs>
        <w:tab w:val="right" w:pos="4176"/>
      </w:tabs>
      <w:ind w:left="568" w:hanging="284"/>
    </w:pPr>
    <w:rPr>
      <w:rFonts w:ascii="Garamond" w:hAnsi="Garamond"/>
    </w:rPr>
  </w:style>
  <w:style w:type="paragraph" w:customStyle="1" w:styleId="Byline">
    <w:name w:val="Byline"/>
    <w:rsid w:val="009D6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0EB"/>
    <w:pPr>
      <w:tabs>
        <w:tab w:val="clear" w:pos="3600"/>
        <w:tab w:val="clear" w:pos="3958"/>
      </w:tabs>
      <w:jc w:val="right"/>
    </w:pPr>
  </w:style>
  <w:style w:type="character" w:styleId="Emphasis">
    <w:name w:val="Emphasis"/>
    <w:basedOn w:val="DefaultParagraphFont"/>
    <w:qFormat/>
    <w:rsid w:val="009D60EB"/>
    <w:rPr>
      <w:i/>
    </w:rPr>
  </w:style>
  <w:style w:type="paragraph" w:styleId="Caption">
    <w:name w:val="caption"/>
    <w:basedOn w:val="BodyText"/>
    <w:next w:val="Normal"/>
    <w:qFormat/>
    <w:rsid w:val="009D60EB"/>
    <w:pPr>
      <w:framePr w:w="2268" w:hSpace="181" w:vSpace="181" w:wrap="around" w:vAnchor="text" w:hAnchor="page" w:x="1135" w:y="285" w:anchorLock="1"/>
    </w:pPr>
    <w:rPr>
      <w:i/>
    </w:rPr>
  </w:style>
  <w:style w:type="paragraph" w:customStyle="1" w:styleId="MiniTOCTitle">
    <w:name w:val="MiniTOCTitle"/>
    <w:basedOn w:val="Heading4"/>
    <w:rsid w:val="009D60EB"/>
    <w:pPr>
      <w:spacing w:before="240"/>
      <w:outlineLvl w:val="9"/>
    </w:pPr>
    <w:rPr>
      <w:noProof/>
      <w:sz w:val="24"/>
    </w:rPr>
  </w:style>
  <w:style w:type="paragraph" w:customStyle="1" w:styleId="MiniTOCItem">
    <w:name w:val="MiniTOCItem"/>
    <w:basedOn w:val="ListBullet"/>
    <w:rsid w:val="009D60EB"/>
    <w:pPr>
      <w:numPr>
        <w:numId w:val="0"/>
      </w:numPr>
      <w:tabs>
        <w:tab w:val="right" w:leader="dot" w:pos="6521"/>
      </w:tabs>
      <w:spacing w:before="0" w:after="0"/>
    </w:pPr>
  </w:style>
  <w:style w:type="paragraph" w:customStyle="1" w:styleId="TOFTitle">
    <w:name w:val="TOFTitle"/>
    <w:basedOn w:val="TOCTitle"/>
    <w:rsid w:val="009D60EB"/>
  </w:style>
  <w:style w:type="paragraph" w:styleId="TableofFigures">
    <w:name w:val="table of figures"/>
    <w:basedOn w:val="Normal"/>
    <w:next w:val="Normal"/>
    <w:semiHidden/>
    <w:rsid w:val="009D60EB"/>
    <w:pPr>
      <w:tabs>
        <w:tab w:val="right" w:leader="dot" w:pos="9072"/>
      </w:tabs>
      <w:ind w:left="970" w:hanging="403"/>
    </w:pPr>
    <w:rPr>
      <w:rFonts w:ascii="Times New Roman" w:hAnsi="Times New Roman"/>
      <w:b/>
    </w:rPr>
  </w:style>
  <w:style w:type="paragraph" w:styleId="ListNumber">
    <w:name w:val="List Number"/>
    <w:basedOn w:val="List"/>
    <w:rsid w:val="009D60EB"/>
    <w:pPr>
      <w:numPr>
        <w:numId w:val="11"/>
      </w:numPr>
    </w:pPr>
  </w:style>
  <w:style w:type="character" w:customStyle="1" w:styleId="WingdingSymbols">
    <w:name w:val="Wingding Symbols"/>
    <w:rsid w:val="009D60EB"/>
    <w:rPr>
      <w:rFonts w:ascii="Wingdings" w:hAnsi="Wingdings"/>
    </w:rPr>
  </w:style>
  <w:style w:type="paragraph" w:customStyle="1" w:styleId="TableHeading">
    <w:name w:val="Table Heading"/>
    <w:basedOn w:val="HeadingBase"/>
    <w:rsid w:val="009D60EB"/>
    <w:pPr>
      <w:keepLines/>
      <w:pBdr>
        <w:bottom w:val="single" w:sz="6" w:space="1" w:color="918585"/>
      </w:pBdr>
      <w:spacing w:before="240"/>
    </w:pPr>
  </w:style>
  <w:style w:type="character" w:customStyle="1" w:styleId="HotSpot">
    <w:name w:val="HotSpot"/>
    <w:rsid w:val="009D60EB"/>
    <w:rPr>
      <w:color w:val="0033CC"/>
      <w:u w:val="none"/>
    </w:rPr>
  </w:style>
  <w:style w:type="paragraph" w:customStyle="1" w:styleId="BodyTextRight">
    <w:name w:val="Body Text Right"/>
    <w:basedOn w:val="BodyText"/>
    <w:rsid w:val="009D60EB"/>
    <w:pPr>
      <w:spacing w:before="0" w:after="0"/>
      <w:jc w:val="right"/>
    </w:pPr>
  </w:style>
  <w:style w:type="paragraph" w:styleId="Index3">
    <w:name w:val="index 3"/>
    <w:basedOn w:val="ListNumber2"/>
    <w:next w:val="Normal"/>
    <w:semiHidden/>
    <w:rsid w:val="009D60EB"/>
    <w:pPr>
      <w:numPr>
        <w:numId w:val="0"/>
      </w:numPr>
      <w:tabs>
        <w:tab w:val="right" w:leader="dot" w:pos="4176"/>
      </w:tabs>
    </w:pPr>
  </w:style>
  <w:style w:type="paragraph" w:styleId="ListNumber2">
    <w:name w:val="List Number 2"/>
    <w:basedOn w:val="List2"/>
    <w:rsid w:val="009D60EB"/>
    <w:pPr>
      <w:numPr>
        <w:numId w:val="10"/>
      </w:numPr>
      <w:tabs>
        <w:tab w:val="clear" w:pos="1060"/>
      </w:tabs>
    </w:pPr>
  </w:style>
  <w:style w:type="paragraph" w:customStyle="1" w:styleId="MarginNote">
    <w:name w:val="Margin Note"/>
    <w:basedOn w:val="BodyText"/>
    <w:rsid w:val="009D6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0EB"/>
    <w:rPr>
      <w:sz w:val="32"/>
    </w:rPr>
  </w:style>
  <w:style w:type="paragraph" w:customStyle="1" w:styleId="HeadingProcedure">
    <w:name w:val="Heading Procedure"/>
    <w:basedOn w:val="HeadingBase"/>
    <w:next w:val="Normal"/>
    <w:rsid w:val="009D60EB"/>
    <w:pPr>
      <w:tabs>
        <w:tab w:val="left" w:pos="0"/>
      </w:tabs>
      <w:spacing w:before="120" w:after="60"/>
    </w:pPr>
    <w:rPr>
      <w:i/>
      <w:color w:val="918585"/>
      <w:sz w:val="22"/>
    </w:rPr>
  </w:style>
  <w:style w:type="paragraph" w:customStyle="1" w:styleId="TableBodyText">
    <w:name w:val="Table Body Text"/>
    <w:basedOn w:val="BodyText"/>
    <w:rsid w:val="009D60EB"/>
    <w:pPr>
      <w:spacing w:before="60" w:after="60"/>
    </w:pPr>
  </w:style>
  <w:style w:type="paragraph" w:styleId="ListContinue">
    <w:name w:val="List Continue"/>
    <w:basedOn w:val="List"/>
    <w:rsid w:val="009D60EB"/>
    <w:pPr>
      <w:ind w:firstLine="0"/>
    </w:pPr>
  </w:style>
  <w:style w:type="paragraph" w:customStyle="1" w:styleId="ListNote">
    <w:name w:val="List Note"/>
    <w:basedOn w:val="List"/>
    <w:rsid w:val="009D60EB"/>
    <w:pPr>
      <w:pBdr>
        <w:top w:val="single" w:sz="6" w:space="2" w:color="918585"/>
        <w:bottom w:val="single" w:sz="6" w:space="2" w:color="918585"/>
      </w:pBdr>
      <w:tabs>
        <w:tab w:val="left" w:pos="1021"/>
      </w:tabs>
      <w:ind w:firstLine="0"/>
    </w:pPr>
  </w:style>
  <w:style w:type="paragraph" w:customStyle="1" w:styleId="Warning">
    <w:name w:val="Warning"/>
    <w:basedOn w:val="BodyText"/>
    <w:rsid w:val="009D60EB"/>
    <w:pPr>
      <w:shd w:val="clear" w:color="auto" w:fill="D9D9D9"/>
      <w:tabs>
        <w:tab w:val="left" w:pos="992"/>
      </w:tabs>
      <w:ind w:left="119" w:right="119"/>
    </w:pPr>
    <w:rPr>
      <w:sz w:val="20"/>
    </w:rPr>
  </w:style>
  <w:style w:type="paragraph" w:customStyle="1" w:styleId="MarginIcons">
    <w:name w:val="Margin Icons"/>
    <w:basedOn w:val="BodyText"/>
    <w:rsid w:val="009D6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0EB"/>
    <w:rPr>
      <w:rFonts w:ascii="Courier New" w:hAnsi="Courier New"/>
    </w:rPr>
  </w:style>
  <w:style w:type="paragraph" w:customStyle="1" w:styleId="NoteBullet">
    <w:name w:val="Note Bullet"/>
    <w:basedOn w:val="Note"/>
    <w:rsid w:val="009D60EB"/>
    <w:pPr>
      <w:tabs>
        <w:tab w:val="clear" w:pos="680"/>
      </w:tabs>
      <w:spacing w:before="60" w:after="60"/>
    </w:pPr>
  </w:style>
  <w:style w:type="paragraph" w:customStyle="1" w:styleId="SubHeading2">
    <w:name w:val="SubHeading2"/>
    <w:basedOn w:val="HeadingBase"/>
    <w:rsid w:val="009D60EB"/>
    <w:pPr>
      <w:spacing w:before="240" w:after="60"/>
    </w:pPr>
    <w:rPr>
      <w:sz w:val="20"/>
    </w:rPr>
  </w:style>
  <w:style w:type="paragraph" w:customStyle="1" w:styleId="SubHeading1">
    <w:name w:val="SubHeading1"/>
    <w:basedOn w:val="HeadingBase"/>
    <w:rsid w:val="009D60EB"/>
    <w:pPr>
      <w:spacing w:before="240" w:after="60"/>
    </w:pPr>
    <w:rPr>
      <w:color w:val="918585"/>
      <w:sz w:val="22"/>
    </w:rPr>
  </w:style>
  <w:style w:type="paragraph" w:customStyle="1" w:styleId="SideHeading">
    <w:name w:val="Side Heading"/>
    <w:basedOn w:val="HeadingBase"/>
    <w:rsid w:val="009D6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0EB"/>
    <w:pPr>
      <w:numPr>
        <w:numId w:val="12"/>
      </w:numPr>
    </w:pPr>
  </w:style>
  <w:style w:type="paragraph" w:styleId="PlainText">
    <w:name w:val="Plain Text"/>
    <w:basedOn w:val="Normal"/>
    <w:link w:val="PlainTextChar"/>
    <w:rsid w:val="009D60EB"/>
    <w:rPr>
      <w:sz w:val="20"/>
    </w:rPr>
  </w:style>
  <w:style w:type="character" w:customStyle="1" w:styleId="PlainTextChar">
    <w:name w:val="Plain Text Char"/>
    <w:basedOn w:val="DefaultParagraphFont"/>
    <w:link w:val="PlainText"/>
    <w:rsid w:val="009D60EB"/>
    <w:rPr>
      <w:rFonts w:ascii="Courier New" w:eastAsia="Times New Roman" w:hAnsi="Courier New" w:cs="Times New Roman"/>
      <w:sz w:val="20"/>
      <w:szCs w:val="20"/>
      <w:lang w:eastAsia="en-US"/>
    </w:rPr>
  </w:style>
  <w:style w:type="character" w:customStyle="1" w:styleId="MenuOption">
    <w:name w:val="Menu Option"/>
    <w:basedOn w:val="DefaultParagraphFont"/>
    <w:rsid w:val="009D60EB"/>
    <w:rPr>
      <w:b/>
      <w:smallCaps/>
    </w:rPr>
  </w:style>
  <w:style w:type="paragraph" w:customStyle="1" w:styleId="TableListNumber">
    <w:name w:val="Table List Number"/>
    <w:basedOn w:val="ListNumber"/>
    <w:rsid w:val="009D60EB"/>
    <w:pPr>
      <w:numPr>
        <w:numId w:val="0"/>
      </w:numPr>
    </w:pPr>
  </w:style>
  <w:style w:type="paragraph" w:styleId="TOC4">
    <w:name w:val="toc 4"/>
    <w:basedOn w:val="TOCBase"/>
    <w:next w:val="Normal"/>
    <w:semiHidden/>
    <w:rsid w:val="009D60EB"/>
    <w:pPr>
      <w:tabs>
        <w:tab w:val="right" w:leader="dot" w:pos="9071"/>
      </w:tabs>
      <w:ind w:left="1701"/>
    </w:pPr>
  </w:style>
  <w:style w:type="paragraph" w:customStyle="1" w:styleId="ListAlpha">
    <w:name w:val="List Alpha"/>
    <w:basedOn w:val="List"/>
    <w:rsid w:val="009D60EB"/>
    <w:pPr>
      <w:numPr>
        <w:numId w:val="9"/>
      </w:numPr>
    </w:pPr>
  </w:style>
  <w:style w:type="paragraph" w:customStyle="1" w:styleId="ListAlpha2">
    <w:name w:val="List Alpha 2"/>
    <w:basedOn w:val="List2"/>
    <w:rsid w:val="009D60EB"/>
    <w:pPr>
      <w:numPr>
        <w:numId w:val="8"/>
      </w:numPr>
    </w:pPr>
  </w:style>
  <w:style w:type="paragraph" w:styleId="List2">
    <w:name w:val="List 2"/>
    <w:basedOn w:val="BodyText"/>
    <w:rsid w:val="009D60EB"/>
    <w:pPr>
      <w:tabs>
        <w:tab w:val="left" w:pos="680"/>
      </w:tabs>
      <w:spacing w:before="60" w:after="60"/>
      <w:ind w:left="680" w:hanging="340"/>
    </w:pPr>
  </w:style>
  <w:style w:type="paragraph" w:styleId="List3">
    <w:name w:val="List 3"/>
    <w:basedOn w:val="BodyText"/>
    <w:rsid w:val="009D60EB"/>
    <w:pPr>
      <w:tabs>
        <w:tab w:val="left" w:pos="1021"/>
      </w:tabs>
      <w:spacing w:before="60" w:after="60"/>
      <w:ind w:left="1020" w:hanging="340"/>
    </w:pPr>
  </w:style>
  <w:style w:type="paragraph" w:styleId="List4">
    <w:name w:val="List 4"/>
    <w:basedOn w:val="BodyText"/>
    <w:rsid w:val="009D60EB"/>
    <w:pPr>
      <w:tabs>
        <w:tab w:val="left" w:pos="1361"/>
      </w:tabs>
      <w:spacing w:before="60" w:after="60"/>
      <w:ind w:left="1361" w:hanging="340"/>
    </w:pPr>
  </w:style>
  <w:style w:type="paragraph" w:styleId="List5">
    <w:name w:val="List 5"/>
    <w:basedOn w:val="BodyText"/>
    <w:rsid w:val="009D60EB"/>
    <w:pPr>
      <w:tabs>
        <w:tab w:val="left" w:pos="1701"/>
      </w:tabs>
      <w:spacing w:before="60" w:after="60"/>
      <w:ind w:left="1701" w:hanging="340"/>
    </w:pPr>
  </w:style>
  <w:style w:type="paragraph" w:styleId="ListBullet3">
    <w:name w:val="List Bullet 3"/>
    <w:basedOn w:val="List3"/>
    <w:rsid w:val="009D60EB"/>
    <w:pPr>
      <w:numPr>
        <w:numId w:val="15"/>
      </w:numPr>
      <w:tabs>
        <w:tab w:val="clear" w:pos="1021"/>
      </w:tabs>
      <w:ind w:left="1037" w:hanging="357"/>
    </w:pPr>
  </w:style>
  <w:style w:type="paragraph" w:styleId="ListBullet4">
    <w:name w:val="List Bullet 4"/>
    <w:basedOn w:val="List4"/>
    <w:rsid w:val="009D60EB"/>
    <w:pPr>
      <w:numPr>
        <w:numId w:val="3"/>
      </w:numPr>
    </w:pPr>
  </w:style>
  <w:style w:type="paragraph" w:styleId="ListBullet5">
    <w:name w:val="List Bullet 5"/>
    <w:basedOn w:val="List5"/>
    <w:rsid w:val="009D60EB"/>
    <w:pPr>
      <w:numPr>
        <w:numId w:val="4"/>
      </w:numPr>
    </w:pPr>
  </w:style>
  <w:style w:type="paragraph" w:styleId="ListContinue2">
    <w:name w:val="List Continue 2"/>
    <w:basedOn w:val="List2"/>
    <w:rsid w:val="009D60EB"/>
    <w:pPr>
      <w:ind w:firstLine="0"/>
    </w:pPr>
  </w:style>
  <w:style w:type="paragraph" w:styleId="ListContinue3">
    <w:name w:val="List Continue 3"/>
    <w:basedOn w:val="List3"/>
    <w:rsid w:val="009D60EB"/>
    <w:pPr>
      <w:ind w:left="1021" w:firstLine="0"/>
    </w:pPr>
  </w:style>
  <w:style w:type="paragraph" w:styleId="ListContinue4">
    <w:name w:val="List Continue 4"/>
    <w:basedOn w:val="List4"/>
    <w:rsid w:val="009D60EB"/>
    <w:pPr>
      <w:ind w:firstLine="0"/>
    </w:pPr>
  </w:style>
  <w:style w:type="paragraph" w:styleId="ListContinue5">
    <w:name w:val="List Continue 5"/>
    <w:basedOn w:val="List5"/>
    <w:rsid w:val="009D60EB"/>
    <w:pPr>
      <w:ind w:firstLine="0"/>
    </w:pPr>
  </w:style>
  <w:style w:type="paragraph" w:styleId="ListNumber3">
    <w:name w:val="List Number 3"/>
    <w:basedOn w:val="List3"/>
    <w:rsid w:val="009D60EB"/>
    <w:pPr>
      <w:numPr>
        <w:numId w:val="5"/>
      </w:numPr>
    </w:pPr>
  </w:style>
  <w:style w:type="paragraph" w:styleId="ListNumber4">
    <w:name w:val="List Number 4"/>
    <w:basedOn w:val="List4"/>
    <w:rsid w:val="009D60EB"/>
    <w:pPr>
      <w:numPr>
        <w:numId w:val="6"/>
      </w:numPr>
    </w:pPr>
  </w:style>
  <w:style w:type="paragraph" w:styleId="ListNumber5">
    <w:name w:val="List Number 5"/>
    <w:basedOn w:val="List5"/>
    <w:rsid w:val="009D60EB"/>
    <w:pPr>
      <w:numPr>
        <w:numId w:val="7"/>
      </w:numPr>
    </w:pPr>
  </w:style>
  <w:style w:type="paragraph" w:styleId="BlockText">
    <w:name w:val="Block Text"/>
    <w:basedOn w:val="Normal"/>
    <w:rsid w:val="009D60EB"/>
    <w:pPr>
      <w:spacing w:after="120"/>
      <w:ind w:left="1440" w:right="1440"/>
    </w:pPr>
  </w:style>
  <w:style w:type="character" w:customStyle="1" w:styleId="Subscript">
    <w:name w:val="Subscript"/>
    <w:basedOn w:val="DefaultParagraphFont"/>
    <w:rsid w:val="009D60EB"/>
    <w:rPr>
      <w:sz w:val="16"/>
      <w:vertAlign w:val="subscript"/>
    </w:rPr>
  </w:style>
  <w:style w:type="character" w:customStyle="1" w:styleId="Superscript">
    <w:name w:val="Superscript"/>
    <w:basedOn w:val="DefaultParagraphFont"/>
    <w:rsid w:val="009D60EB"/>
    <w:rPr>
      <w:sz w:val="16"/>
      <w:vertAlign w:val="superscript"/>
    </w:rPr>
  </w:style>
  <w:style w:type="character" w:customStyle="1" w:styleId="Symbols">
    <w:name w:val="Symbols"/>
    <w:basedOn w:val="DefaultParagraphFont"/>
    <w:rsid w:val="009D60EB"/>
    <w:rPr>
      <w:rFonts w:ascii="Symbol" w:hAnsi="Symbol"/>
    </w:rPr>
  </w:style>
  <w:style w:type="character" w:customStyle="1" w:styleId="MenuOptions">
    <w:name w:val="Menu Options"/>
    <w:basedOn w:val="DefaultParagraphFont"/>
    <w:rsid w:val="009D60EB"/>
    <w:rPr>
      <w:rFonts w:ascii="Arial Narrow" w:hAnsi="Arial Narrow"/>
      <w:smallCaps/>
    </w:rPr>
  </w:style>
  <w:style w:type="character" w:customStyle="1" w:styleId="Buttons">
    <w:name w:val="Buttons"/>
    <w:basedOn w:val="DefaultParagraphFont"/>
    <w:rsid w:val="009D60EB"/>
    <w:rPr>
      <w:b/>
    </w:rPr>
  </w:style>
  <w:style w:type="character" w:customStyle="1" w:styleId="Underlined">
    <w:name w:val="Underlined"/>
    <w:basedOn w:val="DefaultParagraphFont"/>
    <w:rsid w:val="009D60EB"/>
    <w:rPr>
      <w:u w:val="single"/>
    </w:rPr>
  </w:style>
  <w:style w:type="paragraph" w:customStyle="1" w:styleId="TableBodyTextRight">
    <w:name w:val="Table Body Text Right"/>
    <w:basedOn w:val="TableBodyText"/>
    <w:rsid w:val="009D60EB"/>
    <w:pPr>
      <w:widowControl w:val="0"/>
      <w:autoSpaceDE w:val="0"/>
      <w:autoSpaceDN w:val="0"/>
      <w:adjustRightInd w:val="0"/>
      <w:jc w:val="right"/>
    </w:pPr>
    <w:rPr>
      <w:rFonts w:cs="Arial"/>
      <w:szCs w:val="18"/>
    </w:rPr>
  </w:style>
  <w:style w:type="paragraph" w:customStyle="1" w:styleId="CopyrightText">
    <w:name w:val="Copyright Text"/>
    <w:basedOn w:val="BodyText"/>
    <w:rsid w:val="009D60EB"/>
    <w:rPr>
      <w:sz w:val="18"/>
    </w:rPr>
  </w:style>
  <w:style w:type="paragraph" w:customStyle="1" w:styleId="BodySmallRight">
    <w:name w:val="Body Small Right"/>
    <w:basedOn w:val="BodyTextRight"/>
    <w:rsid w:val="009D60EB"/>
    <w:rPr>
      <w:sz w:val="18"/>
      <w:szCs w:val="18"/>
    </w:rPr>
  </w:style>
  <w:style w:type="paragraph" w:customStyle="1" w:styleId="MarginEdition">
    <w:name w:val="Margin Edition"/>
    <w:basedOn w:val="MarginNote"/>
    <w:rsid w:val="009D60EB"/>
    <w:pPr>
      <w:spacing w:before="0" w:after="0"/>
    </w:pPr>
    <w:rPr>
      <w:rFonts w:ascii="Times New Roman" w:hAnsi="Times New Roman"/>
      <w:color w:val="999999"/>
    </w:rPr>
  </w:style>
  <w:style w:type="paragraph" w:customStyle="1" w:styleId="Spacer">
    <w:name w:val="Spacer"/>
    <w:basedOn w:val="Normal"/>
    <w:rsid w:val="009D60EB"/>
    <w:rPr>
      <w:sz w:val="2"/>
      <w:szCs w:val="2"/>
    </w:rPr>
  </w:style>
  <w:style w:type="character" w:customStyle="1" w:styleId="Small">
    <w:name w:val="Small"/>
    <w:basedOn w:val="DefaultParagraphFont"/>
    <w:rsid w:val="009D60EB"/>
    <w:rPr>
      <w:sz w:val="16"/>
    </w:rPr>
  </w:style>
  <w:style w:type="paragraph" w:customStyle="1" w:styleId="WideTable">
    <w:name w:val="Wide Table"/>
    <w:basedOn w:val="Normal"/>
    <w:rsid w:val="009D60EB"/>
    <w:pPr>
      <w:ind w:left="-1418"/>
    </w:pPr>
    <w:rPr>
      <w:sz w:val="2"/>
      <w:szCs w:val="2"/>
    </w:rPr>
  </w:style>
  <w:style w:type="character" w:styleId="PageNumber">
    <w:name w:val="page number"/>
    <w:basedOn w:val="DefaultParagraphFont"/>
    <w:rsid w:val="009D60EB"/>
  </w:style>
  <w:style w:type="paragraph" w:styleId="Quote">
    <w:name w:val="Quote"/>
    <w:basedOn w:val="Heading1"/>
    <w:link w:val="QuoteChar"/>
    <w:qFormat/>
    <w:rsid w:val="009D60EB"/>
    <w:rPr>
      <w:b w:val="0"/>
      <w:sz w:val="72"/>
      <w:szCs w:val="72"/>
      <w:lang w:val="en-NZ"/>
    </w:rPr>
  </w:style>
  <w:style w:type="character" w:customStyle="1" w:styleId="QuoteChar">
    <w:name w:val="Quote Char"/>
    <w:basedOn w:val="DefaultParagraphFont"/>
    <w:link w:val="Quote"/>
    <w:rsid w:val="009D6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0EB"/>
    <w:pPr>
      <w:pageBreakBefore/>
    </w:pPr>
  </w:style>
  <w:style w:type="paragraph" w:customStyle="1" w:styleId="Border">
    <w:name w:val="Border"/>
    <w:basedOn w:val="Normal"/>
    <w:qFormat/>
    <w:rsid w:val="009D6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0EB"/>
    <w:rPr>
      <w:b/>
      <w:bCs/>
      <w:i/>
      <w:iCs/>
      <w:color w:val="auto"/>
    </w:rPr>
  </w:style>
  <w:style w:type="paragraph" w:styleId="IntenseQuote">
    <w:name w:val="Intense Quote"/>
    <w:basedOn w:val="Normal"/>
    <w:next w:val="Normal"/>
    <w:link w:val="IntenseQuoteChar"/>
    <w:uiPriority w:val="30"/>
    <w:qFormat/>
    <w:rsid w:val="009D6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0EB"/>
    <w:rPr>
      <w:smallCaps/>
      <w:color w:val="auto"/>
      <w:u w:val="single"/>
    </w:rPr>
  </w:style>
  <w:style w:type="character" w:styleId="IntenseReference">
    <w:name w:val="Intense Reference"/>
    <w:basedOn w:val="DefaultParagraphFont"/>
    <w:uiPriority w:val="32"/>
    <w:qFormat/>
    <w:rsid w:val="009D60EB"/>
    <w:rPr>
      <w:b/>
      <w:bCs/>
      <w:smallCaps/>
      <w:color w:val="auto"/>
      <w:spacing w:val="5"/>
      <w:u w:val="single"/>
    </w:rPr>
  </w:style>
  <w:style w:type="paragraph" w:customStyle="1" w:styleId="2ColumnHeading">
    <w:name w:val="2Column Heading"/>
    <w:basedOn w:val="BodyText"/>
    <w:qFormat/>
    <w:rsid w:val="009D60EB"/>
    <w:pPr>
      <w:spacing w:after="60"/>
      <w:ind w:left="-2268"/>
    </w:pPr>
    <w:rPr>
      <w:b/>
    </w:rPr>
  </w:style>
  <w:style w:type="paragraph" w:customStyle="1" w:styleId="Heading1TOC">
    <w:name w:val="Heading1 TOC"/>
    <w:basedOn w:val="Normal"/>
    <w:qFormat/>
    <w:rsid w:val="009D60EB"/>
    <w:pPr>
      <w:spacing w:before="240" w:after="120"/>
    </w:pPr>
    <w:rPr>
      <w:rFonts w:ascii="Times New Roman" w:hAnsi="Times New Roman"/>
      <w:b/>
      <w:sz w:val="32"/>
    </w:rPr>
  </w:style>
  <w:style w:type="paragraph" w:customStyle="1" w:styleId="Heading2TOC">
    <w:name w:val="Heading2 TOC"/>
    <w:basedOn w:val="Normal"/>
    <w:qFormat/>
    <w:rsid w:val="009D60EB"/>
    <w:pPr>
      <w:spacing w:before="240" w:after="60"/>
    </w:pPr>
    <w:rPr>
      <w:rFonts w:ascii="Times New Roman" w:hAnsi="Times New Roman"/>
      <w:b/>
      <w:sz w:val="28"/>
    </w:rPr>
  </w:style>
  <w:style w:type="character" w:customStyle="1" w:styleId="Underline">
    <w:name w:val="Underline"/>
    <w:basedOn w:val="DefaultParagraphFont"/>
    <w:qFormat/>
    <w:rsid w:val="009D60EB"/>
    <w:rPr>
      <w:u w:val="single"/>
    </w:rPr>
  </w:style>
  <w:style w:type="character" w:customStyle="1" w:styleId="BoldandItalics">
    <w:name w:val="Bold and Italics"/>
    <w:qFormat/>
    <w:rsid w:val="009D60EB"/>
    <w:rPr>
      <w:b/>
      <w:i/>
      <w:u w:val="none"/>
    </w:rPr>
  </w:style>
  <w:style w:type="paragraph" w:styleId="BalloonText">
    <w:name w:val="Balloon Text"/>
    <w:basedOn w:val="Normal"/>
    <w:link w:val="BalloonTextChar"/>
    <w:rsid w:val="009D60EB"/>
    <w:rPr>
      <w:rFonts w:ascii="Tahoma" w:hAnsi="Tahoma" w:cs="Tahoma"/>
      <w:sz w:val="16"/>
      <w:szCs w:val="16"/>
    </w:rPr>
  </w:style>
  <w:style w:type="character" w:customStyle="1" w:styleId="BalloonTextChar">
    <w:name w:val="Balloon Text Char"/>
    <w:basedOn w:val="DefaultParagraphFont"/>
    <w:link w:val="BalloonText"/>
    <w:rsid w:val="009D6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0EB"/>
    <w:rPr>
      <w:b/>
      <w:color w:val="660033"/>
      <w:spacing w:val="0"/>
    </w:rPr>
  </w:style>
  <w:style w:type="paragraph" w:customStyle="1" w:styleId="Nameditemlist">
    <w:name w:val="Named item list"/>
    <w:basedOn w:val="BodyText"/>
    <w:qFormat/>
    <w:rsid w:val="009D60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2200</Words>
  <Characters>13610</Characters>
  <Application>Microsoft Office Word</Application>
  <DocSecurity>0</DocSecurity>
  <Lines>532</Lines>
  <Paragraphs>226</Paragraphs>
  <ScaleCrop>false</ScaleCrop>
  <Company>Author-it Software Corporation Ltd.</Company>
  <LinksUpToDate>false</LinksUpToDate>
  <CharactersWithSpaces>15638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UEPMNT305B Maintain industrial fans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2012-07-25T16:52:00Z</dcterms:created>
  <dcterms:modified xsi:type="dcterms:W3CDTF">2012-07-25T16:52:00Z</dcterms:modified>
</cp:coreProperties>
</file>