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392" w:rsidP="00CE3392">
      <w:pPr>
        <w:pStyle w:val="Title"/>
      </w:pPr>
      <w:bookmarkStart w:id="0" w:name="_GoBack"/>
      <w:bookmarkEnd w:id="0"/>
      <w:r>
        <w:fldChar w:fldCharType="begin"/>
      </w:r>
      <w:r>
        <w:instrText xml:space="preserve"> TITLE   \* MERGEFORMAT </w:instrText>
      </w:r>
      <w:r>
        <w:fldChar w:fldCharType="separate"/>
      </w:r>
      <w:r>
        <w:t>UEPMNT202A Carry out routine work activities in an ESI large scale wind generation environment</w:t>
      </w:r>
      <w:r>
        <w:fldChar w:fldCharType="end"/>
      </w:r>
    </w:p>
    <w:p w:rsidR="00CE3392" w:rsidP="00CE3392">
      <w:pPr>
        <w:pStyle w:val="Version"/>
        <w:sectPr w:rsidSect="00891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5FE" w:rsidP="008915FE">
      <w:pPr>
        <w:pStyle w:val="SuperHeading"/>
      </w:pPr>
      <w:r w:rsidRPr="008915FE">
        <w:t>UEPMNT202A Carry out routine work activities in an ESI large scale wind generation environment</w:t>
      </w:r>
    </w:p>
    <w:p w:rsidR="00000000" w:rsidRPr="008915FE" w:rsidP="008915FE">
      <w:pPr>
        <w:pStyle w:val="Heading1"/>
      </w:pPr>
      <w:bookmarkStart w:id="1" w:name="O_490799"/>
      <w:bookmarkEnd w:id="1"/>
      <w:r w:rsidRPr="008915FE">
        <w:t>Modification History</w:t>
      </w:r>
    </w:p>
    <w:p w:rsidR="00000000" w:rsidRPr="008915FE" w:rsidP="008915FE">
      <w:pPr>
        <w:pStyle w:val="BodyText"/>
      </w:pPr>
      <w:r w:rsidRPr="008915FE">
        <w:t>Not applicable.</w:t>
      </w:r>
    </w:p>
    <w:p w:rsidR="00000000" w:rsidRPr="008915FE" w:rsidP="008915FE">
      <w:pPr>
        <w:pStyle w:val="AllowPageBreak"/>
      </w:pPr>
    </w:p>
    <w:p w:rsidR="00000000" w:rsidRPr="008915FE" w:rsidP="008915FE">
      <w:pPr>
        <w:pStyle w:val="Heading1"/>
      </w:pPr>
      <w:bookmarkStart w:id="2" w:name="O_490797"/>
      <w:bookmarkEnd w:id="2"/>
      <w:r w:rsidRPr="008915FE">
        <w:t>Unit Descriptor</w:t>
      </w:r>
    </w:p>
    <w:tbl>
      <w:tblPr>
        <w:tblW w:w="0" w:type="auto"/>
        <w:tblLayout w:type="fixed"/>
        <w:tblCellMar>
          <w:left w:w="62" w:type="dxa"/>
          <w:right w:w="62" w:type="dxa"/>
        </w:tblCellMar>
        <w:tblLook w:val="0000"/>
      </w:tblPr>
      <w:tblGrid>
        <w:gridCol w:w="2700"/>
        <w:gridCol w:w="5760"/>
      </w:tblGrid>
      <w:tr w:rsidTr="00CE33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1)</w:t>
            </w:r>
            <w:r w:rsidRPr="008915FE">
              <w:t xml:space="preserve"> </w:t>
            </w:r>
            <w:r w:rsidRPr="008915FE">
              <w:rPr>
                <w:rStyle w:val="SpecialBold"/>
              </w:rPr>
              <w:t>Scope:</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15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1.1) Descriptor</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This unit covers undertaking scheduled routine work activities in the electricity supply industry (ESI)  large scale wind generation sector</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3" w:name="O_490786"/>
      <w:bookmarkEnd w:id="3"/>
      <w:r w:rsidRPr="008915FE">
        <w:t>Application of the Unit</w:t>
      </w:r>
    </w:p>
    <w:tbl>
      <w:tblPr>
        <w:tblW w:w="0" w:type="auto"/>
        <w:tblLayout w:type="fixed"/>
        <w:tblCellMar>
          <w:left w:w="62" w:type="dxa"/>
          <w:right w:w="62" w:type="dxa"/>
        </w:tblCellMar>
        <w:tblLook w:val="0000"/>
      </w:tblPr>
      <w:tblGrid>
        <w:gridCol w:w="2672"/>
        <w:gridCol w:w="5699"/>
      </w:tblGrid>
      <w:tr w:rsidTr="00CE339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2)</w:t>
            </w:r>
          </w:p>
        </w:tc>
      </w:tr>
      <w:tr w:rsidTr="00CE339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This competency standard is suitable for school based and employment-based programs under an approved contract of training at the AQF level of the qualification in which the unit is first packaged or higher.</w:t>
            </w:r>
          </w:p>
          <w:p w:rsidR="00000000" w:rsidRPr="008915FE" w:rsidP="008915FE">
            <w:pPr>
              <w:pStyle w:val="BodyText"/>
            </w:pPr>
            <w:r w:rsidRPr="008915FE">
              <w:t>The unit may be selected as an elective from the</w:t>
            </w:r>
            <w:r w:rsidRPr="008915FE">
              <w:t xml:space="preserve"> relevant elective group (see qualification packaging rules) provided that all prerequisite units are undertaken or addressed through recognition processes.</w:t>
            </w:r>
          </w:p>
          <w:p w:rsidR="00000000" w:rsidRPr="008915FE" w:rsidP="008915FE">
            <w:pPr>
              <w:pStyle w:val="BodyText"/>
            </w:pPr>
            <w:r w:rsidRPr="008915FE">
              <w:t>This unit may be included in a skill set provided that it is listed in the schedule of electives (s</w:t>
            </w:r>
            <w:r w:rsidRPr="008915FE">
              <w:t>ee Qualification Framework) and all prerequisite units are undertaken or addressed through recognition processes.</w:t>
            </w:r>
          </w:p>
          <w:p w:rsidR="00000000" w:rsidRPr="008915FE" w:rsidP="008915FE">
            <w:pPr>
              <w:pStyle w:val="BodyText"/>
            </w:pPr>
            <w:r w:rsidRPr="008915FE">
              <w:t>Delivery and assessment of this unit should be undertaken within regard to the requirements of License to Practice (3 below), Prerequisite Com</w:t>
            </w:r>
            <w:r w:rsidRPr="008915FE">
              <w:t>petencies and Literacy and Numeracy skills (4 below) and the  recommendations for concurrent assessment and relationship with other units (9.5 below).</w:t>
            </w:r>
          </w:p>
          <w:p w:rsidR="00000000" w:rsidRPr="008915FE" w:rsidP="008915FE">
            <w:pPr>
              <w:pStyle w:val="BodyText"/>
            </w:pPr>
            <w:r w:rsidRPr="008915FE">
              <w:t>Practice in the workplace and during training is also subject to regulations directly related to occupati</w:t>
            </w:r>
            <w:r w:rsidRPr="008915FE">
              <w:t xml:space="preserve">onal health and safety and where applicable contracts of </w:t>
            </w:r>
            <w:r w:rsidRPr="008915FE">
              <w:t>training such as apprenticeships.</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4" w:name="O_490793"/>
      <w:bookmarkEnd w:id="4"/>
      <w:r w:rsidRPr="008915FE">
        <w:t>Licensing/Regulatory Information</w:t>
      </w:r>
    </w:p>
    <w:tbl>
      <w:tblPr>
        <w:tblW w:w="0" w:type="auto"/>
        <w:tblLayout w:type="fixed"/>
        <w:tblCellMar>
          <w:left w:w="62" w:type="dxa"/>
          <w:right w:w="62" w:type="dxa"/>
        </w:tblCellMar>
        <w:tblLook w:val="0000"/>
      </w:tblPr>
      <w:tblGrid>
        <w:gridCol w:w="2700"/>
        <w:gridCol w:w="5760"/>
      </w:tblGrid>
      <w:tr w:rsidTr="00CE33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 xml:space="preserve">3) </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The skills and knowledge described in this unit do not require a license to practice in the workplace. However practice in this unit is subject to regulations directly related to occupational health and safe and contracts of training such as new apprentice</w:t>
            </w:r>
            <w:r w:rsidRPr="008915FE">
              <w:t>ships.</w:t>
            </w:r>
          </w:p>
          <w:p w:rsidR="00000000" w:rsidRPr="008915FE" w:rsidP="008915FE">
            <w:pPr>
              <w:pStyle w:val="BodyText"/>
            </w:pPr>
            <w:r w:rsidRPr="008915FE">
              <w:t xml:space="preserve">Note: </w:t>
            </w:r>
          </w:p>
          <w:p w:rsidR="00000000" w:rsidRPr="008915FE" w:rsidP="008915FE">
            <w:pPr>
              <w:pStyle w:val="BodyText"/>
            </w:pPr>
            <w:r w:rsidRPr="008915FE">
              <w:t>1. Compliance with permits may be required in various jurisdictions and typically relates to the operation of plant, machinery and equipment such as elevating work platforms, powder operated fixing tools, and power operated tools, vehicles, r</w:t>
            </w:r>
            <w:r w:rsidRPr="008915FE">
              <w:t>oad signage and traffic control, lifting equipment. Permits may also be required for some work environments such as confined spaces, working aloft, near live electrical apparatus and site rehabilitation.</w:t>
            </w:r>
          </w:p>
          <w:p w:rsidR="00000000" w:rsidRPr="008915FE" w:rsidP="008915FE">
            <w:pPr>
              <w:pStyle w:val="BodyText"/>
            </w:pPr>
            <w:r w:rsidRPr="008915FE">
              <w:t>2. Compliance may be required in various jurisdictio</w:t>
            </w:r>
            <w:r w:rsidRPr="008915FE">
              <w:t>ns relating to currency in First Aid, confined space, lifting and risk safety measures.</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5" w:name="O_490794"/>
      <w:bookmarkEnd w:id="5"/>
      <w:r w:rsidRPr="008915FE">
        <w:t>Pre-Requisites</w:t>
      </w:r>
    </w:p>
    <w:tbl>
      <w:tblPr>
        <w:tblW w:w="0" w:type="auto"/>
        <w:tblLayout w:type="fixed"/>
        <w:tblCellMar>
          <w:left w:w="62" w:type="dxa"/>
          <w:right w:w="62" w:type="dxa"/>
        </w:tblCellMar>
        <w:tblLook w:val="0000"/>
      </w:tblPr>
      <w:tblGrid>
        <w:gridCol w:w="2700"/>
        <w:gridCol w:w="2068"/>
        <w:gridCol w:w="3696"/>
      </w:tblGrid>
      <w:tr w:rsidTr="00CE33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 xml:space="preserve">4) </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4.1)</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Granting of competency in this unit shall be made only after competency in the following unit(s) has/have been confirmed.</w:t>
            </w:r>
          </w:p>
          <w:p w:rsidR="00000000" w:rsidRPr="008915FE" w:rsidP="008915FE">
            <w:pPr>
              <w:pStyle w:val="BodyText"/>
            </w:pPr>
            <w:r w:rsidRPr="008915FE">
              <w:t>Where pre-requisite pathways have been identified. All competencies in the Common Unit Group must have been completed.</w:t>
            </w:r>
          </w:p>
          <w:p w:rsidR="00000000" w:rsidP="008915FE">
            <w:pPr>
              <w:pStyle w:val="BodyText"/>
              <w:rPr>
                <w:lang w:val="en-NZ"/>
              </w:rPr>
            </w:pPr>
            <w:r w:rsidRPr="008915FE">
              <w:t>Common Unit Gro</w:t>
            </w:r>
            <w:r w:rsidRPr="008915FE">
              <w:t>up</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Unit Code</w:t>
            </w:r>
            <w:r w:rsidRPr="008915FE">
              <w:tab/>
            </w:r>
          </w:p>
        </w:tc>
        <w:tc>
          <w:tcPr>
            <w:tcW w:w="3696"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Unit Title</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UEENEEE101A</w:t>
            </w:r>
            <w:r w:rsidRPr="008915FE">
              <w:tab/>
            </w:r>
          </w:p>
        </w:tc>
        <w:tc>
          <w:tcPr>
            <w:tcW w:w="3696"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 xml:space="preserve">Apply Occupational Health and </w:t>
            </w:r>
            <w:r w:rsidRPr="008915FE">
              <w:t>Safety regulations, codes and practices in the workplace</w:t>
            </w:r>
          </w:p>
        </w:tc>
      </w:tr>
    </w:tbl>
    <w:p w:rsidR="00000000" w:rsidRPr="008915FE" w:rsidP="008915F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E339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 xml:space="preserve">4.2) </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Participants are best equipped to achieve this unit if they have reading, writing and numeracy skills indicated by the following levels. A description of what each level entails is provided in Section 2.3.1 Language, Literacy and Numeracy.</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Reading</w:t>
            </w:r>
          </w:p>
        </w:tc>
        <w:tc>
          <w:tcPr>
            <w:tcW w:w="81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w:t>
            </w:r>
          </w:p>
        </w:tc>
        <w:tc>
          <w:tcPr>
            <w:tcW w:w="99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Writing</w:t>
            </w:r>
          </w:p>
        </w:tc>
        <w:tc>
          <w:tcPr>
            <w:tcW w:w="90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w:t>
            </w:r>
          </w:p>
        </w:tc>
        <w:tc>
          <w:tcPr>
            <w:tcW w:w="12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Numeracy</w:t>
            </w:r>
          </w:p>
        </w:tc>
        <w:tc>
          <w:tcPr>
            <w:tcW w:w="72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3</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6" w:name="O_490790"/>
      <w:bookmarkEnd w:id="6"/>
      <w:r w:rsidRPr="008915FE">
        <w:t>Employability Skills Information</w:t>
      </w:r>
    </w:p>
    <w:tbl>
      <w:tblPr>
        <w:tblW w:w="0" w:type="auto"/>
        <w:tblLayout w:type="fixed"/>
        <w:tblCellMar>
          <w:left w:w="62" w:type="dxa"/>
          <w:right w:w="62" w:type="dxa"/>
        </w:tblCellMar>
        <w:tblLook w:val="0000"/>
      </w:tblPr>
      <w:tblGrid>
        <w:gridCol w:w="2700"/>
        <w:gridCol w:w="5760"/>
      </w:tblGrid>
      <w:tr w:rsidTr="00CE33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 xml:space="preserve">5) </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This unit contains Employability Skills.</w:t>
            </w:r>
          </w:p>
          <w:p w:rsidR="00000000" w:rsidRPr="008915FE" w:rsidP="008915FE">
            <w:pPr>
              <w:pStyle w:val="BodyText"/>
            </w:pPr>
            <w:r w:rsidRPr="008915F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15FE">
              <w:t>requirements.</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7" w:name="O_490789"/>
      <w:bookmarkEnd w:id="7"/>
      <w:r w:rsidRPr="008915FE">
        <w:t>Elements and Performance Criteria Pre-Content</w:t>
      </w:r>
    </w:p>
    <w:tbl>
      <w:tblPr>
        <w:tblW w:w="0" w:type="auto"/>
        <w:tblLayout w:type="fixed"/>
        <w:tblCellMar>
          <w:left w:w="62" w:type="dxa"/>
          <w:right w:w="62" w:type="dxa"/>
        </w:tblCellMar>
        <w:tblLook w:val="0000"/>
      </w:tblPr>
      <w:tblGrid>
        <w:gridCol w:w="2700"/>
        <w:gridCol w:w="5760"/>
      </w:tblGrid>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6)</w:t>
            </w:r>
            <w:r w:rsidRPr="008915F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Performance Criteria describe the required performance needed to demonstrate achievement of the element</w:t>
            </w:r>
            <w:r w:rsidRPr="008915FE">
              <w:t>. Assessment of performance is to be consistent with the Evidence Guide.</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8" w:name="O_490788"/>
      <w:bookmarkEnd w:id="8"/>
      <w:r w:rsidRPr="008915FE">
        <w:t>Elements and Performance Criteria</w:t>
      </w:r>
    </w:p>
    <w:tbl>
      <w:tblPr>
        <w:tblW w:w="0" w:type="auto"/>
        <w:tblLayout w:type="fixed"/>
        <w:tblCellMar>
          <w:left w:w="62" w:type="dxa"/>
          <w:right w:w="62" w:type="dxa"/>
        </w:tblCellMar>
        <w:tblLook w:val="0000"/>
      </w:tblPr>
      <w:tblGrid>
        <w:gridCol w:w="360"/>
        <w:gridCol w:w="2250"/>
        <w:gridCol w:w="928"/>
        <w:gridCol w:w="4832"/>
      </w:tblGrid>
      <w:tr w:rsidTr="00CE3392">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PERFORMANCE CRITERIA</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w:t>
            </w:r>
          </w:p>
        </w:tc>
        <w:tc>
          <w:tcPr>
            <w:tcW w:w="225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Prepare to undertake routine work activities.</w:t>
            </w: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1.1</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Instructions for preparing the work activity are communicated and confirmed to ensure clear understanding.</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1.2</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 xml:space="preserve">OHS policies and procedures are communicated and confirmed to ensure they are understood as </w:t>
            </w:r>
            <w:r w:rsidRPr="008915FE">
              <w:t>they apply to the carrying out of the work.</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1.3</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Tools, equipment and personnel protective equipment necessary for the work are identified, scheduled and checked to ensure they work correctly as intended and are safe to use in accordance with established procedures.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1.4</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Appropriate personnel are consulted to ensure the work is coordinated effectively with others involved.</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1.5</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Resources and materials needed to do the work are confirmed, scheduled and obtained in accordance with established procedures.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1.6</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Schedule of</w:t>
            </w:r>
            <w:r w:rsidRPr="008915FE">
              <w:t xml:space="preserve"> work including practices for working safely are confirmed in accordance with instructions and requirements.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2</w:t>
            </w:r>
          </w:p>
        </w:tc>
        <w:tc>
          <w:tcPr>
            <w:tcW w:w="225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Carry out work as instructed.</w:t>
            </w: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2.1</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OHS policies and procedures and safe work practices are followed to eliminate or minimise incidents.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2.2</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Schedule of work is followed to ensure work is completed in an agreed time, to a quality standard and with a minimum of waste.</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2.3</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Knowledge of work practices applicable to the wind generation industry are applied to routine work activities.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2.4</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Furt</w:t>
            </w:r>
            <w:r w:rsidRPr="008915FE">
              <w:t>her instructions are sought from appropriate personnel in the event of unplanned happenings or conditions.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2.5</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Ongoing checks of work quality are undertaken in accordance with instructions and requirements.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w:t>
            </w:r>
          </w:p>
        </w:tc>
        <w:tc>
          <w:tcPr>
            <w:tcW w:w="225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Check results of the completed work.</w:t>
            </w: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3.1</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Final checks are made to ensure the work conforms with instructions and to requirements.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3.2</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Appropriate personnel are notified of completion of the work.</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3.3</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 xml:space="preserve">Tools, equipment and any surplus resources and materials are, where appropriate, cleaned, </w:t>
            </w:r>
            <w:r w:rsidRPr="008915FE">
              <w:t>c</w:t>
            </w:r>
            <w:r w:rsidRPr="008915FE">
              <w:t>hecked and returned to storage in accordance with established procedures.</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3.4</w:t>
            </w:r>
          </w:p>
        </w:tc>
        <w:tc>
          <w:tcPr>
            <w:tcW w:w="4832"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Work area is cleaned up and made safe and sustainable energy practices are followed.</w:t>
            </w:r>
          </w:p>
        </w:tc>
      </w:tr>
      <w:tr w:rsidTr="00CE339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8"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3.5</w:t>
            </w:r>
          </w:p>
        </w:tc>
        <w:tc>
          <w:tcPr>
            <w:tcW w:w="4832"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Appropriate records are updated in accordance with instructions and established pro</w:t>
            </w:r>
            <w:r w:rsidRPr="008915FE">
              <w:t>cedures.</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9" w:name="O_490796"/>
      <w:bookmarkEnd w:id="9"/>
      <w:r w:rsidRPr="008915FE">
        <w:t>Required Skills and Knowledge</w:t>
      </w:r>
    </w:p>
    <w:tbl>
      <w:tblPr>
        <w:tblW w:w="0" w:type="auto"/>
        <w:tblLayout w:type="fixed"/>
        <w:tblCellMar>
          <w:left w:w="62" w:type="dxa"/>
          <w:right w:w="62" w:type="dxa"/>
        </w:tblCellMar>
        <w:tblLook w:val="0000"/>
      </w:tblPr>
      <w:tblGrid>
        <w:gridCol w:w="1890"/>
        <w:gridCol w:w="6570"/>
      </w:tblGrid>
      <w:tr w:rsidTr="00CE339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REQUIRED SKILLS AND KNOWLEDGE</w:t>
            </w:r>
          </w:p>
        </w:tc>
      </w:tr>
      <w:tr w:rsidTr="00CE3392">
        <w:tblPrEx>
          <w:tblW w:w="0" w:type="auto"/>
          <w:tblLayout w:type="fixed"/>
          <w:tblCellMar>
            <w:left w:w="62" w:type="dxa"/>
            <w:right w:w="62" w:type="dxa"/>
          </w:tblCellMar>
          <w:tblLook w:val="0000"/>
        </w:tblPrEx>
        <w:trPr>
          <w:trHeight w:val="844"/>
        </w:trPr>
        <w:tc>
          <w:tcPr>
            <w:tcW w:w="8460" w:type="dxa"/>
            <w:gridSpan w:val="2"/>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8)</w:t>
            </w:r>
            <w:r w:rsidRPr="008915FE">
              <w:t xml:space="preserve"> This describes the essential skills and knowledge and their level, required for this unit.</w:t>
            </w:r>
          </w:p>
          <w:p w:rsidR="00000000" w:rsidP="008915FE">
            <w:pPr>
              <w:pStyle w:val="BodyText"/>
              <w:rPr>
                <w:lang w:val="en-NZ"/>
              </w:rPr>
            </w:pPr>
            <w:r w:rsidRPr="008915FE">
              <w:t>All knowledge and skills detailed in this unit should be contextualised to current industry practices and technologies.</w:t>
            </w:r>
          </w:p>
        </w:tc>
      </w:tr>
      <w:tr w:rsidTr="00CE3392">
        <w:tblPrEx>
          <w:tblW w:w="0" w:type="auto"/>
          <w:tblLayout w:type="fixed"/>
          <w:tblCellMar>
            <w:left w:w="62" w:type="dxa"/>
            <w:right w:w="62" w:type="dxa"/>
          </w:tblCellMar>
          <w:tblLook w:val="0000"/>
        </w:tblPrEx>
        <w:trPr>
          <w:trHeight w:val="417"/>
        </w:trPr>
        <w:tc>
          <w:tcPr>
            <w:tcW w:w="189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 xml:space="preserve">KS01-PM202A </w:t>
            </w:r>
          </w:p>
        </w:tc>
        <w:tc>
          <w:tcPr>
            <w:tcW w:w="657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Routine work activities in an ESI large scale wind generation environment</w:t>
            </w:r>
          </w:p>
        </w:tc>
      </w:tr>
      <w:tr w:rsidTr="00CE3392">
        <w:tblPrEx>
          <w:tblW w:w="0" w:type="auto"/>
          <w:tblLayout w:type="fixed"/>
          <w:tblCellMar>
            <w:left w:w="62" w:type="dxa"/>
            <w:right w:w="62" w:type="dxa"/>
          </w:tblCellMar>
          <w:tblLook w:val="0000"/>
        </w:tblPrEx>
        <w:trPr>
          <w:trHeight w:val="417"/>
        </w:trPr>
        <w:tc>
          <w:tcPr>
            <w:tcW w:w="8460" w:type="dxa"/>
            <w:gridSpan w:val="2"/>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Evidence shall show that knowledge has been acquired of routine work activities in an ESI large scale wind generation environment to the extent indicated by the following aspects:</w:t>
            </w:r>
          </w:p>
        </w:tc>
      </w:tr>
      <w:tr w:rsidTr="00CE339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T1.</w:t>
            </w:r>
            <w:r w:rsidRPr="008915FE">
              <w:tab/>
              <w:t>The wind generation industry</w:t>
            </w:r>
          </w:p>
          <w:p w:rsidR="00000000" w:rsidRPr="008915FE" w:rsidP="008915FE">
            <w:pPr>
              <w:pStyle w:val="ListBullet2"/>
            </w:pPr>
            <w:r w:rsidRPr="008915FE">
              <w:t>Climate change</w:t>
            </w:r>
          </w:p>
          <w:p w:rsidR="00000000" w:rsidRPr="008915FE" w:rsidP="008915FE">
            <w:pPr>
              <w:pStyle w:val="ListBullet2"/>
            </w:pPr>
            <w:r w:rsidRPr="008915FE">
              <w:t>Mix of electricity generation in the marketplace</w:t>
            </w:r>
          </w:p>
          <w:p w:rsidR="00000000" w:rsidRPr="008915FE" w:rsidP="008915FE">
            <w:pPr>
              <w:pStyle w:val="BodyText"/>
            </w:pPr>
            <w:r w:rsidRPr="008915FE">
              <w:t>T2.</w:t>
            </w:r>
            <w:r w:rsidRPr="008915FE">
              <w:tab/>
              <w:t>Wind generation</w:t>
            </w:r>
          </w:p>
          <w:p w:rsidR="00000000" w:rsidRPr="008915FE" w:rsidP="008915FE">
            <w:pPr>
              <w:pStyle w:val="ListBullet2"/>
            </w:pPr>
            <w:r w:rsidRPr="008915FE">
              <w:t>Power available in the wind</w:t>
            </w:r>
          </w:p>
          <w:p w:rsidR="00000000" w:rsidRPr="008915FE" w:rsidP="008915FE">
            <w:pPr>
              <w:pStyle w:val="ListBullet2"/>
            </w:pPr>
            <w:r w:rsidRPr="008915FE">
              <w:t>Classes of Wind Turbine Generator(WTG)</w:t>
            </w:r>
          </w:p>
          <w:p w:rsidR="00000000" w:rsidRPr="008915FE" w:rsidP="008915FE">
            <w:pPr>
              <w:pStyle w:val="ListBullet2"/>
            </w:pPr>
            <w:r w:rsidRPr="008915FE">
              <w:t>Geographic placement of WTGs</w:t>
            </w:r>
          </w:p>
          <w:p w:rsidR="00000000" w:rsidRPr="008915FE" w:rsidP="008915FE">
            <w:pPr>
              <w:pStyle w:val="BodyText"/>
            </w:pPr>
            <w:r w:rsidRPr="008915FE">
              <w:t>T3.</w:t>
            </w:r>
            <w:r w:rsidRPr="008915FE">
              <w:tab/>
              <w:t>Workplace health and safety in the wind generation industry</w:t>
            </w:r>
          </w:p>
          <w:p w:rsidR="00000000" w:rsidRPr="008915FE" w:rsidP="008915FE">
            <w:pPr>
              <w:pStyle w:val="ListBullet2"/>
            </w:pPr>
            <w:r w:rsidRPr="008915FE">
              <w:t>Electrical</w:t>
            </w:r>
          </w:p>
          <w:p w:rsidR="00000000" w:rsidRPr="008915FE" w:rsidP="008915FE">
            <w:pPr>
              <w:pStyle w:val="ListBullet2"/>
            </w:pPr>
            <w:r w:rsidRPr="008915FE">
              <w:t>Mechanical</w:t>
            </w:r>
          </w:p>
          <w:p w:rsidR="00000000" w:rsidRPr="008915FE" w:rsidP="008915FE">
            <w:pPr>
              <w:pStyle w:val="ListBullet2"/>
            </w:pPr>
            <w:r w:rsidRPr="008915FE">
              <w:t>Hyd</w:t>
            </w:r>
            <w:r w:rsidRPr="008915FE">
              <w:t>raulic</w:t>
            </w:r>
          </w:p>
          <w:p w:rsidR="00000000" w:rsidRPr="008915FE" w:rsidP="008915FE">
            <w:pPr>
              <w:pStyle w:val="ListBullet2"/>
            </w:pPr>
            <w:r w:rsidRPr="008915FE">
              <w:t>Working in environmental climates subject to high wind velocity</w:t>
            </w:r>
          </w:p>
          <w:p w:rsidR="00000000" w:rsidRPr="008915FE" w:rsidP="008915FE">
            <w:pPr>
              <w:pStyle w:val="ListBullet2"/>
            </w:pPr>
            <w:r w:rsidRPr="008915FE">
              <w:t>Working at heights on a WTG</w:t>
            </w:r>
          </w:p>
          <w:p w:rsidR="00000000" w:rsidRPr="008915FE" w:rsidP="008915FE">
            <w:pPr>
              <w:pStyle w:val="BodyText"/>
            </w:pPr>
            <w:r w:rsidRPr="008915FE">
              <w:t>T4.</w:t>
            </w:r>
            <w:r w:rsidRPr="008915FE">
              <w:tab/>
              <w:t>Components that form a WTG</w:t>
            </w:r>
          </w:p>
          <w:p w:rsidR="00000000" w:rsidRPr="008915FE" w:rsidP="008915FE">
            <w:pPr>
              <w:pStyle w:val="ListBullet2"/>
            </w:pPr>
            <w:r w:rsidRPr="008915FE">
              <w:t>Tower</w:t>
            </w:r>
          </w:p>
          <w:p w:rsidR="00000000" w:rsidRPr="008915FE" w:rsidP="008915FE">
            <w:pPr>
              <w:pStyle w:val="ListBullet2"/>
            </w:pPr>
            <w:r w:rsidRPr="008915FE">
              <w:t>Blades</w:t>
            </w:r>
          </w:p>
          <w:p w:rsidR="00000000" w:rsidRPr="008915FE" w:rsidP="008915FE">
            <w:pPr>
              <w:pStyle w:val="ListBullet2"/>
            </w:pPr>
            <w:r w:rsidRPr="008915FE">
              <w:t>Nacelle</w:t>
            </w:r>
          </w:p>
          <w:p w:rsidR="00000000" w:rsidRPr="008915FE" w:rsidP="008915FE">
            <w:pPr>
              <w:pStyle w:val="ListBullet2"/>
            </w:pPr>
            <w:r w:rsidRPr="008915FE">
              <w:t>Generator</w:t>
            </w:r>
          </w:p>
          <w:p w:rsidR="00000000" w:rsidRPr="008915FE" w:rsidP="008915FE">
            <w:pPr>
              <w:pStyle w:val="ListBullet2"/>
            </w:pPr>
            <w:r w:rsidRPr="008915FE">
              <w:t>DC/AC converter</w:t>
            </w:r>
          </w:p>
          <w:p w:rsidR="00000000" w:rsidRPr="008915FE" w:rsidP="008915FE">
            <w:pPr>
              <w:pStyle w:val="ListBullet2"/>
            </w:pPr>
            <w:r w:rsidRPr="008915FE">
              <w:t>Power transformer</w:t>
            </w:r>
          </w:p>
          <w:p w:rsidR="00000000" w:rsidRPr="008915FE" w:rsidP="008915FE">
            <w:pPr>
              <w:pStyle w:val="ListBullet2"/>
            </w:pPr>
            <w:r w:rsidRPr="008915FE">
              <w:t>Grid connection</w:t>
            </w:r>
          </w:p>
          <w:p w:rsidR="00000000" w:rsidRPr="008915FE" w:rsidP="008915FE">
            <w:pPr>
              <w:pStyle w:val="ListBullet2"/>
            </w:pPr>
            <w:r w:rsidRPr="008915FE">
              <w:t>Control systems</w:t>
            </w:r>
          </w:p>
          <w:p w:rsidR="00000000" w:rsidRPr="008915FE" w:rsidP="008915FE">
            <w:pPr>
              <w:pStyle w:val="ListBullet3"/>
            </w:pPr>
            <w:r w:rsidRPr="008915FE">
              <w:t>SCADA and similar control systems</w:t>
            </w:r>
          </w:p>
          <w:p w:rsidR="00000000" w:rsidRPr="008915FE" w:rsidP="008915FE">
            <w:pPr>
              <w:pStyle w:val="BodyText"/>
            </w:pPr>
            <w:r w:rsidRPr="008915FE">
              <w:t>T5.</w:t>
            </w:r>
            <w:r w:rsidRPr="008915FE">
              <w:tab/>
              <w:t>Lubrication</w:t>
            </w:r>
          </w:p>
          <w:p w:rsidR="00000000" w:rsidRPr="008915FE" w:rsidP="008915FE">
            <w:pPr>
              <w:pStyle w:val="ListBullet2"/>
            </w:pPr>
            <w:r w:rsidRPr="008915FE">
              <w:t>Refilling of automatic greasing systems</w:t>
            </w:r>
          </w:p>
          <w:p w:rsidR="00000000" w:rsidRPr="008915FE" w:rsidP="008915FE">
            <w:pPr>
              <w:pStyle w:val="ListBullet2"/>
            </w:pPr>
            <w:r w:rsidRPr="008915FE">
              <w:t>Checking oil levels</w:t>
            </w:r>
          </w:p>
          <w:p w:rsidR="00000000" w:rsidRPr="008915FE" w:rsidP="008915FE">
            <w:pPr>
              <w:pStyle w:val="ListBullet2"/>
            </w:pPr>
            <w:r w:rsidRPr="008915FE">
              <w:t>Confirming lubrication of components</w:t>
            </w:r>
          </w:p>
          <w:p w:rsidR="00000000" w:rsidRPr="008915FE" w:rsidP="008915FE">
            <w:pPr>
              <w:pStyle w:val="BodyText"/>
            </w:pPr>
            <w:r w:rsidRPr="008915FE">
              <w:t>T6.</w:t>
            </w:r>
            <w:r w:rsidRPr="008915FE">
              <w:tab/>
              <w:t>Cleaning</w:t>
            </w:r>
          </w:p>
          <w:p w:rsidR="00000000" w:rsidRPr="008915FE" w:rsidP="008915FE">
            <w:pPr>
              <w:pStyle w:val="ListBullet2"/>
            </w:pPr>
            <w:r w:rsidRPr="008915FE">
              <w:t>Excess grease</w:t>
            </w:r>
          </w:p>
          <w:p w:rsidR="00000000" w:rsidRPr="008915FE" w:rsidP="008915FE">
            <w:pPr>
              <w:pStyle w:val="ListBullet2"/>
            </w:pPr>
            <w:r w:rsidRPr="008915FE">
              <w:t>Dust</w:t>
            </w:r>
          </w:p>
          <w:p w:rsidR="00000000" w:rsidRPr="008915FE" w:rsidP="008915FE">
            <w:pPr>
              <w:pStyle w:val="ListBullet2"/>
            </w:pPr>
            <w:r w:rsidRPr="008915FE">
              <w:t>Oil</w:t>
            </w:r>
          </w:p>
          <w:p w:rsidR="00000000" w:rsidRPr="008915FE" w:rsidP="008915FE">
            <w:pPr>
              <w:pStyle w:val="ListBullet2"/>
            </w:pPr>
            <w:r w:rsidRPr="008915FE">
              <w:t>Water</w:t>
            </w:r>
          </w:p>
          <w:p w:rsidR="00000000" w:rsidRPr="008915FE" w:rsidP="008915FE">
            <w:pPr>
              <w:pStyle w:val="ListBullet2"/>
            </w:pPr>
            <w:r w:rsidRPr="008915FE">
              <w:t>Salt</w:t>
            </w:r>
          </w:p>
          <w:p w:rsidR="00000000" w:rsidRPr="008915FE" w:rsidP="008915FE">
            <w:pPr>
              <w:pStyle w:val="ListBullet2"/>
            </w:pPr>
            <w:r w:rsidRPr="008915FE">
              <w:t>Cleaning chemicals</w:t>
            </w:r>
          </w:p>
          <w:p w:rsidR="00000000" w:rsidRPr="008915FE" w:rsidP="008915FE">
            <w:pPr>
              <w:pStyle w:val="ListBullet3"/>
            </w:pPr>
            <w:r w:rsidRPr="008915FE">
              <w:t>Appropriateness of use</w:t>
            </w:r>
          </w:p>
          <w:p w:rsidR="00000000" w:rsidRPr="008915FE" w:rsidP="008915FE">
            <w:pPr>
              <w:pStyle w:val="ListBullet3"/>
            </w:pPr>
            <w:r w:rsidRPr="008915FE">
              <w:t>MSDS for cleaning products</w:t>
            </w:r>
          </w:p>
          <w:p w:rsidR="00000000" w:rsidRPr="008915FE" w:rsidP="008915FE">
            <w:pPr>
              <w:pStyle w:val="ListBullet3"/>
            </w:pPr>
            <w:r w:rsidRPr="008915FE">
              <w:t>Use of cleaning products in restricted spaces</w:t>
            </w:r>
          </w:p>
          <w:p w:rsidR="00000000" w:rsidRPr="008915FE" w:rsidP="008915FE">
            <w:pPr>
              <w:pStyle w:val="ListBullet3"/>
            </w:pPr>
            <w:r w:rsidRPr="008915FE">
              <w:t>Prohibited cleaning solvents</w:t>
            </w:r>
          </w:p>
          <w:p w:rsidR="00000000" w:rsidRPr="008915FE" w:rsidP="008915FE">
            <w:pPr>
              <w:pStyle w:val="BodyText"/>
            </w:pPr>
            <w:r w:rsidRPr="008915FE">
              <w:t>T7.</w:t>
            </w:r>
            <w:r w:rsidRPr="008915FE">
              <w:tab/>
              <w:t>Warehousing</w:t>
            </w:r>
          </w:p>
          <w:p w:rsidR="00000000" w:rsidRPr="008915FE" w:rsidP="008915FE">
            <w:pPr>
              <w:pStyle w:val="ListBullet2"/>
            </w:pPr>
            <w:r w:rsidRPr="008915FE">
              <w:t>Enterprise procedures for managing stock levels</w:t>
            </w:r>
          </w:p>
          <w:p w:rsidR="00000000" w:rsidRPr="008915FE" w:rsidP="008915FE">
            <w:pPr>
              <w:pStyle w:val="ListBullet3"/>
            </w:pPr>
            <w:r w:rsidRPr="008915FE">
              <w:t>Computer stock control</w:t>
            </w:r>
          </w:p>
          <w:p w:rsidR="00000000" w:rsidRPr="008915FE" w:rsidP="008915FE">
            <w:pPr>
              <w:pStyle w:val="ListBullet2"/>
            </w:pPr>
            <w:r w:rsidRPr="008915FE">
              <w:t>Loading and unloading stock and products</w:t>
            </w:r>
          </w:p>
          <w:p w:rsidR="00000000" w:rsidRPr="008915FE" w:rsidP="008915FE">
            <w:pPr>
              <w:pStyle w:val="ListBullet3"/>
            </w:pPr>
            <w:r w:rsidRPr="008915FE">
              <w:t>Shelving</w:t>
            </w:r>
          </w:p>
          <w:p w:rsidR="00000000" w:rsidRPr="008915FE" w:rsidP="008915FE">
            <w:pPr>
              <w:pStyle w:val="ListBullet3"/>
            </w:pPr>
            <w:r w:rsidRPr="008915FE">
              <w:t xml:space="preserve">Inward goods </w:t>
            </w:r>
            <w:r w:rsidRPr="008915FE">
              <w:t>receiving</w:t>
            </w:r>
          </w:p>
          <w:p w:rsidR="00000000" w:rsidRPr="008915FE" w:rsidP="008915FE">
            <w:pPr>
              <w:pStyle w:val="ListBullet3"/>
            </w:pPr>
            <w:r w:rsidRPr="008915FE">
              <w:t>Manual handling</w:t>
            </w:r>
          </w:p>
          <w:p w:rsidR="00000000" w:rsidRPr="008915FE" w:rsidP="008915FE">
            <w:pPr>
              <w:pStyle w:val="ListBullet3"/>
            </w:pPr>
            <w:r w:rsidRPr="008915FE">
              <w:t>Trolleys</w:t>
            </w:r>
          </w:p>
          <w:p w:rsidR="00000000" w:rsidRPr="008915FE" w:rsidP="008915FE">
            <w:pPr>
              <w:pStyle w:val="ListBullet2"/>
            </w:pPr>
            <w:r w:rsidRPr="008915FE">
              <w:t>Enterprise communication protocols</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10" w:name="O_490791"/>
      <w:bookmarkEnd w:id="10"/>
      <w:r w:rsidRPr="008915FE">
        <w:t>Evidence Guide</w:t>
      </w:r>
    </w:p>
    <w:tbl>
      <w:tblPr>
        <w:tblW w:w="0" w:type="auto"/>
        <w:tblLayout w:type="fixed"/>
        <w:tblCellMar>
          <w:left w:w="62" w:type="dxa"/>
          <w:right w:w="62" w:type="dxa"/>
        </w:tblCellMar>
        <w:tblLook w:val="0000"/>
      </w:tblPr>
      <w:tblGrid>
        <w:gridCol w:w="8460"/>
      </w:tblGrid>
      <w:tr w:rsidTr="00CE33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EVIDENCE GUIDE</w:t>
            </w:r>
          </w:p>
        </w:tc>
      </w:tr>
      <w:tr w:rsidTr="00CE33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9)</w:t>
            </w:r>
            <w:r w:rsidRPr="008915FE">
              <w:t xml:space="preserve"> The Evidence Guide forms an integral part of this Unit and shall be used in conjunction with all </w:t>
            </w:r>
            <w:r w:rsidRPr="008915FE">
              <w:t>components parts of this unit and performed in accordance with the Assessment Guidelines of this Training Package.</w:t>
            </w:r>
          </w:p>
        </w:tc>
      </w:tr>
    </w:tbl>
    <w:p w:rsidR="00000000" w:rsidRPr="008915FE" w:rsidP="008915FE">
      <w:pPr>
        <w:pStyle w:val="BodyText"/>
      </w:pPr>
    </w:p>
    <w:tbl>
      <w:tblPr>
        <w:tblW w:w="0" w:type="auto"/>
        <w:tblLayout w:type="fixed"/>
        <w:tblCellMar>
          <w:left w:w="62" w:type="dxa"/>
          <w:right w:w="62" w:type="dxa"/>
        </w:tblCellMar>
        <w:tblLook w:val="0000"/>
      </w:tblPr>
      <w:tblGrid>
        <w:gridCol w:w="1890"/>
        <w:gridCol w:w="6570"/>
      </w:tblGrid>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9.1)</w:t>
            </w:r>
          </w:p>
        </w:tc>
      </w:tr>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Longitudinal competency development approaches to assessment, such as Profiling, require data to be reliably gathered in a form that can be consistently interpreted over time. This approach is best utilised in Apprenticeship programs and reduces assessment</w:t>
            </w:r>
            <w:r w:rsidRPr="008915F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915FE">
              <w:t>ncy in a realistically simulated work environment. It is recognised that, in some circumstances, assessment in part or full can occur outside the workplace. However, it must be in accordance with industry and regulatory policy.</w:t>
            </w:r>
          </w:p>
          <w:p w:rsidR="00000000" w:rsidRPr="008915FE" w:rsidP="008915FE">
            <w:pPr>
              <w:pStyle w:val="BodyText"/>
            </w:pPr>
            <w:r w:rsidRPr="008915FE">
              <w:t>Methods chosen for a particu</w:t>
            </w:r>
            <w:r w:rsidRPr="008915FE">
              <w:t>lar assessment will be influenced by various factors. These include the extent of the assessment, the most effective locations for the assessment activities to take place, access to physical resources, additional safety measures that may be required and th</w:t>
            </w:r>
            <w:r w:rsidRPr="008915FE">
              <w:t>e critical nature of the competencies being assessed.</w:t>
            </w:r>
          </w:p>
          <w:p w:rsidR="00000000" w:rsidRPr="008915FE" w:rsidP="008915FE">
            <w:pPr>
              <w:pStyle w:val="BodyText"/>
            </w:pPr>
            <w:r w:rsidRPr="008915FE">
              <w:t>The critical safety nature of working with electricity, electrical equipment, gas or any other hazardous substance/material carries risk in deeming a person competent. Sources of evidence need to be ‘ri</w:t>
            </w:r>
            <w:r w:rsidRPr="008915FE">
              <w:t>ch’ in nature to minimise error in judgment.</w:t>
            </w:r>
          </w:p>
          <w:p w:rsidR="00000000" w:rsidRPr="008915FE" w:rsidP="008915FE">
            <w:pPr>
              <w:pStyle w:val="BodyText"/>
            </w:pPr>
            <w:r w:rsidRPr="008915FE">
              <w:t>Activities associated with normal everyday work have a bearing on the decision as to how much and how detailed the data gathered will contribute to its ‘richness’. Some skills are more critical to safety and ope</w:t>
            </w:r>
            <w:r w:rsidRPr="008915FE">
              <w:t>rational requirements while the same skills may be more or less frequently practised. These points are raised for the assessors to consider when choosing an assessment method and developing assessment instruments. Sample assessment instruments are included</w:t>
            </w:r>
            <w:r w:rsidRPr="008915FE">
              <w:t xml:space="preserve"> for Assessors in the Assessment Guidelines, Section 3.1 of this Training Package.</w:t>
            </w:r>
          </w:p>
        </w:tc>
      </w:tr>
    </w:tbl>
    <w:p w:rsidR="00000000" w:rsidRPr="008915FE" w:rsidP="008915FE">
      <w:pPr>
        <w:pStyle w:val="BodyText"/>
      </w:pPr>
    </w:p>
    <w:tbl>
      <w:tblPr>
        <w:tblW w:w="0" w:type="auto"/>
        <w:tblLayout w:type="fixed"/>
        <w:tblCellMar>
          <w:left w:w="62" w:type="dxa"/>
          <w:right w:w="62" w:type="dxa"/>
        </w:tblCellMar>
        <w:tblLook w:val="0000"/>
      </w:tblPr>
      <w:tblGrid>
        <w:gridCol w:w="1890"/>
        <w:gridCol w:w="630"/>
        <w:gridCol w:w="1260"/>
        <w:gridCol w:w="4680"/>
      </w:tblGrid>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9.2)</w:t>
            </w:r>
          </w:p>
        </w:tc>
      </w:tr>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Evidence for competence in this unit shall be considered holistically. Each element a</w:t>
            </w:r>
            <w:r w:rsidRPr="008915FE">
              <w:t>nd associated Performance Criteria shall be demonstrated:</w:t>
            </w:r>
          </w:p>
          <w:p w:rsidR="00000000" w:rsidRPr="008915FE" w:rsidP="008915FE">
            <w:pPr>
              <w:pStyle w:val="ListBullet2"/>
            </w:pPr>
            <w:r w:rsidRPr="008915FE">
              <w:t>On at least two (2) occasions. In accordance with the "Assessment Guidelines” for the UEP12 Training Package.</w:t>
            </w:r>
          </w:p>
          <w:p w:rsidR="00000000" w:rsidRPr="008915FE" w:rsidP="008915FE">
            <w:pPr>
              <w:pStyle w:val="BodyText"/>
            </w:pPr>
            <w:r w:rsidRPr="008915FE">
              <w:t>Evidence shall also comprise:</w:t>
            </w:r>
          </w:p>
          <w:p w:rsidR="00000000" w:rsidRPr="008915FE" w:rsidP="008915FE">
            <w:pPr>
              <w:pStyle w:val="ListBullet"/>
            </w:pPr>
            <w:r w:rsidRPr="008915FE">
              <w:t>A representative body of work performance demonstrated within the timeframe typically expected of the discipline, work function and industrial environment. In particular this shall incorporate evidence that shows a candidate is able to:</w:t>
            </w:r>
          </w:p>
          <w:p w:rsidR="00000000" w:rsidRPr="008915FE" w:rsidP="008915FE">
            <w:pPr>
              <w:pStyle w:val="ListBullet2"/>
            </w:pPr>
            <w:r w:rsidRPr="008915FE">
              <w:t>Implement Occupati</w:t>
            </w:r>
            <w:r w:rsidRPr="008915FE">
              <w:t>onal Health and Safety workplace procedures and practices including the use of risk control measures as specified in the Performance Criteria and range; and</w:t>
            </w:r>
          </w:p>
          <w:p w:rsidR="00000000" w:rsidRPr="008915FE" w:rsidP="008915FE">
            <w:pPr>
              <w:pStyle w:val="ListBullet2"/>
            </w:pPr>
            <w:r w:rsidRPr="008915FE">
              <w:t>Apply sustainable energy principles and practices as specified in the Performance Criteria and rang</w:t>
            </w:r>
            <w:r w:rsidRPr="008915FE">
              <w:t>e; and</w:t>
            </w:r>
          </w:p>
          <w:p w:rsidR="00000000" w:rsidRPr="008915FE" w:rsidP="008915FE">
            <w:pPr>
              <w:pStyle w:val="ListBullet2"/>
            </w:pPr>
            <w:r w:rsidRPr="008915FE">
              <w:t>Demonstrate an understanding of the required skills and knowledge as described in this unit to such an extent that the learner's performance outcome is reported in accordance with the preferred approach; namely a percentile graded result, where requ</w:t>
            </w:r>
            <w:r w:rsidRPr="008915FE">
              <w:t>ired by the regulated environment; and</w:t>
            </w:r>
          </w:p>
          <w:p w:rsidR="00000000" w:rsidRPr="008915FE" w:rsidP="008915FE">
            <w:pPr>
              <w:pStyle w:val="ListBullet2"/>
            </w:pPr>
            <w:r w:rsidRPr="008915FE">
              <w:t>Demonstrate an appropriate level of employability skills; and</w:t>
            </w:r>
          </w:p>
          <w:p w:rsidR="00000000" w:rsidRPr="008915FE" w:rsidP="008915FE">
            <w:pPr>
              <w:pStyle w:val="ListBullet2"/>
            </w:pPr>
            <w:r w:rsidRPr="008915FE">
              <w:t>Conduct work observing the relevant Anti Discrimination legislation, regulations, policies and workplace procedures;  and</w:t>
            </w:r>
          </w:p>
          <w:p w:rsidR="00000000" w:rsidP="008915FE">
            <w:pPr>
              <w:pStyle w:val="BodyText"/>
              <w:rPr>
                <w:lang w:val="en-NZ"/>
              </w:rPr>
            </w:pPr>
            <w:r w:rsidRPr="008915FE">
              <w:t>Demonstrated performance across a</w:t>
            </w:r>
            <w:r w:rsidRPr="008915FE">
              <w:t xml:space="preserve"> representative range of contexts from the prescribed items below:</w:t>
            </w:r>
          </w:p>
        </w:tc>
      </w:tr>
      <w:tr w:rsidTr="00CE339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w:t>
            </w:r>
          </w:p>
        </w:tc>
        <w:tc>
          <w:tcPr>
            <w:tcW w:w="12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All of the following</w:t>
            </w:r>
          </w:p>
        </w:tc>
        <w:tc>
          <w:tcPr>
            <w:tcW w:w="4680" w:type="dxa"/>
            <w:tcBorders>
              <w:top w:val="nil"/>
              <w:left w:val="nil"/>
              <w:bottom w:val="nil"/>
              <w:right w:val="nil"/>
            </w:tcBorders>
            <w:tcMar>
              <w:top w:w="0" w:type="dxa"/>
              <w:left w:w="62" w:type="dxa"/>
              <w:bottom w:w="0" w:type="dxa"/>
              <w:right w:w="62" w:type="dxa"/>
            </w:tcMar>
          </w:tcPr>
          <w:p w:rsidR="00000000" w:rsidRPr="008915FE" w:rsidP="008915FE">
            <w:pPr>
              <w:pStyle w:val="ListBullet"/>
            </w:pPr>
            <w:r w:rsidRPr="008915FE">
              <w:t>Receive a stock delivery and enter into the stock management system</w:t>
            </w:r>
          </w:p>
          <w:p w:rsidR="00000000" w:rsidRPr="008915FE" w:rsidP="008915FE">
            <w:pPr>
              <w:pStyle w:val="ListBullet"/>
            </w:pPr>
            <w:r w:rsidRPr="008915FE">
              <w:t>Store stock using appropriate work, health and safety practices</w:t>
            </w:r>
          </w:p>
          <w:p w:rsidR="00000000" w:rsidP="008915FE">
            <w:pPr>
              <w:pStyle w:val="ListBullet"/>
              <w:rPr>
                <w:lang w:val="en-NZ"/>
              </w:rPr>
            </w:pPr>
            <w:r w:rsidRPr="008915FE">
              <w:t>Retrieve a stock item and check it out of the stock management system</w:t>
            </w:r>
          </w:p>
        </w:tc>
      </w:tr>
      <w:tr w:rsidTr="00CE339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B</w:t>
            </w:r>
          </w:p>
        </w:tc>
        <w:tc>
          <w:tcPr>
            <w:tcW w:w="12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All of the following</w:t>
            </w:r>
          </w:p>
        </w:tc>
        <w:tc>
          <w:tcPr>
            <w:tcW w:w="4680" w:type="dxa"/>
            <w:tcBorders>
              <w:top w:val="nil"/>
              <w:left w:val="nil"/>
              <w:bottom w:val="nil"/>
              <w:right w:val="nil"/>
            </w:tcBorders>
            <w:tcMar>
              <w:top w:w="0" w:type="dxa"/>
              <w:left w:w="62" w:type="dxa"/>
              <w:bottom w:w="0" w:type="dxa"/>
              <w:right w:w="62" w:type="dxa"/>
            </w:tcMar>
          </w:tcPr>
          <w:p w:rsidR="00000000" w:rsidRPr="008915FE" w:rsidP="008915FE">
            <w:pPr>
              <w:pStyle w:val="ListBullet"/>
            </w:pPr>
            <w:r w:rsidRPr="008915FE">
              <w:t>Clean up an oil spill</w:t>
            </w:r>
          </w:p>
          <w:p w:rsidR="00000000" w:rsidRPr="008915FE" w:rsidP="008915FE">
            <w:pPr>
              <w:pStyle w:val="ListBullet"/>
            </w:pPr>
            <w:r w:rsidRPr="008915FE">
              <w:t>Clean up a grease spill</w:t>
            </w:r>
          </w:p>
          <w:p w:rsidR="00000000" w:rsidP="008915FE">
            <w:pPr>
              <w:pStyle w:val="ListBullet"/>
              <w:rPr>
                <w:lang w:val="en-NZ"/>
              </w:rPr>
            </w:pPr>
            <w:r w:rsidRPr="008915FE">
              <w:t>Retrieve an MSDS for a cleaning solvent</w:t>
            </w:r>
          </w:p>
        </w:tc>
      </w:tr>
      <w:tr w:rsidTr="00CE3392">
        <w:tblPrEx>
          <w:tblW w:w="0" w:type="auto"/>
          <w:tblLayout w:type="fixed"/>
          <w:tblCellMar>
            <w:left w:w="62" w:type="dxa"/>
            <w:right w:w="62" w:type="dxa"/>
          </w:tblCellMar>
          <w:tblLook w:val="0000"/>
        </w:tblPrEx>
        <w:trPr>
          <w:trHeight w:val="69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C</w:t>
            </w:r>
          </w:p>
        </w:tc>
        <w:tc>
          <w:tcPr>
            <w:tcW w:w="12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All of the following</w:t>
            </w:r>
          </w:p>
        </w:tc>
        <w:tc>
          <w:tcPr>
            <w:tcW w:w="4680" w:type="dxa"/>
            <w:tcBorders>
              <w:top w:val="nil"/>
              <w:left w:val="nil"/>
              <w:bottom w:val="nil"/>
              <w:right w:val="nil"/>
            </w:tcBorders>
            <w:tcMar>
              <w:top w:w="0" w:type="dxa"/>
              <w:left w:w="62" w:type="dxa"/>
              <w:bottom w:w="0" w:type="dxa"/>
              <w:right w:w="62" w:type="dxa"/>
            </w:tcMar>
          </w:tcPr>
          <w:p w:rsidR="00000000" w:rsidRPr="008915FE" w:rsidP="008915FE">
            <w:pPr>
              <w:pStyle w:val="ListBullet"/>
            </w:pPr>
            <w:r w:rsidRPr="008915FE">
              <w:t>Grease a bearing</w:t>
            </w:r>
          </w:p>
          <w:p w:rsidR="00000000" w:rsidP="008915FE">
            <w:pPr>
              <w:pStyle w:val="ListBullet"/>
              <w:rPr>
                <w:lang w:val="en-NZ"/>
              </w:rPr>
            </w:pPr>
            <w:r w:rsidRPr="008915FE">
              <w:t>Refill Greasers</w:t>
            </w:r>
          </w:p>
        </w:tc>
      </w:tr>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D</w:t>
            </w:r>
          </w:p>
        </w:tc>
        <w:tc>
          <w:tcPr>
            <w:tcW w:w="12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t>All of the following</w:t>
            </w:r>
          </w:p>
        </w:tc>
        <w:tc>
          <w:tcPr>
            <w:tcW w:w="4680" w:type="dxa"/>
            <w:tcBorders>
              <w:top w:val="nil"/>
              <w:left w:val="nil"/>
              <w:bottom w:val="nil"/>
              <w:right w:val="nil"/>
            </w:tcBorders>
            <w:tcMar>
              <w:top w:w="0" w:type="dxa"/>
              <w:left w:w="62" w:type="dxa"/>
              <w:bottom w:w="0" w:type="dxa"/>
              <w:right w:w="62" w:type="dxa"/>
            </w:tcMar>
          </w:tcPr>
          <w:p w:rsidR="00000000" w:rsidRPr="008915FE" w:rsidP="008915FE">
            <w:pPr>
              <w:pStyle w:val="ListBullet"/>
            </w:pPr>
            <w:r w:rsidRPr="008915FE">
              <w:t>Deal with an unplanned event by drawing on essential knowledge and skills to provide appropriate solutions.</w:t>
            </w:r>
          </w:p>
        </w:tc>
      </w:tr>
    </w:tbl>
    <w:p w:rsidR="00000000" w:rsidRPr="008915FE" w:rsidP="008915FE">
      <w:pPr>
        <w:pStyle w:val="BodyText"/>
      </w:pPr>
    </w:p>
    <w:tbl>
      <w:tblPr>
        <w:tblW w:w="0" w:type="auto"/>
        <w:tblLayout w:type="fixed"/>
        <w:tblCellMar>
          <w:left w:w="62" w:type="dxa"/>
          <w:right w:w="62" w:type="dxa"/>
        </w:tblCellMar>
        <w:tblLook w:val="0000"/>
      </w:tblPr>
      <w:tblGrid>
        <w:gridCol w:w="1890"/>
        <w:gridCol w:w="6570"/>
      </w:tblGrid>
      <w:tr w:rsidTr="00CE339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9.3)</w:t>
            </w:r>
          </w:p>
        </w:tc>
      </w:tr>
      <w:tr w:rsidTr="00CE339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This unit should be assessed as it relates to normal work practice using procedures, information and resources typical of a workplace. This should include:</w:t>
            </w:r>
          </w:p>
          <w:p w:rsidR="00000000" w:rsidRPr="008915FE" w:rsidP="008915FE">
            <w:pPr>
              <w:pStyle w:val="ListBullet2"/>
            </w:pPr>
            <w:r w:rsidRPr="008915FE">
              <w:t>OHS policy and work procedures and instructions.</w:t>
            </w:r>
          </w:p>
          <w:p w:rsidR="00000000" w:rsidRPr="008915FE" w:rsidP="008915FE">
            <w:pPr>
              <w:pStyle w:val="ListBullet2"/>
            </w:pPr>
            <w:r w:rsidRPr="008915FE">
              <w:t>Suitable work environment, facilities, equipment a</w:t>
            </w:r>
            <w:r w:rsidRPr="008915FE">
              <w:t>nd materials to undertake actual work as prescribed by this unit.</w:t>
            </w:r>
          </w:p>
          <w:p w:rsidR="00000000" w:rsidRPr="008915FE" w:rsidP="008915FE">
            <w:pPr>
              <w:pStyle w:val="BodyText"/>
            </w:pPr>
            <w:r w:rsidRPr="008915FE">
              <w:t>These should be used in the formal learning/assessment environment.</w:t>
            </w:r>
          </w:p>
          <w:p w:rsidR="00000000" w:rsidRPr="008915FE" w:rsidP="008915FE">
            <w:pPr>
              <w:pStyle w:val="BodyText"/>
            </w:pPr>
            <w:r w:rsidRPr="008915FE">
              <w:t>Note:</w:t>
            </w:r>
          </w:p>
          <w:p w:rsidR="00000000" w:rsidRPr="008915FE" w:rsidP="008915FE">
            <w:pPr>
              <w:pStyle w:val="BodyText"/>
            </w:pPr>
            <w:r w:rsidRPr="008915FE">
              <w:t>Where simulation is considered a suitable strategy for assessment, conditions must be authentic and as far as possib</w:t>
            </w:r>
            <w:r w:rsidRPr="008915FE">
              <w:t>le reproduce and replicate the workplace and be consistent with the approved industry simulation policy.</w:t>
            </w:r>
          </w:p>
          <w:p w:rsidR="00000000" w:rsidRPr="008915FE" w:rsidP="008915FE">
            <w:pPr>
              <w:pStyle w:val="BodyText"/>
            </w:pPr>
            <w:r w:rsidRPr="008915FE">
              <w:t xml:space="preserve">The resources used for assessment should reflect current industry practices in relation to: </w:t>
            </w:r>
          </w:p>
          <w:p w:rsidR="00000000" w:rsidRPr="008915FE" w:rsidP="008915FE">
            <w:pPr>
              <w:pStyle w:val="BodyText"/>
            </w:pPr>
            <w:r w:rsidRPr="008915FE">
              <w:t>Carry out routine work activities in an ESI large scale wi</w:t>
            </w:r>
            <w:r w:rsidRPr="008915FE">
              <w:t>nd generation environment.</w:t>
            </w:r>
          </w:p>
        </w:tc>
      </w:tr>
    </w:tbl>
    <w:p w:rsidR="00000000" w:rsidRPr="008915FE" w:rsidP="008915FE">
      <w:pPr>
        <w:pStyle w:val="BodyText"/>
      </w:pPr>
    </w:p>
    <w:tbl>
      <w:tblPr>
        <w:tblW w:w="0" w:type="auto"/>
        <w:tblLayout w:type="fixed"/>
        <w:tblCellMar>
          <w:left w:w="62" w:type="dxa"/>
          <w:right w:w="62" w:type="dxa"/>
        </w:tblCellMar>
        <w:tblLook w:val="0000"/>
      </w:tblPr>
      <w:tblGrid>
        <w:gridCol w:w="1890"/>
        <w:gridCol w:w="6570"/>
      </w:tblGrid>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9.4)</w:t>
            </w:r>
          </w:p>
        </w:tc>
      </w:tr>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This unit shall be assessed by methods given in the Assessment Guidelines, Section 1.3 of this Training Package.</w:t>
            </w:r>
          </w:p>
          <w:p w:rsidR="00000000" w:rsidRPr="008915FE" w:rsidP="008915FE">
            <w:pPr>
              <w:pStyle w:val="BodyText"/>
            </w:pPr>
            <w:r w:rsidRPr="008915FE">
              <w:t xml:space="preserve">Note: </w:t>
            </w:r>
          </w:p>
          <w:p w:rsidR="00000000" w:rsidRPr="008915FE" w:rsidP="008915FE">
            <w:pPr>
              <w:pStyle w:val="BodyText"/>
            </w:pPr>
            <w:r w:rsidRPr="008915FE">
              <w:t>Competent performance with inherent safe working practices is expected in the Industry to which this competency standard unit applies. This requires assessment in a structured environment which is primarily intended for learning/assessment and incorporates</w:t>
            </w:r>
            <w:r w:rsidRPr="008915FE">
              <w:t xml:space="preserve"> all necessary equipment and facilities for learners to develop and demonstrate the essential knowledge and skills described in this unit.</w:t>
            </w:r>
          </w:p>
        </w:tc>
      </w:tr>
    </w:tbl>
    <w:p w:rsidR="00000000" w:rsidRPr="008915FE" w:rsidP="008915FE">
      <w:pPr>
        <w:pStyle w:val="BodyText"/>
      </w:pPr>
    </w:p>
    <w:tbl>
      <w:tblPr>
        <w:tblW w:w="0" w:type="auto"/>
        <w:tblLayout w:type="fixed"/>
        <w:tblCellMar>
          <w:left w:w="62" w:type="dxa"/>
          <w:right w:w="62" w:type="dxa"/>
        </w:tblCellMar>
        <w:tblLook w:val="0000"/>
      </w:tblPr>
      <w:tblGrid>
        <w:gridCol w:w="1890"/>
        <w:gridCol w:w="6570"/>
      </w:tblGrid>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9.5)</w:t>
            </w:r>
          </w:p>
        </w:tc>
      </w:tr>
      <w:tr w:rsidTr="00CE33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There are no concurrent assessment recommendations f</w:t>
            </w:r>
            <w:r w:rsidRPr="008915FE">
              <w:t>or this unit.</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11" w:name="O_490795"/>
      <w:bookmarkEnd w:id="11"/>
      <w:r w:rsidRPr="008915FE">
        <w:t>Range Statement</w:t>
      </w:r>
    </w:p>
    <w:tbl>
      <w:tblPr>
        <w:tblW w:w="0" w:type="auto"/>
        <w:tblLayout w:type="fixed"/>
        <w:tblCellMar>
          <w:left w:w="62" w:type="dxa"/>
          <w:right w:w="62" w:type="dxa"/>
        </w:tblCellMar>
        <w:tblLook w:val="0000"/>
      </w:tblPr>
      <w:tblGrid>
        <w:gridCol w:w="8460"/>
      </w:tblGrid>
      <w:tr w:rsidTr="00CE33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RANGE STATEMENT</w:t>
            </w:r>
          </w:p>
        </w:tc>
      </w:tr>
      <w:tr w:rsidTr="00CE33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10)</w:t>
            </w:r>
            <w:r w:rsidRPr="008915FE">
              <w:t xml:space="preserve"> This relates to the competency standard unit as a whole providing the range of contexts and conditions </w:t>
            </w:r>
            <w:r w:rsidRPr="008915FE">
              <w:t>to which the Performance Criteria apply. It allows for different work environments and situations that will affect performance.</w:t>
            </w:r>
          </w:p>
          <w:p w:rsidR="00000000" w:rsidRPr="008915FE" w:rsidP="008915FE">
            <w:pPr>
              <w:pStyle w:val="BodyText"/>
            </w:pPr>
            <w:r w:rsidRPr="008915FE">
              <w:t>Large Scale Wind Generators (WTGs) include systems having a rating of greater than 10 kW</w:t>
            </w:r>
          </w:p>
          <w:p w:rsidR="00000000" w:rsidRPr="008915FE" w:rsidP="008915FE">
            <w:pPr>
              <w:pStyle w:val="BodyText"/>
            </w:pPr>
            <w:r w:rsidRPr="008915FE">
              <w:t>Routine work activities include:</w:t>
            </w:r>
          </w:p>
          <w:p w:rsidR="00000000" w:rsidRPr="008915FE" w:rsidP="008915FE">
            <w:pPr>
              <w:pStyle w:val="List2"/>
            </w:pPr>
            <w:r w:rsidRPr="008915FE">
              <w:t>Assist</w:t>
            </w:r>
            <w:r w:rsidRPr="008915FE">
              <w:t>ing experienced technicians with scheduled servicing</w:t>
            </w:r>
          </w:p>
          <w:p w:rsidR="00000000" w:rsidRPr="008915FE" w:rsidP="008915FE">
            <w:pPr>
              <w:pStyle w:val="List2"/>
            </w:pPr>
            <w:r w:rsidRPr="008915FE">
              <w:t xml:space="preserve"> Fillng of auto-greasers </w:t>
            </w:r>
          </w:p>
          <w:p w:rsidR="00000000" w:rsidRPr="008915FE" w:rsidP="008915FE">
            <w:pPr>
              <w:pStyle w:val="BodyText"/>
            </w:pPr>
            <w:r w:rsidRPr="008915FE">
              <w:t>Routine work activities are restricted to access to the WTG tower and the nacelle</w:t>
            </w:r>
          </w:p>
          <w:p w:rsidR="00000000" w:rsidRPr="008915FE" w:rsidP="008915FE">
            <w:pPr>
              <w:pStyle w:val="BodyText"/>
            </w:pPr>
            <w:r w:rsidRPr="008915FE">
              <w:t>Tools include spanners, screwdrivers, torque wrenches,</w:t>
            </w:r>
          </w:p>
          <w:p w:rsidR="00000000" w:rsidRPr="008915FE" w:rsidP="008915FE">
            <w:pPr>
              <w:pStyle w:val="BodyText"/>
            </w:pPr>
            <w:r w:rsidRPr="008915FE">
              <w:t>Cleaning equipment includes rags, chemic</w:t>
            </w:r>
            <w:r w:rsidRPr="008915FE">
              <w:t>al cleaners</w:t>
            </w:r>
          </w:p>
          <w:p w:rsidR="00000000" w:rsidRPr="008915FE" w:rsidP="008915FE">
            <w:pPr>
              <w:pStyle w:val="BodyText"/>
            </w:pPr>
            <w:r w:rsidRPr="008915FE">
              <w:t>Stock management systems include computer-based, internet, and paper-based enterprise systems and documents</w:t>
            </w:r>
          </w:p>
          <w:p w:rsidR="00000000" w:rsidRPr="008915FE" w:rsidP="008915FE">
            <w:pPr>
              <w:pStyle w:val="BodyText"/>
            </w:pPr>
            <w:r w:rsidRPr="008915FE">
              <w:t>Generic terms used throughout this Vocational Standard shall be rega</w:t>
            </w:r>
            <w:r w:rsidRPr="008915FE">
              <w:t>rded as part of the Range Statement in which competency is demonstrated. The definition of these and other terms that apply are given in the Glossaries, Section 2.1 of this Training Package.</w:t>
            </w:r>
          </w:p>
        </w:tc>
      </w:tr>
    </w:tbl>
    <w:p w:rsidR="00000000" w:rsidRPr="008915FE" w:rsidP="008915FE">
      <w:pPr>
        <w:pStyle w:val="BodyText"/>
      </w:pPr>
    </w:p>
    <w:p w:rsidR="00000000" w:rsidRPr="008915FE" w:rsidP="008915FE">
      <w:pPr>
        <w:pStyle w:val="AllowPageBreak"/>
      </w:pPr>
    </w:p>
    <w:p w:rsidR="00000000" w:rsidRPr="008915FE" w:rsidP="008915FE">
      <w:pPr>
        <w:pStyle w:val="Heading1"/>
      </w:pPr>
      <w:bookmarkStart w:id="12" w:name="O_490798"/>
      <w:bookmarkEnd w:id="12"/>
      <w:r w:rsidRPr="008915FE">
        <w:t>Unit Sector(s)</w:t>
      </w:r>
    </w:p>
    <w:p w:rsidR="00000000" w:rsidRPr="008915FE" w:rsidP="008915FE">
      <w:pPr>
        <w:pStyle w:val="BodyText"/>
      </w:pPr>
      <w:r w:rsidRPr="008915FE">
        <w:t>Not applicable.</w:t>
      </w:r>
    </w:p>
    <w:p w:rsidR="00000000" w:rsidRPr="008915FE" w:rsidP="008915FE">
      <w:pPr>
        <w:pStyle w:val="AllowPageBreak"/>
      </w:pPr>
    </w:p>
    <w:p w:rsidR="00000000" w:rsidRPr="008915FE" w:rsidP="008915FE">
      <w:pPr>
        <w:pStyle w:val="Heading1"/>
      </w:pPr>
      <w:bookmarkStart w:id="13" w:name="O_490787"/>
      <w:bookmarkEnd w:id="13"/>
      <w:r w:rsidRPr="008915FE">
        <w:t>Competency Field</w:t>
      </w:r>
    </w:p>
    <w:tbl>
      <w:tblPr>
        <w:tblW w:w="0" w:type="auto"/>
        <w:tblLayout w:type="fixed"/>
        <w:tblCellMar>
          <w:left w:w="62" w:type="dxa"/>
          <w:right w:w="62" w:type="dxa"/>
        </w:tblCellMar>
        <w:tblLook w:val="0000"/>
      </w:tblPr>
      <w:tblGrid>
        <w:gridCol w:w="2700"/>
        <w:gridCol w:w="5760"/>
      </w:tblGrid>
      <w:tr w:rsidTr="00CE33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15FE">
            <w:pPr>
              <w:pStyle w:val="BodyText"/>
              <w:rPr>
                <w:lang w:val="en-NZ"/>
              </w:rPr>
            </w:pPr>
            <w:r w:rsidRPr="008915FE">
              <w:rPr>
                <w:rStyle w:val="SpecialBold"/>
              </w:rPr>
              <w:t xml:space="preserve">11) </w:t>
            </w:r>
          </w:p>
        </w:tc>
      </w:tr>
      <w:tr w:rsidTr="00CE33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5FE" w:rsidP="008915FE">
            <w:pPr>
              <w:pStyle w:val="BodyText"/>
            </w:pPr>
            <w:r w:rsidRPr="008915FE">
              <w:t>Maintenance</w:t>
            </w:r>
          </w:p>
        </w:tc>
      </w:tr>
    </w:tbl>
    <w:p w:rsidR="00000000" w:rsidRPr="008915FE" w:rsidP="008915FE">
      <w:pPr>
        <w:pStyle w:val="BodyText"/>
      </w:pPr>
    </w:p>
    <w:p w:rsidR="00000000" w:rsidRPr="008915FE" w:rsidP="008915FE"/>
    <w:sectPr w:rsidSect="00891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FE" w:rsidRPr="00CE3392" w:rsidP="00CE33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92" w:rsidP="008915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3392" w:rsidP="008915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CE3392" w:rsidP="00891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FE" w:rsidRPr="00CE3392" w:rsidP="00CE33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92" w:rsidRPr="002D2AF8" w:rsidP="008915FE">
    <w:pPr>
      <w:pStyle w:val="Header"/>
      <w:framePr w:wrap="around"/>
    </w:pPr>
    <w:r>
      <w:fldChar w:fldCharType="begin"/>
    </w:r>
    <w:r>
      <w:instrText xml:space="preserve"> TITLE   \* MERGEFORMAT </w:instrText>
    </w:r>
    <w:r>
      <w:fldChar w:fldCharType="separate"/>
    </w:r>
    <w:r>
      <w:t>UEPMNT202A Carry out routine work activities in an ESI large scale wind generation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CE3392" w:rsidP="00891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E0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263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CC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5FE"/>
    <w:pPr>
      <w:spacing w:before="360" w:after="60"/>
      <w:outlineLvl w:val="0"/>
    </w:pPr>
    <w:rPr>
      <w:sz w:val="32"/>
    </w:rPr>
  </w:style>
  <w:style w:type="paragraph" w:styleId="Heading2">
    <w:name w:val="heading 2"/>
    <w:basedOn w:val="HeadingBase"/>
    <w:next w:val="BodyText"/>
    <w:link w:val="Heading2Char"/>
    <w:qFormat/>
    <w:rsid w:val="008915FE"/>
    <w:pPr>
      <w:keepLines/>
      <w:spacing w:before="240" w:after="120"/>
      <w:outlineLvl w:val="1"/>
    </w:pPr>
    <w:rPr>
      <w:sz w:val="28"/>
      <w:szCs w:val="40"/>
    </w:rPr>
  </w:style>
  <w:style w:type="paragraph" w:styleId="Heading3">
    <w:name w:val="heading 3"/>
    <w:basedOn w:val="HeadingBase"/>
    <w:next w:val="BodyText"/>
    <w:link w:val="Heading3Char"/>
    <w:qFormat/>
    <w:rsid w:val="008915FE"/>
    <w:pPr>
      <w:spacing w:before="180" w:after="120"/>
      <w:outlineLvl w:val="2"/>
    </w:pPr>
    <w:rPr>
      <w:spacing w:val="-10"/>
      <w:kern w:val="32"/>
    </w:rPr>
  </w:style>
  <w:style w:type="paragraph" w:styleId="Heading4">
    <w:name w:val="heading 4"/>
    <w:basedOn w:val="HeadingBase"/>
    <w:next w:val="BodyText"/>
    <w:link w:val="Heading4Char"/>
    <w:qFormat/>
    <w:rsid w:val="008915FE"/>
    <w:pPr>
      <w:spacing w:before="160" w:after="120"/>
      <w:outlineLvl w:val="3"/>
    </w:pPr>
    <w:rPr>
      <w:sz w:val="22"/>
    </w:rPr>
  </w:style>
  <w:style w:type="paragraph" w:styleId="Heading5">
    <w:name w:val="heading 5"/>
    <w:basedOn w:val="HeadingBase"/>
    <w:next w:val="Normal"/>
    <w:link w:val="Heading5Char"/>
    <w:qFormat/>
    <w:rsid w:val="008915FE"/>
    <w:pPr>
      <w:spacing w:before="80"/>
      <w:outlineLvl w:val="4"/>
    </w:pPr>
    <w:rPr>
      <w:color w:val="918585"/>
      <w:sz w:val="20"/>
    </w:rPr>
  </w:style>
  <w:style w:type="paragraph" w:styleId="Heading6">
    <w:name w:val="heading 6"/>
    <w:basedOn w:val="HeadingBase"/>
    <w:next w:val="Normal"/>
    <w:link w:val="Heading6Char"/>
    <w:qFormat/>
    <w:rsid w:val="008915FE"/>
    <w:pPr>
      <w:spacing w:before="60"/>
      <w:outlineLvl w:val="5"/>
    </w:pPr>
    <w:rPr>
      <w:color w:val="918585"/>
      <w:sz w:val="20"/>
    </w:rPr>
  </w:style>
  <w:style w:type="paragraph" w:styleId="Heading7">
    <w:name w:val="heading 7"/>
    <w:basedOn w:val="Normal"/>
    <w:next w:val="Normal"/>
    <w:link w:val="Heading7Char"/>
    <w:qFormat/>
    <w:rsid w:val="008915FE"/>
    <w:pPr>
      <w:ind w:left="720"/>
      <w:outlineLvl w:val="6"/>
    </w:pPr>
    <w:rPr>
      <w:i/>
    </w:rPr>
  </w:style>
  <w:style w:type="paragraph" w:styleId="Heading8">
    <w:name w:val="heading 8"/>
    <w:basedOn w:val="Normal"/>
    <w:next w:val="Normal"/>
    <w:link w:val="Heading8Char"/>
    <w:qFormat/>
    <w:rsid w:val="008915FE"/>
    <w:pPr>
      <w:ind w:left="720"/>
      <w:outlineLvl w:val="7"/>
    </w:pPr>
    <w:rPr>
      <w:i/>
    </w:rPr>
  </w:style>
  <w:style w:type="paragraph" w:styleId="Heading9">
    <w:name w:val="heading 9"/>
    <w:basedOn w:val="Normal"/>
    <w:next w:val="Normal"/>
    <w:link w:val="Heading9Char"/>
    <w:qFormat/>
    <w:rsid w:val="008915FE"/>
    <w:pPr>
      <w:ind w:left="720"/>
      <w:outlineLvl w:val="8"/>
    </w:pPr>
    <w:rPr>
      <w:i/>
    </w:rPr>
  </w:style>
  <w:style w:type="character" w:default="1" w:styleId="DefaultParagraphFont">
    <w:name w:val="Default Paragraph Font"/>
    <w:uiPriority w:val="1"/>
    <w:unhideWhenUsed/>
    <w:rsid w:val="00891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5FE"/>
  </w:style>
  <w:style w:type="character" w:customStyle="1" w:styleId="Heading1Char">
    <w:name w:val="Heading 1 Char"/>
    <w:basedOn w:val="DefaultParagraphFont"/>
    <w:link w:val="Heading1"/>
    <w:rsid w:val="008915FE"/>
    <w:rPr>
      <w:rFonts w:ascii="Times New Roman" w:eastAsia="Times New Roman" w:hAnsi="Times New Roman" w:cs="Times New Roman"/>
      <w:b/>
      <w:sz w:val="32"/>
      <w:szCs w:val="20"/>
      <w:lang w:eastAsia="en-US"/>
    </w:rPr>
  </w:style>
  <w:style w:type="paragraph" w:styleId="BodyText">
    <w:name w:val="Body Text"/>
    <w:basedOn w:val="Normal"/>
    <w:link w:val="BodyTextChar"/>
    <w:rsid w:val="00891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5FE"/>
    <w:rPr>
      <w:rFonts w:ascii="Times New Roman" w:eastAsia="Times New Roman" w:hAnsi="Times New Roman" w:cs="Times New Roman"/>
      <w:sz w:val="24"/>
      <w:lang w:eastAsia="en-US"/>
    </w:rPr>
  </w:style>
  <w:style w:type="paragraph" w:styleId="ListBullet">
    <w:name w:val="List Bullet"/>
    <w:basedOn w:val="List"/>
    <w:rsid w:val="008915FE"/>
    <w:pPr>
      <w:numPr>
        <w:numId w:val="14"/>
      </w:numPr>
      <w:tabs>
        <w:tab w:val="clear" w:pos="340"/>
      </w:tabs>
      <w:spacing w:before="40" w:after="40"/>
    </w:pPr>
  </w:style>
  <w:style w:type="character" w:customStyle="1" w:styleId="SpecialBold">
    <w:name w:val="Special Bold"/>
    <w:basedOn w:val="DefaultParagraphFont"/>
    <w:rsid w:val="008915FE"/>
    <w:rPr>
      <w:b/>
      <w:spacing w:val="0"/>
    </w:rPr>
  </w:style>
  <w:style w:type="paragraph" w:styleId="ListBullet2">
    <w:name w:val="List Bullet 2"/>
    <w:basedOn w:val="List2"/>
    <w:rsid w:val="008915FE"/>
    <w:pPr>
      <w:numPr>
        <w:numId w:val="15"/>
      </w:numPr>
      <w:tabs>
        <w:tab w:val="clear" w:pos="680"/>
      </w:tabs>
    </w:pPr>
  </w:style>
  <w:style w:type="paragraph" w:customStyle="1" w:styleId="SuperHeading">
    <w:name w:val="SuperHeading"/>
    <w:basedOn w:val="Normal"/>
    <w:rsid w:val="008915FE"/>
    <w:pPr>
      <w:spacing w:before="240" w:after="120"/>
      <w:outlineLvl w:val="0"/>
    </w:pPr>
    <w:rPr>
      <w:rFonts w:ascii="Times New Roman" w:hAnsi="Times New Roman"/>
      <w:b/>
      <w:sz w:val="32"/>
    </w:rPr>
  </w:style>
  <w:style w:type="paragraph" w:customStyle="1" w:styleId="AllowPageBreak">
    <w:name w:val="AllowPageBreak"/>
    <w:rsid w:val="008915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15FE"/>
    <w:pPr>
      <w:tabs>
        <w:tab w:val="left" w:pos="680"/>
      </w:tabs>
      <w:spacing w:before="60" w:after="60"/>
      <w:ind w:left="680" w:hanging="340"/>
    </w:pPr>
  </w:style>
  <w:style w:type="paragraph" w:styleId="ListBullet3">
    <w:name w:val="List Bullet 3"/>
    <w:basedOn w:val="List3"/>
    <w:rsid w:val="008915FE"/>
    <w:pPr>
      <w:numPr>
        <w:numId w:val="3"/>
      </w:numPr>
      <w:tabs>
        <w:tab w:val="clear" w:pos="1021"/>
      </w:tabs>
      <w:ind w:left="1037" w:hanging="357"/>
    </w:pPr>
  </w:style>
  <w:style w:type="character" w:customStyle="1" w:styleId="Heading2Char">
    <w:name w:val="Heading 2 Char"/>
    <w:basedOn w:val="DefaultParagraphFont"/>
    <w:link w:val="Heading2"/>
    <w:rsid w:val="00891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5FE"/>
    <w:rPr>
      <w:rFonts w:ascii="Courier New" w:eastAsia="Times New Roman" w:hAnsi="Courier New" w:cs="Times New Roman"/>
      <w:i/>
      <w:szCs w:val="20"/>
      <w:lang w:eastAsia="en-US"/>
    </w:rPr>
  </w:style>
  <w:style w:type="paragraph" w:customStyle="1" w:styleId="HeadingBase">
    <w:name w:val="Heading Base"/>
    <w:rsid w:val="00891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5FE"/>
    <w:pPr>
      <w:tabs>
        <w:tab w:val="right" w:leader="dot" w:pos="9072"/>
      </w:tabs>
      <w:ind w:left="567"/>
    </w:pPr>
    <w:rPr>
      <w:szCs w:val="22"/>
    </w:rPr>
  </w:style>
  <w:style w:type="paragraph" w:customStyle="1" w:styleId="TOCBase">
    <w:name w:val="TOC Base"/>
    <w:rsid w:val="00891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5FE"/>
    <w:pPr>
      <w:tabs>
        <w:tab w:val="right" w:leader="dot" w:pos="9072"/>
      </w:tabs>
      <w:spacing w:before="40" w:after="40"/>
      <w:ind w:left="284"/>
    </w:pPr>
    <w:rPr>
      <w:rFonts w:ascii="Times New Roman" w:hAnsi="Times New Roman"/>
    </w:rPr>
  </w:style>
  <w:style w:type="paragraph" w:styleId="TOC1">
    <w:name w:val="toc 1"/>
    <w:basedOn w:val="TOCBase"/>
    <w:next w:val="Normal"/>
    <w:rsid w:val="00891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5FE"/>
    <w:rPr>
      <w:rFonts w:ascii="Times New Roman" w:eastAsia="Times New Roman" w:hAnsi="Times New Roman" w:cs="Times New Roman"/>
      <w:sz w:val="16"/>
      <w:lang w:eastAsia="en-US"/>
    </w:rPr>
  </w:style>
  <w:style w:type="paragraph" w:styleId="Title">
    <w:name w:val="Title"/>
    <w:basedOn w:val="HeadingBase"/>
    <w:link w:val="TitleChar"/>
    <w:qFormat/>
    <w:rsid w:val="008915FE"/>
    <w:pPr>
      <w:spacing w:before="5040"/>
      <w:jc w:val="center"/>
    </w:pPr>
    <w:rPr>
      <w:sz w:val="48"/>
      <w:szCs w:val="72"/>
      <w:lang w:val="en-US"/>
    </w:rPr>
  </w:style>
  <w:style w:type="character" w:customStyle="1" w:styleId="TitleChar">
    <w:name w:val="Title Char"/>
    <w:basedOn w:val="DefaultParagraphFont"/>
    <w:link w:val="Title"/>
    <w:rsid w:val="00891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5FE"/>
    <w:pPr>
      <w:tabs>
        <w:tab w:val="left" w:pos="3600"/>
        <w:tab w:val="left" w:pos="3958"/>
      </w:tabs>
    </w:pPr>
  </w:style>
  <w:style w:type="paragraph" w:styleId="List">
    <w:name w:val="List"/>
    <w:basedOn w:val="BodyText"/>
    <w:next w:val="BodyText"/>
    <w:rsid w:val="008915FE"/>
    <w:pPr>
      <w:tabs>
        <w:tab w:val="left" w:pos="340"/>
      </w:tabs>
      <w:spacing w:before="60" w:after="60"/>
      <w:ind w:left="340" w:hanging="340"/>
    </w:pPr>
  </w:style>
  <w:style w:type="paragraph" w:customStyle="1" w:styleId="Note">
    <w:name w:val="Note"/>
    <w:basedOn w:val="BodyText"/>
    <w:rsid w:val="00891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5FE"/>
    <w:pPr>
      <w:framePr w:wrap="auto" w:hAnchor="text" w:y="6049"/>
    </w:pPr>
    <w:rPr>
      <w:color w:val="000000"/>
      <w:sz w:val="40"/>
    </w:rPr>
  </w:style>
  <w:style w:type="paragraph" w:customStyle="1" w:styleId="TOCTitle">
    <w:name w:val="TOCTitle"/>
    <w:basedOn w:val="Heading1"/>
    <w:rsid w:val="008915FE"/>
    <w:pPr>
      <w:spacing w:after="240"/>
      <w:jc w:val="center"/>
      <w:outlineLvl w:val="9"/>
    </w:pPr>
    <w:rPr>
      <w:caps/>
    </w:rPr>
  </w:style>
  <w:style w:type="paragraph" w:customStyle="1" w:styleId="Version">
    <w:name w:val="Version"/>
    <w:rsid w:val="00891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5FE"/>
    <w:pPr>
      <w:keepNext w:val="0"/>
      <w:tabs>
        <w:tab w:val="right" w:pos="4176"/>
      </w:tabs>
      <w:ind w:left="198" w:hanging="198"/>
    </w:pPr>
    <w:rPr>
      <w:rFonts w:ascii="Garamond" w:hAnsi="Garamond"/>
    </w:rPr>
  </w:style>
  <w:style w:type="paragraph" w:styleId="IndexHeading">
    <w:name w:val="index heading"/>
    <w:basedOn w:val="Normal"/>
    <w:next w:val="Index1"/>
    <w:semiHidden/>
    <w:rsid w:val="008915FE"/>
    <w:pPr>
      <w:spacing w:before="120" w:after="120"/>
    </w:pPr>
    <w:rPr>
      <w:rFonts w:ascii="Arial" w:hAnsi="Arial"/>
      <w:b/>
      <w:color w:val="918585"/>
      <w:sz w:val="24"/>
    </w:rPr>
  </w:style>
  <w:style w:type="paragraph" w:styleId="Header">
    <w:name w:val="header"/>
    <w:basedOn w:val="Normal"/>
    <w:link w:val="HeaderChar"/>
    <w:rsid w:val="00891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5FE"/>
    <w:rPr>
      <w:rFonts w:ascii="Times New Roman" w:eastAsia="Times New Roman" w:hAnsi="Times New Roman" w:cs="Times New Roman"/>
      <w:sz w:val="16"/>
      <w:szCs w:val="20"/>
      <w:lang w:val="en-GB" w:eastAsia="en-US"/>
    </w:rPr>
  </w:style>
  <w:style w:type="paragraph" w:customStyle="1" w:styleId="Chapter">
    <w:name w:val="Chapter"/>
    <w:basedOn w:val="Normal"/>
    <w:rsid w:val="008915FE"/>
    <w:pPr>
      <w:spacing w:before="240"/>
    </w:pPr>
    <w:rPr>
      <w:rFonts w:ascii="Times New Roman" w:hAnsi="Times New Roman"/>
      <w:smallCaps/>
      <w:spacing w:val="80"/>
      <w:sz w:val="28"/>
    </w:rPr>
  </w:style>
  <w:style w:type="paragraph" w:customStyle="1" w:styleId="InChapter">
    <w:name w:val="InChapter"/>
    <w:basedOn w:val="Heading3"/>
    <w:rsid w:val="008915FE"/>
    <w:pPr>
      <w:spacing w:after="240"/>
      <w:outlineLvl w:val="9"/>
    </w:pPr>
    <w:rPr>
      <w:noProof/>
    </w:rPr>
  </w:style>
  <w:style w:type="paragraph" w:styleId="Index2">
    <w:name w:val="index 2"/>
    <w:basedOn w:val="Normal"/>
    <w:next w:val="Normal"/>
    <w:semiHidden/>
    <w:rsid w:val="008915FE"/>
    <w:pPr>
      <w:tabs>
        <w:tab w:val="right" w:pos="4176"/>
      </w:tabs>
      <w:ind w:left="568" w:hanging="284"/>
    </w:pPr>
    <w:rPr>
      <w:rFonts w:ascii="Garamond" w:hAnsi="Garamond"/>
    </w:rPr>
  </w:style>
  <w:style w:type="paragraph" w:customStyle="1" w:styleId="Byline">
    <w:name w:val="Byline"/>
    <w:rsid w:val="00891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5FE"/>
    <w:pPr>
      <w:tabs>
        <w:tab w:val="clear" w:pos="3600"/>
        <w:tab w:val="clear" w:pos="3958"/>
      </w:tabs>
      <w:jc w:val="right"/>
    </w:pPr>
  </w:style>
  <w:style w:type="character" w:styleId="Emphasis">
    <w:name w:val="Emphasis"/>
    <w:basedOn w:val="DefaultParagraphFont"/>
    <w:qFormat/>
    <w:rsid w:val="008915FE"/>
    <w:rPr>
      <w:i/>
    </w:rPr>
  </w:style>
  <w:style w:type="paragraph" w:styleId="Caption">
    <w:name w:val="caption"/>
    <w:basedOn w:val="BodyText"/>
    <w:next w:val="Normal"/>
    <w:qFormat/>
    <w:rsid w:val="008915FE"/>
    <w:pPr>
      <w:framePr w:w="2268" w:hSpace="181" w:vSpace="181" w:wrap="around" w:vAnchor="text" w:hAnchor="page" w:x="1135" w:y="285" w:anchorLock="1"/>
    </w:pPr>
    <w:rPr>
      <w:i/>
    </w:rPr>
  </w:style>
  <w:style w:type="paragraph" w:customStyle="1" w:styleId="MiniTOCTitle">
    <w:name w:val="MiniTOCTitle"/>
    <w:basedOn w:val="Heading4"/>
    <w:rsid w:val="008915FE"/>
    <w:pPr>
      <w:spacing w:before="240"/>
      <w:outlineLvl w:val="9"/>
    </w:pPr>
    <w:rPr>
      <w:noProof/>
      <w:sz w:val="24"/>
    </w:rPr>
  </w:style>
  <w:style w:type="paragraph" w:customStyle="1" w:styleId="MiniTOCItem">
    <w:name w:val="MiniTOCItem"/>
    <w:basedOn w:val="ListBullet"/>
    <w:rsid w:val="008915FE"/>
    <w:pPr>
      <w:numPr>
        <w:numId w:val="0"/>
      </w:numPr>
      <w:tabs>
        <w:tab w:val="right" w:leader="dot" w:pos="6521"/>
      </w:tabs>
      <w:spacing w:before="0" w:after="0"/>
    </w:pPr>
  </w:style>
  <w:style w:type="paragraph" w:customStyle="1" w:styleId="TOFTitle">
    <w:name w:val="TOFTitle"/>
    <w:basedOn w:val="TOCTitle"/>
    <w:rsid w:val="008915FE"/>
  </w:style>
  <w:style w:type="paragraph" w:styleId="TableofFigures">
    <w:name w:val="table of figures"/>
    <w:basedOn w:val="Normal"/>
    <w:next w:val="Normal"/>
    <w:semiHidden/>
    <w:rsid w:val="008915FE"/>
    <w:pPr>
      <w:tabs>
        <w:tab w:val="right" w:leader="dot" w:pos="9072"/>
      </w:tabs>
      <w:ind w:left="970" w:hanging="403"/>
    </w:pPr>
    <w:rPr>
      <w:rFonts w:ascii="Times New Roman" w:hAnsi="Times New Roman"/>
      <w:b/>
    </w:rPr>
  </w:style>
  <w:style w:type="paragraph" w:styleId="ListNumber">
    <w:name w:val="List Number"/>
    <w:basedOn w:val="List"/>
    <w:rsid w:val="008915FE"/>
    <w:pPr>
      <w:numPr>
        <w:numId w:val="12"/>
      </w:numPr>
    </w:pPr>
  </w:style>
  <w:style w:type="character" w:customStyle="1" w:styleId="WingdingSymbols">
    <w:name w:val="Wingding Symbols"/>
    <w:rsid w:val="008915FE"/>
    <w:rPr>
      <w:rFonts w:ascii="Wingdings" w:hAnsi="Wingdings"/>
    </w:rPr>
  </w:style>
  <w:style w:type="paragraph" w:customStyle="1" w:styleId="TableHeading">
    <w:name w:val="Table Heading"/>
    <w:basedOn w:val="HeadingBase"/>
    <w:rsid w:val="008915FE"/>
    <w:pPr>
      <w:keepLines/>
      <w:pBdr>
        <w:bottom w:val="single" w:sz="6" w:space="1" w:color="918585"/>
      </w:pBdr>
      <w:spacing w:before="240"/>
    </w:pPr>
  </w:style>
  <w:style w:type="character" w:customStyle="1" w:styleId="HotSpot">
    <w:name w:val="HotSpot"/>
    <w:rsid w:val="008915FE"/>
    <w:rPr>
      <w:color w:val="0033CC"/>
      <w:u w:val="none"/>
    </w:rPr>
  </w:style>
  <w:style w:type="paragraph" w:customStyle="1" w:styleId="BodyTextRight">
    <w:name w:val="Body Text Right"/>
    <w:basedOn w:val="BodyText"/>
    <w:rsid w:val="008915FE"/>
    <w:pPr>
      <w:spacing w:before="0" w:after="0"/>
      <w:jc w:val="right"/>
    </w:pPr>
  </w:style>
  <w:style w:type="paragraph" w:styleId="Index3">
    <w:name w:val="index 3"/>
    <w:basedOn w:val="ListNumber2"/>
    <w:next w:val="Normal"/>
    <w:semiHidden/>
    <w:rsid w:val="008915FE"/>
    <w:pPr>
      <w:numPr>
        <w:numId w:val="0"/>
      </w:numPr>
      <w:tabs>
        <w:tab w:val="right" w:leader="dot" w:pos="4176"/>
      </w:tabs>
    </w:pPr>
  </w:style>
  <w:style w:type="paragraph" w:styleId="ListNumber2">
    <w:name w:val="List Number 2"/>
    <w:basedOn w:val="List2"/>
    <w:rsid w:val="008915FE"/>
    <w:pPr>
      <w:numPr>
        <w:numId w:val="11"/>
      </w:numPr>
      <w:tabs>
        <w:tab w:val="clear" w:pos="1060"/>
      </w:tabs>
    </w:pPr>
  </w:style>
  <w:style w:type="paragraph" w:customStyle="1" w:styleId="MarginNote">
    <w:name w:val="Margin Note"/>
    <w:basedOn w:val="BodyText"/>
    <w:rsid w:val="00891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5FE"/>
    <w:rPr>
      <w:sz w:val="32"/>
    </w:rPr>
  </w:style>
  <w:style w:type="paragraph" w:customStyle="1" w:styleId="HeadingProcedure">
    <w:name w:val="Heading Procedure"/>
    <w:basedOn w:val="HeadingBase"/>
    <w:next w:val="Normal"/>
    <w:rsid w:val="008915FE"/>
    <w:pPr>
      <w:tabs>
        <w:tab w:val="left" w:pos="0"/>
      </w:tabs>
      <w:spacing w:before="120" w:after="60"/>
    </w:pPr>
    <w:rPr>
      <w:i/>
      <w:color w:val="918585"/>
      <w:sz w:val="22"/>
    </w:rPr>
  </w:style>
  <w:style w:type="paragraph" w:customStyle="1" w:styleId="TableBodyText">
    <w:name w:val="Table Body Text"/>
    <w:basedOn w:val="BodyText"/>
    <w:rsid w:val="008915FE"/>
    <w:pPr>
      <w:spacing w:before="60" w:after="60"/>
    </w:pPr>
  </w:style>
  <w:style w:type="paragraph" w:styleId="ListContinue">
    <w:name w:val="List Continue"/>
    <w:basedOn w:val="List"/>
    <w:rsid w:val="008915FE"/>
    <w:pPr>
      <w:ind w:firstLine="0"/>
    </w:pPr>
  </w:style>
  <w:style w:type="paragraph" w:customStyle="1" w:styleId="ListNote">
    <w:name w:val="List Note"/>
    <w:basedOn w:val="List"/>
    <w:rsid w:val="008915FE"/>
    <w:pPr>
      <w:pBdr>
        <w:top w:val="single" w:sz="6" w:space="2" w:color="918585"/>
        <w:bottom w:val="single" w:sz="6" w:space="2" w:color="918585"/>
      </w:pBdr>
      <w:tabs>
        <w:tab w:val="left" w:pos="1021"/>
      </w:tabs>
      <w:ind w:firstLine="0"/>
    </w:pPr>
  </w:style>
  <w:style w:type="paragraph" w:customStyle="1" w:styleId="Warning">
    <w:name w:val="Warning"/>
    <w:basedOn w:val="BodyText"/>
    <w:rsid w:val="008915FE"/>
    <w:pPr>
      <w:shd w:val="clear" w:color="auto" w:fill="D9D9D9"/>
      <w:tabs>
        <w:tab w:val="left" w:pos="992"/>
      </w:tabs>
      <w:ind w:left="119" w:right="119"/>
    </w:pPr>
    <w:rPr>
      <w:sz w:val="20"/>
    </w:rPr>
  </w:style>
  <w:style w:type="paragraph" w:customStyle="1" w:styleId="MarginIcons">
    <w:name w:val="Margin Icons"/>
    <w:basedOn w:val="BodyText"/>
    <w:rsid w:val="00891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5FE"/>
    <w:rPr>
      <w:rFonts w:ascii="Courier New" w:hAnsi="Courier New"/>
    </w:rPr>
  </w:style>
  <w:style w:type="paragraph" w:customStyle="1" w:styleId="NoteBullet">
    <w:name w:val="Note Bullet"/>
    <w:basedOn w:val="Note"/>
    <w:rsid w:val="008915FE"/>
    <w:pPr>
      <w:tabs>
        <w:tab w:val="clear" w:pos="680"/>
      </w:tabs>
      <w:spacing w:before="60" w:after="60"/>
    </w:pPr>
  </w:style>
  <w:style w:type="paragraph" w:customStyle="1" w:styleId="SubHeading2">
    <w:name w:val="SubHeading2"/>
    <w:basedOn w:val="HeadingBase"/>
    <w:rsid w:val="008915FE"/>
    <w:pPr>
      <w:spacing w:before="240" w:after="60"/>
    </w:pPr>
    <w:rPr>
      <w:sz w:val="20"/>
    </w:rPr>
  </w:style>
  <w:style w:type="paragraph" w:customStyle="1" w:styleId="SubHeading1">
    <w:name w:val="SubHeading1"/>
    <w:basedOn w:val="HeadingBase"/>
    <w:rsid w:val="008915FE"/>
    <w:pPr>
      <w:spacing w:before="240" w:after="60"/>
    </w:pPr>
    <w:rPr>
      <w:color w:val="918585"/>
      <w:sz w:val="22"/>
    </w:rPr>
  </w:style>
  <w:style w:type="paragraph" w:customStyle="1" w:styleId="SideHeading">
    <w:name w:val="Side Heading"/>
    <w:basedOn w:val="HeadingBase"/>
    <w:rsid w:val="00891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5FE"/>
    <w:pPr>
      <w:numPr>
        <w:numId w:val="13"/>
      </w:numPr>
    </w:pPr>
  </w:style>
  <w:style w:type="paragraph" w:styleId="PlainText">
    <w:name w:val="Plain Text"/>
    <w:basedOn w:val="Normal"/>
    <w:link w:val="PlainTextChar"/>
    <w:rsid w:val="008915FE"/>
    <w:rPr>
      <w:sz w:val="20"/>
    </w:rPr>
  </w:style>
  <w:style w:type="character" w:customStyle="1" w:styleId="PlainTextChar">
    <w:name w:val="Plain Text Char"/>
    <w:basedOn w:val="DefaultParagraphFont"/>
    <w:link w:val="PlainText"/>
    <w:rsid w:val="008915FE"/>
    <w:rPr>
      <w:rFonts w:ascii="Courier New" w:eastAsia="Times New Roman" w:hAnsi="Courier New" w:cs="Times New Roman"/>
      <w:sz w:val="20"/>
      <w:szCs w:val="20"/>
      <w:lang w:eastAsia="en-US"/>
    </w:rPr>
  </w:style>
  <w:style w:type="character" w:customStyle="1" w:styleId="MenuOption">
    <w:name w:val="Menu Option"/>
    <w:basedOn w:val="DefaultParagraphFont"/>
    <w:rsid w:val="008915FE"/>
    <w:rPr>
      <w:b/>
      <w:smallCaps/>
    </w:rPr>
  </w:style>
  <w:style w:type="paragraph" w:customStyle="1" w:styleId="TableListNumber">
    <w:name w:val="Table List Number"/>
    <w:basedOn w:val="ListNumber"/>
    <w:rsid w:val="008915FE"/>
    <w:pPr>
      <w:numPr>
        <w:numId w:val="0"/>
      </w:numPr>
    </w:pPr>
  </w:style>
  <w:style w:type="paragraph" w:styleId="TOC4">
    <w:name w:val="toc 4"/>
    <w:basedOn w:val="TOCBase"/>
    <w:next w:val="Normal"/>
    <w:semiHidden/>
    <w:rsid w:val="008915FE"/>
    <w:pPr>
      <w:tabs>
        <w:tab w:val="right" w:leader="dot" w:pos="9071"/>
      </w:tabs>
      <w:ind w:left="1701"/>
    </w:pPr>
  </w:style>
  <w:style w:type="paragraph" w:customStyle="1" w:styleId="ListAlpha">
    <w:name w:val="List Alpha"/>
    <w:basedOn w:val="List"/>
    <w:rsid w:val="008915FE"/>
    <w:pPr>
      <w:numPr>
        <w:numId w:val="10"/>
      </w:numPr>
    </w:pPr>
  </w:style>
  <w:style w:type="paragraph" w:customStyle="1" w:styleId="ListAlpha2">
    <w:name w:val="List Alpha 2"/>
    <w:basedOn w:val="List2"/>
    <w:rsid w:val="008915FE"/>
    <w:pPr>
      <w:numPr>
        <w:numId w:val="9"/>
      </w:numPr>
    </w:pPr>
  </w:style>
  <w:style w:type="paragraph" w:styleId="List3">
    <w:name w:val="List 3"/>
    <w:basedOn w:val="BodyText"/>
    <w:rsid w:val="008915FE"/>
    <w:pPr>
      <w:tabs>
        <w:tab w:val="left" w:pos="1021"/>
      </w:tabs>
      <w:spacing w:before="60" w:after="60"/>
      <w:ind w:left="1020" w:hanging="340"/>
    </w:pPr>
  </w:style>
  <w:style w:type="paragraph" w:styleId="List4">
    <w:name w:val="List 4"/>
    <w:basedOn w:val="BodyText"/>
    <w:rsid w:val="008915FE"/>
    <w:pPr>
      <w:tabs>
        <w:tab w:val="left" w:pos="1361"/>
      </w:tabs>
      <w:spacing w:before="60" w:after="60"/>
      <w:ind w:left="1361" w:hanging="340"/>
    </w:pPr>
  </w:style>
  <w:style w:type="paragraph" w:styleId="List5">
    <w:name w:val="List 5"/>
    <w:basedOn w:val="BodyText"/>
    <w:rsid w:val="008915FE"/>
    <w:pPr>
      <w:tabs>
        <w:tab w:val="left" w:pos="1701"/>
      </w:tabs>
      <w:spacing w:before="60" w:after="60"/>
      <w:ind w:left="1701" w:hanging="340"/>
    </w:pPr>
  </w:style>
  <w:style w:type="paragraph" w:styleId="ListBullet4">
    <w:name w:val="List Bullet 4"/>
    <w:basedOn w:val="List4"/>
    <w:rsid w:val="008915FE"/>
    <w:pPr>
      <w:numPr>
        <w:numId w:val="4"/>
      </w:numPr>
    </w:pPr>
  </w:style>
  <w:style w:type="paragraph" w:styleId="ListBullet5">
    <w:name w:val="List Bullet 5"/>
    <w:basedOn w:val="List5"/>
    <w:rsid w:val="008915FE"/>
    <w:pPr>
      <w:numPr>
        <w:numId w:val="5"/>
      </w:numPr>
    </w:pPr>
  </w:style>
  <w:style w:type="paragraph" w:styleId="ListContinue2">
    <w:name w:val="List Continue 2"/>
    <w:basedOn w:val="List2"/>
    <w:rsid w:val="008915FE"/>
    <w:pPr>
      <w:ind w:firstLine="0"/>
    </w:pPr>
  </w:style>
  <w:style w:type="paragraph" w:styleId="ListContinue3">
    <w:name w:val="List Continue 3"/>
    <w:basedOn w:val="List3"/>
    <w:rsid w:val="008915FE"/>
    <w:pPr>
      <w:ind w:left="1021" w:firstLine="0"/>
    </w:pPr>
  </w:style>
  <w:style w:type="paragraph" w:styleId="ListContinue4">
    <w:name w:val="List Continue 4"/>
    <w:basedOn w:val="List4"/>
    <w:rsid w:val="008915FE"/>
    <w:pPr>
      <w:ind w:firstLine="0"/>
    </w:pPr>
  </w:style>
  <w:style w:type="paragraph" w:styleId="ListContinue5">
    <w:name w:val="List Continue 5"/>
    <w:basedOn w:val="List5"/>
    <w:rsid w:val="008915FE"/>
    <w:pPr>
      <w:ind w:firstLine="0"/>
    </w:pPr>
  </w:style>
  <w:style w:type="paragraph" w:styleId="ListNumber3">
    <w:name w:val="List Number 3"/>
    <w:basedOn w:val="List3"/>
    <w:rsid w:val="008915FE"/>
    <w:pPr>
      <w:numPr>
        <w:numId w:val="6"/>
      </w:numPr>
    </w:pPr>
  </w:style>
  <w:style w:type="paragraph" w:styleId="ListNumber4">
    <w:name w:val="List Number 4"/>
    <w:basedOn w:val="List4"/>
    <w:rsid w:val="008915FE"/>
    <w:pPr>
      <w:numPr>
        <w:numId w:val="7"/>
      </w:numPr>
    </w:pPr>
  </w:style>
  <w:style w:type="paragraph" w:styleId="ListNumber5">
    <w:name w:val="List Number 5"/>
    <w:basedOn w:val="List5"/>
    <w:rsid w:val="008915FE"/>
    <w:pPr>
      <w:numPr>
        <w:numId w:val="8"/>
      </w:numPr>
    </w:pPr>
  </w:style>
  <w:style w:type="paragraph" w:styleId="BlockText">
    <w:name w:val="Block Text"/>
    <w:basedOn w:val="Normal"/>
    <w:rsid w:val="008915FE"/>
    <w:pPr>
      <w:spacing w:after="120"/>
      <w:ind w:left="1440" w:right="1440"/>
    </w:pPr>
  </w:style>
  <w:style w:type="character" w:customStyle="1" w:styleId="Subscript">
    <w:name w:val="Subscript"/>
    <w:basedOn w:val="DefaultParagraphFont"/>
    <w:rsid w:val="008915FE"/>
    <w:rPr>
      <w:sz w:val="16"/>
      <w:vertAlign w:val="subscript"/>
    </w:rPr>
  </w:style>
  <w:style w:type="character" w:customStyle="1" w:styleId="Superscript">
    <w:name w:val="Superscript"/>
    <w:basedOn w:val="DefaultParagraphFont"/>
    <w:rsid w:val="008915FE"/>
    <w:rPr>
      <w:sz w:val="16"/>
      <w:vertAlign w:val="superscript"/>
    </w:rPr>
  </w:style>
  <w:style w:type="character" w:customStyle="1" w:styleId="Symbols">
    <w:name w:val="Symbols"/>
    <w:basedOn w:val="DefaultParagraphFont"/>
    <w:rsid w:val="008915FE"/>
    <w:rPr>
      <w:rFonts w:ascii="Symbol" w:hAnsi="Symbol"/>
    </w:rPr>
  </w:style>
  <w:style w:type="character" w:customStyle="1" w:styleId="MenuOptions">
    <w:name w:val="Menu Options"/>
    <w:basedOn w:val="DefaultParagraphFont"/>
    <w:rsid w:val="008915FE"/>
    <w:rPr>
      <w:rFonts w:ascii="Arial Narrow" w:hAnsi="Arial Narrow"/>
      <w:smallCaps/>
    </w:rPr>
  </w:style>
  <w:style w:type="character" w:customStyle="1" w:styleId="Buttons">
    <w:name w:val="Buttons"/>
    <w:basedOn w:val="DefaultParagraphFont"/>
    <w:rsid w:val="008915FE"/>
    <w:rPr>
      <w:b/>
    </w:rPr>
  </w:style>
  <w:style w:type="character" w:customStyle="1" w:styleId="Underlined">
    <w:name w:val="Underlined"/>
    <w:basedOn w:val="DefaultParagraphFont"/>
    <w:rsid w:val="008915FE"/>
    <w:rPr>
      <w:u w:val="single"/>
    </w:rPr>
  </w:style>
  <w:style w:type="paragraph" w:customStyle="1" w:styleId="TableBodyTextRight">
    <w:name w:val="Table Body Text Right"/>
    <w:basedOn w:val="TableBodyText"/>
    <w:rsid w:val="008915FE"/>
    <w:pPr>
      <w:widowControl w:val="0"/>
      <w:autoSpaceDE w:val="0"/>
      <w:autoSpaceDN w:val="0"/>
      <w:adjustRightInd w:val="0"/>
      <w:jc w:val="right"/>
    </w:pPr>
    <w:rPr>
      <w:rFonts w:cs="Arial"/>
      <w:szCs w:val="18"/>
    </w:rPr>
  </w:style>
  <w:style w:type="paragraph" w:customStyle="1" w:styleId="CopyrightText">
    <w:name w:val="Copyright Text"/>
    <w:basedOn w:val="BodyText"/>
    <w:rsid w:val="008915FE"/>
    <w:rPr>
      <w:sz w:val="18"/>
    </w:rPr>
  </w:style>
  <w:style w:type="paragraph" w:customStyle="1" w:styleId="BodySmallRight">
    <w:name w:val="Body Small Right"/>
    <w:basedOn w:val="BodyTextRight"/>
    <w:rsid w:val="008915FE"/>
    <w:rPr>
      <w:sz w:val="18"/>
      <w:szCs w:val="18"/>
    </w:rPr>
  </w:style>
  <w:style w:type="paragraph" w:customStyle="1" w:styleId="MarginEdition">
    <w:name w:val="Margin Edition"/>
    <w:basedOn w:val="MarginNote"/>
    <w:rsid w:val="008915FE"/>
    <w:pPr>
      <w:spacing w:before="0" w:after="0"/>
    </w:pPr>
    <w:rPr>
      <w:rFonts w:ascii="Times New Roman" w:hAnsi="Times New Roman"/>
      <w:color w:val="999999"/>
    </w:rPr>
  </w:style>
  <w:style w:type="paragraph" w:customStyle="1" w:styleId="Spacer">
    <w:name w:val="Spacer"/>
    <w:basedOn w:val="Normal"/>
    <w:rsid w:val="008915FE"/>
    <w:rPr>
      <w:sz w:val="2"/>
      <w:szCs w:val="2"/>
    </w:rPr>
  </w:style>
  <w:style w:type="character" w:customStyle="1" w:styleId="Small">
    <w:name w:val="Small"/>
    <w:basedOn w:val="DefaultParagraphFont"/>
    <w:rsid w:val="008915FE"/>
    <w:rPr>
      <w:sz w:val="16"/>
    </w:rPr>
  </w:style>
  <w:style w:type="paragraph" w:customStyle="1" w:styleId="WideTable">
    <w:name w:val="Wide Table"/>
    <w:basedOn w:val="Normal"/>
    <w:rsid w:val="008915FE"/>
    <w:pPr>
      <w:ind w:left="-1418"/>
    </w:pPr>
    <w:rPr>
      <w:sz w:val="2"/>
      <w:szCs w:val="2"/>
    </w:rPr>
  </w:style>
  <w:style w:type="character" w:styleId="PageNumber">
    <w:name w:val="page number"/>
    <w:basedOn w:val="DefaultParagraphFont"/>
    <w:rsid w:val="008915FE"/>
  </w:style>
  <w:style w:type="paragraph" w:styleId="Quote">
    <w:name w:val="Quote"/>
    <w:basedOn w:val="Heading1"/>
    <w:link w:val="QuoteChar"/>
    <w:qFormat/>
    <w:rsid w:val="008915FE"/>
    <w:rPr>
      <w:b w:val="0"/>
      <w:sz w:val="72"/>
      <w:szCs w:val="72"/>
      <w:lang w:val="en-NZ"/>
    </w:rPr>
  </w:style>
  <w:style w:type="character" w:customStyle="1" w:styleId="QuoteChar">
    <w:name w:val="Quote Char"/>
    <w:basedOn w:val="DefaultParagraphFont"/>
    <w:link w:val="Quote"/>
    <w:rsid w:val="00891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5FE"/>
    <w:pPr>
      <w:pageBreakBefore/>
    </w:pPr>
  </w:style>
  <w:style w:type="paragraph" w:customStyle="1" w:styleId="Border">
    <w:name w:val="Border"/>
    <w:basedOn w:val="Normal"/>
    <w:qFormat/>
    <w:rsid w:val="00891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5FE"/>
    <w:rPr>
      <w:b/>
      <w:bCs/>
      <w:i/>
      <w:iCs/>
      <w:color w:val="auto"/>
    </w:rPr>
  </w:style>
  <w:style w:type="paragraph" w:styleId="IntenseQuote">
    <w:name w:val="Intense Quote"/>
    <w:basedOn w:val="Normal"/>
    <w:next w:val="Normal"/>
    <w:link w:val="IntenseQuoteChar"/>
    <w:uiPriority w:val="30"/>
    <w:qFormat/>
    <w:rsid w:val="00891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5FE"/>
    <w:rPr>
      <w:smallCaps/>
      <w:color w:val="auto"/>
      <w:u w:val="single"/>
    </w:rPr>
  </w:style>
  <w:style w:type="character" w:styleId="IntenseReference">
    <w:name w:val="Intense Reference"/>
    <w:basedOn w:val="DefaultParagraphFont"/>
    <w:uiPriority w:val="32"/>
    <w:qFormat/>
    <w:rsid w:val="008915FE"/>
    <w:rPr>
      <w:b/>
      <w:bCs/>
      <w:smallCaps/>
      <w:color w:val="auto"/>
      <w:spacing w:val="5"/>
      <w:u w:val="single"/>
    </w:rPr>
  </w:style>
  <w:style w:type="paragraph" w:customStyle="1" w:styleId="2ColumnHeading">
    <w:name w:val="2Column Heading"/>
    <w:basedOn w:val="BodyText"/>
    <w:qFormat/>
    <w:rsid w:val="008915FE"/>
    <w:pPr>
      <w:spacing w:after="60"/>
      <w:ind w:left="-2268"/>
    </w:pPr>
    <w:rPr>
      <w:b/>
    </w:rPr>
  </w:style>
  <w:style w:type="paragraph" w:customStyle="1" w:styleId="Heading1TOC">
    <w:name w:val="Heading1 TOC"/>
    <w:basedOn w:val="Normal"/>
    <w:qFormat/>
    <w:rsid w:val="008915FE"/>
    <w:pPr>
      <w:spacing w:before="240" w:after="120"/>
    </w:pPr>
    <w:rPr>
      <w:rFonts w:ascii="Times New Roman" w:hAnsi="Times New Roman"/>
      <w:b/>
      <w:sz w:val="32"/>
    </w:rPr>
  </w:style>
  <w:style w:type="paragraph" w:customStyle="1" w:styleId="Heading2TOC">
    <w:name w:val="Heading2 TOC"/>
    <w:basedOn w:val="Normal"/>
    <w:qFormat/>
    <w:rsid w:val="008915FE"/>
    <w:pPr>
      <w:spacing w:before="240" w:after="60"/>
    </w:pPr>
    <w:rPr>
      <w:rFonts w:ascii="Times New Roman" w:hAnsi="Times New Roman"/>
      <w:b/>
      <w:sz w:val="28"/>
    </w:rPr>
  </w:style>
  <w:style w:type="character" w:customStyle="1" w:styleId="Underline">
    <w:name w:val="Underline"/>
    <w:basedOn w:val="DefaultParagraphFont"/>
    <w:qFormat/>
    <w:rsid w:val="008915FE"/>
    <w:rPr>
      <w:u w:val="single"/>
    </w:rPr>
  </w:style>
  <w:style w:type="character" w:customStyle="1" w:styleId="BoldandItalics">
    <w:name w:val="Bold and Italics"/>
    <w:qFormat/>
    <w:rsid w:val="008915FE"/>
    <w:rPr>
      <w:b/>
      <w:i/>
      <w:u w:val="none"/>
    </w:rPr>
  </w:style>
  <w:style w:type="paragraph" w:styleId="BalloonText">
    <w:name w:val="Balloon Text"/>
    <w:basedOn w:val="Normal"/>
    <w:link w:val="BalloonTextChar"/>
    <w:rsid w:val="008915FE"/>
    <w:rPr>
      <w:rFonts w:ascii="Tahoma" w:hAnsi="Tahoma" w:cs="Tahoma"/>
      <w:sz w:val="16"/>
      <w:szCs w:val="16"/>
    </w:rPr>
  </w:style>
  <w:style w:type="character" w:customStyle="1" w:styleId="BalloonTextChar">
    <w:name w:val="Balloon Text Char"/>
    <w:basedOn w:val="DefaultParagraphFont"/>
    <w:link w:val="BalloonText"/>
    <w:rsid w:val="00891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5FE"/>
    <w:rPr>
      <w:b/>
      <w:color w:val="660033"/>
      <w:spacing w:val="0"/>
    </w:rPr>
  </w:style>
  <w:style w:type="paragraph" w:customStyle="1" w:styleId="Nameditemlist">
    <w:name w:val="Named item list"/>
    <w:basedOn w:val="BodyText"/>
    <w:qFormat/>
    <w:rsid w:val="00891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2101</Words>
  <Characters>12343</Characters>
  <Application>Microsoft Office Word</Application>
  <DocSecurity>0</DocSecurity>
  <Lines>489</Lines>
  <Paragraphs>223</Paragraphs>
  <ScaleCrop>false</ScaleCrop>
  <Company>Author-it Software Corporation Ltd.</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UEPMNT202A Carry out routine work activities in an ESI large scale wind generation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2013-03-14T22:09:00Z</dcterms:created>
  <dcterms:modified xsi:type="dcterms:W3CDTF">2013-03-14T22:09:00Z</dcterms:modified>
</cp:coreProperties>
</file>