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095" w:rsidP="00983095">
      <w:pPr>
        <w:pStyle w:val="Title"/>
      </w:pPr>
      <w:r>
        <w:fldChar w:fldCharType="begin"/>
      </w:r>
      <w:r>
        <w:instrText xml:space="preserve"> TITLE   \* MERGEFORMAT </w:instrText>
      </w:r>
      <w:r>
        <w:fldChar w:fldCharType="separate"/>
      </w:r>
      <w:r>
        <w:t>UEPOPS512A Manage the Network/System</w:t>
      </w:r>
      <w:r>
        <w:fldChar w:fldCharType="end"/>
      </w:r>
    </w:p>
    <w:p w:rsidR="00983095" w:rsidP="00983095">
      <w:pPr>
        <w:pStyle w:val="Version"/>
        <w:sectPr w:rsidSect="00EA2C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C98" w:rsidP="00EA2C98">
      <w:pPr>
        <w:pStyle w:val="SuperHeading"/>
      </w:pPr>
      <w:r w:rsidRPr="00EA2C98">
        <w:t>UEPOPS512A Manage the Network/System</w:t>
      </w:r>
    </w:p>
    <w:p w:rsidR="00000000" w:rsidRPr="00EA2C98" w:rsidP="00EA2C98">
      <w:pPr>
        <w:pStyle w:val="Heading1"/>
      </w:pPr>
      <w:bookmarkStart w:id="1" w:name="O_275407"/>
      <w:bookmarkEnd w:id="1"/>
      <w:r w:rsidRPr="00EA2C98">
        <w:t>Modification History</w:t>
      </w:r>
    </w:p>
    <w:p w:rsidR="00000000" w:rsidRPr="00EA2C98" w:rsidP="00EA2C98">
      <w:pPr>
        <w:pStyle w:val="BodyText"/>
      </w:pPr>
      <w:r w:rsidRPr="00EA2C98">
        <w:t>Not Applicable</w:t>
      </w:r>
    </w:p>
    <w:p w:rsidR="00000000" w:rsidRPr="00EA2C98" w:rsidP="00EA2C98">
      <w:pPr>
        <w:pStyle w:val="AllowPageBreak"/>
      </w:pPr>
    </w:p>
    <w:p w:rsidR="00000000" w:rsidRPr="00EA2C98" w:rsidP="00EA2C98">
      <w:pPr>
        <w:pStyle w:val="Heading1"/>
      </w:pPr>
      <w:bookmarkStart w:id="2" w:name="O_231005"/>
      <w:bookmarkEnd w:id="2"/>
      <w:r w:rsidRPr="00EA2C98">
        <w:t>Unit Descriptor</w:t>
      </w:r>
    </w:p>
    <w:tbl>
      <w:tblPr>
        <w:tblW w:w="0" w:type="auto"/>
        <w:tblLayout w:type="fixed"/>
        <w:tblCellMar>
          <w:left w:w="62" w:type="dxa"/>
          <w:right w:w="62" w:type="dxa"/>
        </w:tblCellMar>
        <w:tblLook w:val="0000"/>
      </w:tblPr>
      <w:tblGrid>
        <w:gridCol w:w="2700"/>
        <w:gridCol w:w="5760"/>
      </w:tblGrid>
      <w:tr w:rsidTr="009830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rPr>
                <w:rStyle w:val="SpecialBold"/>
              </w:rPr>
              <w:t>1</w:t>
            </w:r>
            <w:r w:rsidRPr="00EA2C98">
              <w:t xml:space="preserve">) </w:t>
            </w:r>
          </w:p>
        </w:tc>
      </w:tr>
      <w:tr w:rsidTr="00983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t>This unit deals with the skills and knowledge required to manage a network/system (eg these systems may be interconnected, remote or isolated).</w:t>
            </w:r>
          </w:p>
        </w:tc>
      </w:tr>
    </w:tbl>
    <w:p w:rsidR="00983095" w:rsidP="00EA2C98">
      <w:pPr>
        <w:pStyle w:val="BodyText"/>
      </w:pPr>
    </w:p>
    <w:p w:rsidR="00983095" w:rsidP="00EA2C98">
      <w:pPr>
        <w:pStyle w:val="BodyText"/>
      </w:pPr>
    </w:p>
    <w:p w:rsidR="00000000" w:rsidRPr="00EA2C98" w:rsidP="00EA2C98">
      <w:pPr>
        <w:pStyle w:val="Heading1"/>
      </w:pPr>
      <w:bookmarkStart w:id="3" w:name="O_231008"/>
      <w:bookmarkEnd w:id="3"/>
      <w:r w:rsidRPr="00EA2C98">
        <w:t>Application of the Unit</w:t>
      </w:r>
    </w:p>
    <w:tbl>
      <w:tblPr>
        <w:tblW w:w="0" w:type="auto"/>
        <w:tblLayout w:type="fixed"/>
        <w:tblCellMar>
          <w:left w:w="62" w:type="dxa"/>
          <w:right w:w="62" w:type="dxa"/>
        </w:tblCellMar>
        <w:tblLook w:val="0000"/>
      </w:tblPr>
      <w:tblGrid>
        <w:gridCol w:w="2700"/>
        <w:gridCol w:w="5760"/>
      </w:tblGrid>
      <w:tr w:rsidTr="009830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rPr>
                <w:rStyle w:val="SpecialBold"/>
              </w:rPr>
              <w:t>3</w:t>
            </w:r>
            <w:r w:rsidRPr="00EA2C98">
              <w:t xml:space="preserve">) </w:t>
            </w:r>
          </w:p>
        </w:tc>
      </w:tr>
      <w:tr w:rsidTr="00983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This unit is intended to augment forma</w:t>
            </w:r>
            <w:r w:rsidRPr="00EA2C98">
              <w:t>lly acquired competencies. It is suitable for employment-based programs under an approved contract of training.</w:t>
            </w:r>
          </w:p>
        </w:tc>
      </w:tr>
      <w:tr w:rsidTr="00983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rPr>
                <w:rStyle w:val="SpecialBold"/>
              </w:rPr>
              <w:t>3</w:t>
            </w:r>
            <w:r w:rsidRPr="00EA2C98">
              <w:t>.</w:t>
            </w:r>
            <w:r w:rsidRPr="00EA2C98">
              <w:rPr>
                <w:rStyle w:val="SpecialBold"/>
              </w:rPr>
              <w:t>1</w:t>
            </w:r>
            <w:r w:rsidRPr="00EA2C98">
              <w:t xml:space="preserve">) </w:t>
            </w:r>
          </w:p>
        </w:tc>
      </w:tr>
      <w:tr w:rsidTr="00983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t>The skills and knowledge described in this unit do not require a licence to practise in the workplace. However,</w:t>
            </w:r>
            <w:r w:rsidRPr="00EA2C98">
              <w:t xml:space="preserve"> practice in this unit is subject to regulations directly related to Occupational Health and Safety and where applicable contracts of training such as apprenticeships and the like.</w:t>
            </w:r>
          </w:p>
        </w:tc>
      </w:tr>
    </w:tbl>
    <w:p w:rsidR="00983095" w:rsidP="00EA2C98">
      <w:pPr>
        <w:pStyle w:val="BodyText"/>
      </w:pPr>
    </w:p>
    <w:p w:rsidR="00983095" w:rsidP="00EA2C98">
      <w:pPr>
        <w:pStyle w:val="BodyText"/>
      </w:pPr>
    </w:p>
    <w:p w:rsidR="00000000" w:rsidRPr="00EA2C98" w:rsidP="00EA2C98">
      <w:pPr>
        <w:pStyle w:val="Heading1"/>
      </w:pPr>
      <w:bookmarkStart w:id="4" w:name="O_282941"/>
      <w:bookmarkEnd w:id="4"/>
      <w:r w:rsidRPr="00EA2C98">
        <w:t>Licensing/Regulatory Information</w:t>
      </w:r>
    </w:p>
    <w:p w:rsidR="00000000" w:rsidRPr="00EA2C98" w:rsidP="00EA2C98">
      <w:pPr>
        <w:pStyle w:val="BodyText"/>
      </w:pPr>
      <w:r w:rsidRPr="00EA2C98">
        <w:t>Not Applicable</w:t>
      </w:r>
    </w:p>
    <w:p w:rsidR="00000000" w:rsidRPr="00EA2C98" w:rsidP="00EA2C98">
      <w:pPr>
        <w:pStyle w:val="AllowPageBreak"/>
      </w:pPr>
    </w:p>
    <w:p w:rsidR="00000000" w:rsidRPr="00EA2C98" w:rsidP="00EA2C98">
      <w:pPr>
        <w:pStyle w:val="Heading1"/>
      </w:pPr>
      <w:bookmarkStart w:id="5" w:name="O_231006"/>
      <w:bookmarkEnd w:id="5"/>
      <w:r w:rsidRPr="00EA2C98">
        <w:t>Pre-Requisites</w:t>
      </w:r>
    </w:p>
    <w:tbl>
      <w:tblPr>
        <w:tblW w:w="0" w:type="auto"/>
        <w:tblLayout w:type="fixed"/>
        <w:tblCellMar>
          <w:left w:w="62" w:type="dxa"/>
          <w:right w:w="62" w:type="dxa"/>
        </w:tblCellMar>
        <w:tblLook w:val="0000"/>
      </w:tblPr>
      <w:tblGrid>
        <w:gridCol w:w="2700"/>
        <w:gridCol w:w="1800"/>
        <w:gridCol w:w="3960"/>
      </w:tblGrid>
      <w:tr w:rsidTr="009830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Prerequisite Unit</w:t>
            </w:r>
            <w:r w:rsidRPr="00EA2C98">
              <w:t>(</w:t>
            </w:r>
            <w:r w:rsidRPr="00EA2C98">
              <w:rPr>
                <w:rStyle w:val="SpecialBold"/>
              </w:rPr>
              <w:t>s</w:t>
            </w:r>
            <w:r w:rsidRPr="00EA2C98">
              <w:t>)</w:t>
            </w:r>
          </w:p>
        </w:tc>
        <w:tc>
          <w:tcPr>
            <w:tcW w:w="5760" w:type="dxa"/>
            <w:gridSpan w:val="2"/>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rPr>
                <w:rStyle w:val="SpecialBold"/>
              </w:rPr>
              <w:t>2</w:t>
            </w:r>
            <w:r w:rsidRPr="00EA2C98">
              <w:t xml:space="preserve">) </w:t>
            </w:r>
          </w:p>
        </w:tc>
      </w:tr>
      <w:tr w:rsidTr="00983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rPr>
                <w:rStyle w:val="SpecialBold"/>
              </w:rPr>
              <w:t>2</w:t>
            </w:r>
            <w:r w:rsidRPr="00EA2C98">
              <w:t>.</w:t>
            </w:r>
            <w:r w:rsidRPr="00EA2C98">
              <w:rPr>
                <w:rStyle w:val="SpecialBold"/>
              </w:rPr>
              <w:t>1</w:t>
            </w:r>
            <w:r w:rsidRPr="00EA2C98">
              <w:t xml:space="preserve">) </w:t>
            </w:r>
          </w:p>
        </w:tc>
      </w:tr>
      <w:tr w:rsidTr="00983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 xml:space="preserve">Competency in this unit shall be assessed only after the following competency has been acquired: </w:t>
            </w:r>
          </w:p>
        </w:tc>
      </w:tr>
      <w:tr w:rsidTr="00983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UEPOPS420A</w:t>
            </w:r>
          </w:p>
        </w:tc>
        <w:tc>
          <w:tcPr>
            <w:tcW w:w="396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t>Coordinate the network/system.</w:t>
            </w:r>
          </w:p>
        </w:tc>
      </w:tr>
    </w:tbl>
    <w:p w:rsidR="00983095" w:rsidP="00EA2C98">
      <w:pPr>
        <w:pStyle w:val="BodyText"/>
      </w:pPr>
    </w:p>
    <w:p w:rsidR="00983095" w:rsidP="00EA2C98">
      <w:pPr>
        <w:pStyle w:val="BodyText"/>
      </w:pPr>
    </w:p>
    <w:p w:rsidR="00000000" w:rsidRPr="00EA2C98" w:rsidP="00EA2C98">
      <w:pPr>
        <w:pStyle w:val="Heading1"/>
      </w:pPr>
      <w:bookmarkStart w:id="6" w:name="O_285656"/>
      <w:bookmarkEnd w:id="6"/>
      <w:r w:rsidRPr="00EA2C98">
        <w:t>Employability Skills Information</w:t>
      </w:r>
    </w:p>
    <w:p w:rsidR="00000000" w:rsidRPr="00EA2C98" w:rsidP="00EA2C98">
      <w:pPr>
        <w:pStyle w:val="BodyText"/>
      </w:pPr>
      <w:r w:rsidRPr="00EA2C98">
        <w:t>Refer to the Evidence Guide</w:t>
      </w:r>
    </w:p>
    <w:p w:rsidR="00000000" w:rsidRPr="00EA2C98" w:rsidP="00EA2C98">
      <w:pPr>
        <w:pStyle w:val="AllowPageBreak"/>
      </w:pPr>
    </w:p>
    <w:p w:rsidR="00000000" w:rsidRPr="00EA2C98" w:rsidP="00EA2C98">
      <w:pPr>
        <w:pStyle w:val="Heading1"/>
      </w:pPr>
      <w:bookmarkStart w:id="7" w:name="O_293453"/>
      <w:bookmarkEnd w:id="7"/>
      <w:r w:rsidRPr="00EA2C98">
        <w:t>Elements and Performance Criteria Pre-Content</w:t>
      </w:r>
    </w:p>
    <w:tbl>
      <w:tblPr>
        <w:tblW w:w="0" w:type="auto"/>
        <w:tblLayout w:type="fixed"/>
        <w:tblCellMar>
          <w:left w:w="62" w:type="dxa"/>
          <w:right w:w="62" w:type="dxa"/>
        </w:tblCellMar>
        <w:tblLook w:val="0000"/>
      </w:tblPr>
      <w:tblGrid>
        <w:gridCol w:w="2700"/>
        <w:gridCol w:w="5760"/>
      </w:tblGrid>
      <w:tr w:rsidTr="00983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rPr>
                <w:rStyle w:val="SpecialBold"/>
              </w:rPr>
              <w:t>5</w:t>
            </w:r>
            <w:r w:rsidRPr="00EA2C98">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t>Performance Criteria describe the required performance ne</w:t>
            </w:r>
            <w:r w:rsidRPr="00EA2C98">
              <w:t>eded to demonstrate achievement of the element. Assessment of performance is to be consistent with the Evidence Guide.</w:t>
            </w:r>
          </w:p>
        </w:tc>
      </w:tr>
    </w:tbl>
    <w:p w:rsidR="00000000" w:rsidRPr="00EA2C98" w:rsidP="00EA2C98">
      <w:pPr>
        <w:pStyle w:val="BodyText"/>
      </w:pPr>
    </w:p>
    <w:p w:rsidR="00000000" w:rsidRPr="00EA2C98" w:rsidP="00EA2C98">
      <w:pPr>
        <w:pStyle w:val="AllowPageBreak"/>
      </w:pPr>
    </w:p>
    <w:p w:rsidR="00000000" w:rsidRPr="00EA2C98" w:rsidP="00EA2C98">
      <w:pPr>
        <w:pStyle w:val="Heading1"/>
      </w:pPr>
      <w:bookmarkStart w:id="8" w:name="O_240121"/>
      <w:bookmarkEnd w:id="8"/>
      <w:r w:rsidRPr="00EA2C9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8309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rPr>
                <w:rStyle w:val="SpecialBold"/>
              </w:rPr>
              <w:t>PERFORMANCE CRITERIA</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1</w:t>
            </w:r>
          </w:p>
        </w:tc>
        <w:tc>
          <w:tcPr>
            <w:tcW w:w="2296" w:type="dxa"/>
            <w:vMerge w:val="restart"/>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Plan and prepare network operations</w:t>
            </w: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1.1</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Information and documentation to determine network/system status is assessed and evaluated in accordance with system requirements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1.2</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Network/system and associated equipment operational pre-requisites are established in accordance with enterprise/system</w:t>
            </w:r>
            <w:r w:rsidRPr="00EA2C98">
              <w:t xml:space="preserve"> procedures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1.3</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Sequence for recommissioning of network sections and equipment is identified and determined to suit existing circumstances in accordance with enterprise/system procedures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1.4</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 xml:space="preserve">Forecast prediction is based on the accurate interpretation and analysis of relevant information in accordance with system </w:t>
            </w:r>
            <w:r w:rsidRPr="00EA2C98">
              <w:t>procedures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1.5</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Network/system limitations and performance due to location and external influences are identified</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1.6</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Where appr</w:t>
            </w:r>
            <w:r w:rsidRPr="00EA2C98">
              <w:t xml:space="preserve">opriate, the teams and individuals roles and responsibilities within the team are identified and, where required, assist in the provision of the on-the-job training </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2</w:t>
            </w:r>
          </w:p>
        </w:tc>
        <w:tc>
          <w:tcPr>
            <w:tcW w:w="2296" w:type="dxa"/>
            <w:vMerge w:val="restart"/>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Manage and control network /system</w:t>
            </w: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2.1</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Network/system is operated in accordance with enterprise/system operating procedures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2.2</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Network/system demand is met with contingencies in place to maintain quality of supply standards in accordance with statutory requirements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2.3</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Network/system vol</w:t>
            </w:r>
            <w:r w:rsidRPr="00EA2C98">
              <w:t>tage and current requirements are assessed, evaluated and controlled to maintain stability and system integrity</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2.4</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Voltage/load profiles are identified and adhered to minimising transmission losses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2.5</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Network/system load shedding sequence and priorities are monitored to ensure system integrity</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2.6</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Network/system data is monitored for normal operation or to detect deviations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2.7</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 xml:space="preserve">Corrective actions to rectify abnormalities are implemented following </w:t>
            </w:r>
            <w:r w:rsidRPr="00EA2C98">
              <w:t>analysis of data in accordance with system procedures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2.8</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Resources required to meet system requirements are identified and coordinated in accordance with system procedures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2.9</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Where required, op</w:t>
            </w:r>
            <w:r w:rsidRPr="00EA2C98">
              <w:t>erations are carried out in consultation with team members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3</w:t>
            </w:r>
          </w:p>
        </w:tc>
        <w:tc>
          <w:tcPr>
            <w:tcW w:w="2296" w:type="dxa"/>
            <w:vMerge w:val="restart"/>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Analyse and respond to network/ system faults or incidents</w:t>
            </w: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3.1</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Causes of abnormal network/system operating conditions are identified by analysing the technical and operational information in a l</w:t>
            </w:r>
            <w:r w:rsidRPr="00EA2C98">
              <w:t>ogistical and sequential manner</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3.2</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Operation of protection systems are identified and assessed to evaluate the nature and cause of fault conditions.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3.3</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Communication may be established with other authorities and/or key stake holders to identify nature/source of system interference</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3.4</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Corrective action is taken in accordance with enterprise/system procedures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3.5</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Network/system integrity and personne</w:t>
            </w:r>
            <w:r w:rsidRPr="00EA2C98">
              <w:t>l safety are maintained through consultation with appropriate personnel and reference to plant technical, operational documentation and contingency plans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4</w:t>
            </w:r>
          </w:p>
        </w:tc>
        <w:tc>
          <w:tcPr>
            <w:tcW w:w="2296" w:type="dxa"/>
            <w:vMerge w:val="restart"/>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Review incident response and preventative procedures</w:t>
            </w: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4.1</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Incident responses are assessed and reviewed in accordance with system procedures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4.2</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Alternative responses/contingencies are identified and assessed in accordance with system procedures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4.3</w:t>
            </w:r>
          </w:p>
        </w:tc>
        <w:tc>
          <w:tcPr>
            <w:tcW w:w="48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Alternative responses/contingencies are documented and appr</w:t>
            </w:r>
            <w:r w:rsidRPr="00EA2C98">
              <w:t>oved in accordance with system procedures</w:t>
            </w:r>
          </w:p>
        </w:tc>
      </w:tr>
      <w:tr w:rsidTr="009830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5</w:t>
            </w:r>
          </w:p>
        </w:tc>
        <w:tc>
          <w:tcPr>
            <w:tcW w:w="2296"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Complete documentation</w:t>
            </w:r>
          </w:p>
        </w:tc>
        <w:tc>
          <w:tcPr>
            <w:tcW w:w="9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5.1</w:t>
            </w:r>
          </w:p>
        </w:tc>
        <w:tc>
          <w:tcPr>
            <w:tcW w:w="486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t>Documentation is updated, log sheets maintained and equipment/system problems, movements abnormalities and status are reported and logged in accordance with enterprise/site procedures</w:t>
            </w:r>
          </w:p>
        </w:tc>
      </w:tr>
    </w:tbl>
    <w:p w:rsidR="00983095" w:rsidP="00EA2C98">
      <w:pPr>
        <w:pStyle w:val="BodyText"/>
      </w:pPr>
    </w:p>
    <w:p w:rsidR="00983095" w:rsidP="00EA2C98">
      <w:pPr>
        <w:pStyle w:val="BodyText"/>
      </w:pPr>
    </w:p>
    <w:p w:rsidR="00000000" w:rsidRPr="00EA2C98" w:rsidP="00EA2C98">
      <w:pPr>
        <w:pStyle w:val="Heading1"/>
      </w:pPr>
      <w:bookmarkStart w:id="9" w:name="O_263912"/>
      <w:bookmarkEnd w:id="9"/>
      <w:r w:rsidRPr="00EA2C98">
        <w:t>Required Skills and Knowledge</w:t>
      </w:r>
    </w:p>
    <w:tbl>
      <w:tblPr>
        <w:tblW w:w="0" w:type="auto"/>
        <w:tblLayout w:type="fixed"/>
        <w:tblCellMar>
          <w:left w:w="62" w:type="dxa"/>
          <w:right w:w="62" w:type="dxa"/>
        </w:tblCellMar>
        <w:tblLook w:val="0000"/>
      </w:tblPr>
      <w:tblGrid>
        <w:gridCol w:w="2700"/>
        <w:gridCol w:w="5760"/>
      </w:tblGrid>
      <w:tr w:rsidTr="0098309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rPr>
                <w:rStyle w:val="SpecialBold"/>
              </w:rPr>
              <w:t>REQUIRED SKILLS AND KNOWLEDGE</w:t>
            </w:r>
          </w:p>
        </w:tc>
      </w:tr>
      <w:tr w:rsidTr="0098309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rPr>
                <w:rStyle w:val="SpecialBold"/>
              </w:rPr>
              <w:t>6</w:t>
            </w:r>
            <w:r w:rsidRPr="00EA2C98">
              <w:t>) This describes the essential skills and knowledge and their level, required for this unit.</w:t>
            </w:r>
          </w:p>
        </w:tc>
      </w:tr>
      <w:tr w:rsidTr="0098309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t>Evidence shall show th</w:t>
            </w:r>
            <w:r w:rsidRPr="00EA2C98">
              <w:t>at knowledge has been acquired managing the network/system.</w:t>
            </w:r>
          </w:p>
          <w:p w:rsidR="00000000" w:rsidP="00EA2C98">
            <w:pPr>
              <w:pStyle w:val="BodyText"/>
              <w:rPr>
                <w:lang w:val="en-NZ"/>
              </w:rPr>
            </w:pPr>
            <w:r w:rsidRPr="00EA2C98">
              <w:t>The extent of the Essential Knowledge and Associated Skills required follows:</w:t>
            </w:r>
          </w:p>
        </w:tc>
      </w:tr>
      <w:tr w:rsidTr="00983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t>Evidence shall show that knowledge has been acquired for safe working practices of:</w:t>
            </w:r>
          </w:p>
          <w:p w:rsidR="00000000" w:rsidRPr="00EA2C98" w:rsidP="00EA2C98">
            <w:pPr>
              <w:pStyle w:val="ListBullet3"/>
            </w:pPr>
            <w:r w:rsidRPr="00EA2C98">
              <w:t>Relevant Occupational Health a</w:t>
            </w:r>
            <w:r w:rsidRPr="00EA2C98">
              <w:t xml:space="preserve">nd Safety regulations; </w:t>
            </w:r>
          </w:p>
          <w:p w:rsidR="00000000" w:rsidRPr="00EA2C98" w:rsidP="00EA2C98">
            <w:pPr>
              <w:pStyle w:val="ListBullet3"/>
            </w:pPr>
            <w:r w:rsidRPr="00EA2C98">
              <w:t xml:space="preserve">Relevant statutory legislation; </w:t>
            </w:r>
          </w:p>
          <w:p w:rsidR="00000000" w:rsidRPr="00EA2C98" w:rsidP="00EA2C98">
            <w:pPr>
              <w:pStyle w:val="ListBullet3"/>
            </w:pPr>
            <w:r w:rsidRPr="00EA2C98">
              <w:t xml:space="preserve">Relevant enterprise/site safety procedures; </w:t>
            </w:r>
          </w:p>
          <w:p w:rsidR="00000000" w:rsidRPr="00EA2C98" w:rsidP="00EA2C98">
            <w:pPr>
              <w:pStyle w:val="ListBullet3"/>
            </w:pPr>
            <w:r w:rsidRPr="00EA2C98">
              <w:t xml:space="preserve">Enterprise/site emergency procedures and techniques; </w:t>
            </w:r>
          </w:p>
          <w:p w:rsidR="00000000" w:rsidRPr="00EA2C98" w:rsidP="00EA2C98">
            <w:pPr>
              <w:pStyle w:val="ListBullet3"/>
            </w:pPr>
            <w:r w:rsidRPr="00EA2C98">
              <w:t xml:space="preserve">Plant status; </w:t>
            </w:r>
          </w:p>
          <w:p w:rsidR="00000000" w:rsidRPr="00EA2C98" w:rsidP="00EA2C98">
            <w:pPr>
              <w:pStyle w:val="ListBullet3"/>
            </w:pPr>
            <w:r w:rsidRPr="00EA2C98">
              <w:t xml:space="preserve">Relevant plant and equipment, it's location and operating parameters; </w:t>
            </w:r>
          </w:p>
          <w:p w:rsidR="00000000" w:rsidRPr="00EA2C98" w:rsidP="00EA2C98">
            <w:pPr>
              <w:pStyle w:val="ListBullet3"/>
            </w:pPr>
            <w:r w:rsidRPr="00EA2C98">
              <w:t>Enterprise rec</w:t>
            </w:r>
            <w:r w:rsidRPr="00EA2C98">
              <w:t xml:space="preserve">ording procedures; </w:t>
            </w:r>
          </w:p>
          <w:p w:rsidR="00000000" w:rsidRPr="00EA2C98" w:rsidP="00EA2C98">
            <w:pPr>
              <w:pStyle w:val="ListBullet3"/>
            </w:pPr>
            <w:r w:rsidRPr="00EA2C98">
              <w:t xml:space="preserve">System/Network types and characteristics; </w:t>
            </w:r>
          </w:p>
          <w:p w:rsidR="00000000" w:rsidRPr="00EA2C98" w:rsidP="00EA2C98">
            <w:pPr>
              <w:pStyle w:val="ListBullet3"/>
            </w:pPr>
            <w:r w:rsidRPr="00EA2C98">
              <w:t xml:space="preserve">Contingency plans; </w:t>
            </w:r>
          </w:p>
          <w:p w:rsidR="00000000" w:rsidRPr="00EA2C98" w:rsidP="00EA2C98">
            <w:pPr>
              <w:pStyle w:val="ListBullet3"/>
            </w:pPr>
            <w:r w:rsidRPr="00EA2C98">
              <w:t xml:space="preserve">Problem solving; </w:t>
            </w:r>
          </w:p>
          <w:p w:rsidR="00000000" w:rsidRPr="00EA2C98" w:rsidP="00EA2C98">
            <w:pPr>
              <w:pStyle w:val="ListBullet3"/>
            </w:pPr>
            <w:r w:rsidRPr="00EA2C98">
              <w:t xml:space="preserve">Supervisory, alarm, protection and control equipment; </w:t>
            </w:r>
          </w:p>
          <w:p w:rsidR="00000000" w:rsidRPr="00EA2C98" w:rsidP="00EA2C98">
            <w:pPr>
              <w:pStyle w:val="ListBullet3"/>
            </w:pPr>
            <w:r w:rsidRPr="00EA2C98">
              <w:t xml:space="preserve">Switchgear operation; </w:t>
            </w:r>
          </w:p>
          <w:p w:rsidR="00000000" w:rsidRPr="00EA2C98" w:rsidP="00EA2C98">
            <w:pPr>
              <w:pStyle w:val="ListBullet3"/>
            </w:pPr>
            <w:r w:rsidRPr="00EA2C98">
              <w:t xml:space="preserve">Load shedding principles; </w:t>
            </w:r>
          </w:p>
          <w:p w:rsidR="00000000" w:rsidRPr="00EA2C98" w:rsidP="00EA2C98">
            <w:pPr>
              <w:pStyle w:val="ListBullet3"/>
            </w:pPr>
            <w:r w:rsidRPr="00EA2C98">
              <w:t xml:space="preserve">Communication principles; </w:t>
            </w:r>
          </w:p>
          <w:p w:rsidR="00000000" w:rsidRPr="00EA2C98" w:rsidP="00EA2C98">
            <w:pPr>
              <w:pStyle w:val="ListBullet3"/>
            </w:pPr>
            <w:r w:rsidRPr="00EA2C98">
              <w:t>Con</w:t>
            </w:r>
            <w:r w:rsidRPr="00EA2C98">
              <w:t xml:space="preserve">trol and data acquisition systems; </w:t>
            </w:r>
          </w:p>
          <w:p w:rsidR="00000000" w:rsidRPr="00EA2C98" w:rsidP="00EA2C98">
            <w:pPr>
              <w:pStyle w:val="ListBullet3"/>
            </w:pPr>
            <w:r w:rsidRPr="00EA2C98">
              <w:t xml:space="preserve">Computers and software; </w:t>
            </w:r>
          </w:p>
          <w:p w:rsidR="00000000" w:rsidP="00EA2C98">
            <w:pPr>
              <w:pStyle w:val="ListBullet3"/>
              <w:rPr>
                <w:lang w:val="en-NZ"/>
              </w:rPr>
            </w:pPr>
            <w:r w:rsidRPr="00EA2C98">
              <w:t>Switching practices and procedures</w:t>
            </w:r>
          </w:p>
        </w:tc>
      </w:tr>
      <w:tr w:rsidTr="00983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t>Specific skills needed to achieve the performance criteria:</w:t>
            </w:r>
          </w:p>
          <w:p w:rsidR="00000000" w:rsidRPr="00EA2C98" w:rsidP="00EA2C98">
            <w:pPr>
              <w:pStyle w:val="ListBullet3"/>
            </w:pPr>
            <w:r w:rsidRPr="00EA2C98">
              <w:t xml:space="preserve">Apply relevant Occupational Health and Safety regulations; </w:t>
            </w:r>
          </w:p>
          <w:p w:rsidR="00000000" w:rsidRPr="00EA2C98" w:rsidP="00EA2C98">
            <w:pPr>
              <w:pStyle w:val="ListBullet3"/>
            </w:pPr>
            <w:r w:rsidRPr="00EA2C98">
              <w:t xml:space="preserve">Apply relevant statutory legislation; </w:t>
            </w:r>
          </w:p>
          <w:p w:rsidR="00000000" w:rsidRPr="00EA2C98" w:rsidP="00EA2C98">
            <w:pPr>
              <w:pStyle w:val="ListBullet3"/>
            </w:pPr>
            <w:r w:rsidRPr="00EA2C98">
              <w:t xml:space="preserve">Apply relevant enterprise/site safety procedures; </w:t>
            </w:r>
          </w:p>
          <w:p w:rsidR="00000000" w:rsidRPr="00EA2C98" w:rsidP="00EA2C98">
            <w:pPr>
              <w:pStyle w:val="ListBullet3"/>
            </w:pPr>
            <w:r w:rsidRPr="00EA2C98">
              <w:t xml:space="preserve">Apply enterprise/site emergency procedures and techniques; </w:t>
            </w:r>
          </w:p>
          <w:p w:rsidR="00000000" w:rsidRPr="00EA2C98" w:rsidP="00EA2C98">
            <w:pPr>
              <w:pStyle w:val="ListBullet3"/>
            </w:pPr>
            <w:r w:rsidRPr="00EA2C98">
              <w:t xml:space="preserve">Apply enterprise recording procedures; </w:t>
            </w:r>
          </w:p>
          <w:p w:rsidR="00000000" w:rsidRPr="00EA2C98" w:rsidP="00EA2C98">
            <w:pPr>
              <w:pStyle w:val="ListBullet3"/>
            </w:pPr>
            <w:r w:rsidRPr="00EA2C98">
              <w:t xml:space="preserve">Manager and control system/network; </w:t>
            </w:r>
          </w:p>
          <w:p w:rsidR="00000000" w:rsidRPr="00EA2C98" w:rsidP="00EA2C98">
            <w:pPr>
              <w:pStyle w:val="ListBullet3"/>
            </w:pPr>
            <w:r w:rsidRPr="00EA2C98">
              <w:t xml:space="preserve">Identify plant status; </w:t>
            </w:r>
          </w:p>
          <w:p w:rsidR="00000000" w:rsidRPr="00EA2C98" w:rsidP="00EA2C98">
            <w:pPr>
              <w:pStyle w:val="ListBullet3"/>
            </w:pPr>
            <w:r w:rsidRPr="00EA2C98">
              <w:t>Commu</w:t>
            </w:r>
            <w:r w:rsidRPr="00EA2C98">
              <w:t xml:space="preserve">nicate effectively; </w:t>
            </w:r>
          </w:p>
          <w:p w:rsidR="00000000" w:rsidRPr="00EA2C98" w:rsidP="00EA2C98">
            <w:pPr>
              <w:pStyle w:val="ListBullet3"/>
            </w:pPr>
            <w:r w:rsidRPr="00EA2C98">
              <w:t xml:space="preserve">Apply data analysis techniques and tools; </w:t>
            </w:r>
          </w:p>
          <w:p w:rsidR="00000000" w:rsidRPr="00EA2C98" w:rsidP="00EA2C98">
            <w:pPr>
              <w:pStyle w:val="ListBullet3"/>
            </w:pPr>
            <w:r w:rsidRPr="00EA2C98">
              <w:t xml:space="preserve">Identify and respond to abnormal system operating conditions; </w:t>
            </w:r>
          </w:p>
          <w:p w:rsidR="00000000" w:rsidRPr="00EA2C98" w:rsidP="00EA2C98">
            <w:pPr>
              <w:pStyle w:val="ListBullet3"/>
            </w:pPr>
            <w:r w:rsidRPr="00EA2C98">
              <w:t xml:space="preserve">Plan and prioritise work; </w:t>
            </w:r>
          </w:p>
          <w:p w:rsidR="00000000" w:rsidRPr="00EA2C98" w:rsidP="00EA2C98">
            <w:pPr>
              <w:pStyle w:val="ListBullet3"/>
            </w:pPr>
            <w:r w:rsidRPr="00EA2C98">
              <w:t>Coordinate the operation of system/network to maintain plant integrity, personnel safety, continuity o</w:t>
            </w:r>
            <w:r w:rsidRPr="00EA2C98">
              <w:t xml:space="preserve">f supply and optimum efficiency; </w:t>
            </w:r>
          </w:p>
          <w:p w:rsidR="00000000" w:rsidRPr="00EA2C98" w:rsidP="00EA2C98">
            <w:pPr>
              <w:pStyle w:val="ListBullet3"/>
            </w:pPr>
            <w:r w:rsidRPr="00EA2C98">
              <w:t xml:space="preserve">Use diagrams, drawings and symbols; </w:t>
            </w:r>
          </w:p>
          <w:p w:rsidR="00000000" w:rsidRPr="00EA2C98" w:rsidP="00EA2C98">
            <w:pPr>
              <w:pStyle w:val="ListBullet3"/>
            </w:pPr>
            <w:r w:rsidRPr="00EA2C98">
              <w:t xml:space="preserve">Apply stress management techniques; </w:t>
            </w:r>
          </w:p>
          <w:p w:rsidR="00000000" w:rsidRPr="00EA2C98" w:rsidP="00EA2C98">
            <w:pPr>
              <w:pStyle w:val="ListBullet3"/>
            </w:pPr>
            <w:r w:rsidRPr="00EA2C98">
              <w:t xml:space="preserve">Direct and coordinate personnel; </w:t>
            </w:r>
          </w:p>
          <w:p w:rsidR="00000000" w:rsidRPr="00EA2C98" w:rsidP="00EA2C98">
            <w:pPr>
              <w:pStyle w:val="ListBullet3"/>
            </w:pPr>
            <w:r w:rsidRPr="00EA2C98">
              <w:t xml:space="preserve">Select appropriate load shedding; </w:t>
            </w:r>
          </w:p>
          <w:p w:rsidR="00000000" w:rsidRPr="00EA2C98" w:rsidP="00EA2C98">
            <w:pPr>
              <w:pStyle w:val="ListBullet3"/>
            </w:pPr>
            <w:r w:rsidRPr="00EA2C98">
              <w:t>Apply diagnostic techniques.</w:t>
            </w:r>
          </w:p>
        </w:tc>
      </w:tr>
    </w:tbl>
    <w:p w:rsidR="00983095" w:rsidP="00EA2C98">
      <w:pPr>
        <w:pStyle w:val="BodyText"/>
      </w:pPr>
    </w:p>
    <w:p w:rsidR="00983095" w:rsidP="00EA2C98">
      <w:pPr>
        <w:pStyle w:val="BodyText"/>
      </w:pPr>
    </w:p>
    <w:p w:rsidR="00000000" w:rsidRPr="00EA2C98" w:rsidP="00EA2C98">
      <w:pPr>
        <w:pStyle w:val="Heading1"/>
      </w:pPr>
      <w:bookmarkStart w:id="10" w:name="O_248104"/>
      <w:bookmarkEnd w:id="10"/>
      <w:r w:rsidRPr="00EA2C98">
        <w:t>Evidence Guide</w:t>
      </w:r>
    </w:p>
    <w:tbl>
      <w:tblPr>
        <w:tblW w:w="0" w:type="auto"/>
        <w:tblLayout w:type="fixed"/>
        <w:tblCellMar>
          <w:left w:w="62" w:type="dxa"/>
          <w:right w:w="62" w:type="dxa"/>
        </w:tblCellMar>
        <w:tblLook w:val="0000"/>
      </w:tblPr>
      <w:tblGrid>
        <w:gridCol w:w="2160"/>
        <w:gridCol w:w="1620"/>
        <w:gridCol w:w="3117"/>
        <w:gridCol w:w="1563"/>
      </w:tblGrid>
      <w:tr w:rsidTr="0098309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rPr>
                <w:rStyle w:val="SpecialBold"/>
              </w:rPr>
              <w:t>EVIDENCE GUIDE</w:t>
            </w:r>
          </w:p>
        </w:tc>
      </w:tr>
      <w:tr w:rsidTr="0098309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8</w:t>
            </w:r>
            <w:r w:rsidRPr="00EA2C98">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EA2C98">
            <w:pPr>
              <w:pStyle w:val="BodyText"/>
              <w:rPr>
                <w:lang w:val="en-NZ"/>
              </w:rPr>
            </w:pPr>
            <w:r w:rsidRPr="00EA2C98">
              <w:t>The</w:t>
            </w:r>
            <w:r w:rsidRPr="00EA2C98">
              <w:t xml:space="preserve"> Evidence Guide forms an integral part of this Competency Standard Unit and shall be used in conjunction with all components parts of this unit and, performed in accordance with the Assessment Guidelines of this Training Package.</w:t>
            </w:r>
          </w:p>
        </w:tc>
      </w:tr>
      <w:tr w:rsidTr="009830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8</w:t>
            </w:r>
            <w:r w:rsidRPr="00EA2C98">
              <w:t>.</w:t>
            </w:r>
            <w:r w:rsidRPr="00EA2C98">
              <w:rPr>
                <w:rStyle w:val="SpecialBold"/>
              </w:rPr>
              <w:t>1</w:t>
            </w:r>
            <w:r w:rsidRPr="00EA2C98">
              <w:t xml:space="preserve">) </w:t>
            </w:r>
          </w:p>
          <w:p w:rsidR="00000000" w:rsidRPr="00EA2C98" w:rsidP="00EA2C98">
            <w:pPr>
              <w:pStyle w:val="BodyText"/>
            </w:pPr>
            <w:r w:rsidRPr="00EA2C98">
              <w:t>Longitude competency development approaches to assessment, such as Profiling, require data to be reliably gathered in a form that can be consistently interpreted over time. This approach is best utilised in Apprenticeship programs and reduces assess</w:t>
            </w:r>
            <w:r w:rsidRPr="00EA2C98">
              <w:t>ment intervention. It is the Industry's preferred model for apprenticeships. However, where summative (or final) assessment is used it is to include the application of the competency in the normal work environment or, at a minimum, the application of the c</w:t>
            </w:r>
            <w:r w:rsidRPr="00EA2C98">
              <w:t>ompetency in a realistically simulated work environment. It is recognised that, in some circumstances, assessment in part or full can occur outside the workplace. However, it must be in accord with Industry and regulatory policy.</w:t>
            </w:r>
          </w:p>
          <w:p w:rsidR="00000000" w:rsidRPr="00EA2C98" w:rsidP="00EA2C98">
            <w:pPr>
              <w:pStyle w:val="BodyText"/>
            </w:pPr>
            <w:r w:rsidRPr="00EA2C98">
              <w:t>Methods chosen for a parti</w:t>
            </w:r>
            <w:r w:rsidRPr="00EA2C98">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EA2C98">
              <w:t>the critical nature of the competencies being assessed.</w:t>
            </w:r>
          </w:p>
          <w:p w:rsidR="00000000" w:rsidRPr="00EA2C98" w:rsidP="00EA2C98">
            <w:pPr>
              <w:pStyle w:val="BodyText"/>
            </w:pPr>
            <w:r w:rsidRPr="00EA2C98">
              <w:t xml:space="preserve">The critical safety nature of working with electricity, electrical equipment, gas or any other hazardous substance/material carries risk in deeming a person competent. Hence, sources of evidence need </w:t>
            </w:r>
            <w:r w:rsidRPr="00EA2C98">
              <w:t>to be 'rich' in nature so as to minimise error in judgment.</w:t>
            </w:r>
          </w:p>
          <w:p w:rsidR="00000000" w:rsidP="00EA2C98">
            <w:pPr>
              <w:pStyle w:val="BodyText"/>
              <w:rPr>
                <w:lang w:val="en-NZ"/>
              </w:rPr>
            </w:pPr>
            <w:r w:rsidRPr="00EA2C98">
              <w:t>Activities associated with normal every day work have a bearing on the decision as to how much and how detailed the data gathered will contribute to its 'richness'. Some skills are more critical t</w:t>
            </w:r>
            <w:r w:rsidRPr="00EA2C98">
              <w:t>o safety and operational requirements while the same skills may be more or less frequently practised. These points are raised for the assessors to consider when choosing an assessment method and developing assessment instruments. Sample assessment instrume</w:t>
            </w:r>
            <w:r w:rsidRPr="00EA2C98">
              <w:t>nts are included in the Assessment Guidelines of this Training Package.</w:t>
            </w:r>
          </w:p>
        </w:tc>
      </w:tr>
      <w:tr w:rsidTr="0098309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8</w:t>
            </w:r>
            <w:r w:rsidRPr="00EA2C98">
              <w:t>.</w:t>
            </w:r>
            <w:r w:rsidRPr="00EA2C98">
              <w:rPr>
                <w:rStyle w:val="SpecialBold"/>
              </w:rPr>
              <w:t>2</w:t>
            </w:r>
            <w:r w:rsidRPr="00EA2C98">
              <w:t xml:space="preserve">) </w:t>
            </w:r>
          </w:p>
          <w:p w:rsidR="00000000" w:rsidP="00EA2C98">
            <w:pPr>
              <w:pStyle w:val="BodyText"/>
              <w:rPr>
                <w:lang w:val="en-NZ"/>
              </w:rPr>
            </w:pPr>
            <w:r w:rsidRPr="00EA2C98">
              <w:t>Before the critical aspects of evidence are considered all prerequisites shall be met.</w:t>
            </w:r>
          </w:p>
        </w:tc>
      </w:tr>
      <w:tr w:rsidTr="0098309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t>Evidence for competence in this unit shall be considered holistically.  Each element and associated Performance Criteria shall be demonstrated on at least two occasions in accordance with the "Assessment Guidelines - UEP06 ".  Evidence shall also comprise:</w:t>
            </w:r>
          </w:p>
          <w:p w:rsidR="00000000" w:rsidP="00EA2C98">
            <w:pPr>
              <w:pStyle w:val="ListBullet"/>
              <w:rPr>
                <w:lang w:val="en-NZ"/>
              </w:rPr>
            </w:pPr>
            <w:r w:rsidRPr="00EA2C98">
              <w:t>A representative body of Performance Criteria demonstrated within the timeframes typically expected of the discipline, work function and industrial environment. In particular this shall incorporate evidence that shows a candidate is able to:</w:t>
            </w:r>
          </w:p>
        </w:tc>
      </w:tr>
      <w:tr w:rsidTr="009830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A2C98" w:rsidP="00EA2C98">
            <w:pPr>
              <w:pStyle w:val="ListBullet3"/>
            </w:pPr>
            <w:r w:rsidRPr="00EA2C98">
              <w:t>Implement OHS workplace procedures and practices including the use of risk control measures as specified in the Performance Criteria and Range Statement</w:t>
            </w:r>
          </w:p>
          <w:p w:rsidR="00000000" w:rsidRPr="00EA2C98" w:rsidP="00EA2C98">
            <w:pPr>
              <w:pStyle w:val="ListBullet3"/>
            </w:pPr>
            <w:r w:rsidRPr="00EA2C98">
              <w:t>Apply sustainable energy principles and practices as specified in the Performance Criteria and Range St</w:t>
            </w:r>
            <w:r w:rsidRPr="00EA2C98">
              <w:t>atement</w:t>
            </w:r>
          </w:p>
          <w:p w:rsidR="00000000" w:rsidRPr="00EA2C98" w:rsidP="00EA2C98">
            <w:pPr>
              <w:pStyle w:val="ListBullet3"/>
            </w:pPr>
            <w:r w:rsidRPr="00EA2C98">
              <w:t>Demonstrate an understanding of the essential knowledge and associated skills as described in 6) of this unit</w:t>
            </w:r>
          </w:p>
          <w:p w:rsidR="00000000" w:rsidRPr="00EA2C98" w:rsidP="00EA2C98">
            <w:pPr>
              <w:pStyle w:val="ListBullet3"/>
            </w:pPr>
            <w:r w:rsidRPr="00EA2C98">
              <w:t>Demonstrate an appropriate level of skills enabling employment</w:t>
            </w:r>
          </w:p>
          <w:p w:rsidR="00000000" w:rsidP="00EA2C98">
            <w:pPr>
              <w:pStyle w:val="ListBullet3"/>
              <w:rPr>
                <w:lang w:val="en-NZ"/>
              </w:rPr>
            </w:pPr>
            <w:r w:rsidRPr="00EA2C98">
              <w:t>Conduct work observing the relevant Anti Discrimination legislation, regula</w:t>
            </w:r>
            <w:r w:rsidRPr="00EA2C98">
              <w:t>tions, polices and workplace procedures</w:t>
            </w:r>
          </w:p>
        </w:tc>
      </w:tr>
      <w:tr w:rsidTr="009830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A2C98">
            <w:pPr>
              <w:pStyle w:val="ListBullet"/>
              <w:rPr>
                <w:lang w:val="en-NZ"/>
              </w:rPr>
            </w:pPr>
            <w:r w:rsidRPr="00EA2C98">
              <w:t>Demonstrated performance across a representative range of contexts from the prescribed items below:</w:t>
            </w:r>
          </w:p>
        </w:tc>
      </w:tr>
      <w:tr w:rsidTr="009830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A2C98" w:rsidP="00EA2C98">
            <w:pPr>
              <w:pStyle w:val="ListBullet3"/>
            </w:pPr>
            <w:r w:rsidRPr="00EA2C98">
              <w:t xml:space="preserve">Knowledge and application of relevant sections of: OHS legislation; Statutory legislation; </w:t>
            </w:r>
            <w:r w:rsidRPr="00EA2C98">
              <w:t>Enterprise/site safety procedures; Enterprise/site emergency procedures</w:t>
            </w:r>
          </w:p>
          <w:p w:rsidR="00000000" w:rsidRPr="00EA2C98" w:rsidP="00EA2C98">
            <w:pPr>
              <w:pStyle w:val="ListBullet3"/>
            </w:pPr>
            <w:r w:rsidRPr="00EA2C98">
              <w:t>Relevant system type</w:t>
            </w:r>
          </w:p>
          <w:p w:rsidR="00000000" w:rsidRPr="00EA2C98" w:rsidP="00EA2C98">
            <w:pPr>
              <w:pStyle w:val="ListBullet3"/>
            </w:pPr>
            <w:r w:rsidRPr="00EA2C98">
              <w:t>Preparing for system operations</w:t>
            </w:r>
          </w:p>
          <w:p w:rsidR="00000000" w:rsidRPr="00EA2C98" w:rsidP="00EA2C98">
            <w:pPr>
              <w:pStyle w:val="ListBullet3"/>
            </w:pPr>
            <w:r w:rsidRPr="00EA2C98">
              <w:t>Managing and controlling a Network/System operation</w:t>
            </w:r>
          </w:p>
          <w:p w:rsidR="00000000" w:rsidRPr="00EA2C98" w:rsidP="00EA2C98">
            <w:pPr>
              <w:pStyle w:val="ListBullet3"/>
            </w:pPr>
            <w:r w:rsidRPr="00EA2C98">
              <w:t>Coordination requirements</w:t>
            </w:r>
          </w:p>
          <w:p w:rsidR="00000000" w:rsidRPr="00EA2C98" w:rsidP="00EA2C98">
            <w:pPr>
              <w:pStyle w:val="ListBullet3"/>
            </w:pPr>
            <w:r w:rsidRPr="00EA2C98">
              <w:t>Analysing and responding to faults and abnormal system operating conditions</w:t>
            </w:r>
          </w:p>
          <w:p w:rsidR="00000000" w:rsidRPr="00EA2C98" w:rsidP="00EA2C98">
            <w:pPr>
              <w:pStyle w:val="ListBullet3"/>
            </w:pPr>
            <w:r w:rsidRPr="00EA2C98">
              <w:t>Impact of actions</w:t>
            </w:r>
          </w:p>
          <w:p w:rsidR="00000000" w:rsidP="00EA2C98">
            <w:pPr>
              <w:pStyle w:val="ListBullet3"/>
              <w:rPr>
                <w:lang w:val="en-NZ"/>
              </w:rPr>
            </w:pPr>
            <w:r w:rsidRPr="00EA2C98">
              <w:t>Dealing with an unplanned event by drawing on Essential Knowledge and Skills to provide appropriate solutions incorporated in the holistic assessment with the abo</w:t>
            </w:r>
            <w:r w:rsidRPr="00EA2C98">
              <w:t>ve listed items.</w:t>
            </w:r>
          </w:p>
        </w:tc>
      </w:tr>
      <w:tr w:rsidTr="009830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8</w:t>
            </w:r>
            <w:r w:rsidRPr="00EA2C98">
              <w:t>.</w:t>
            </w:r>
            <w:r w:rsidRPr="00EA2C98">
              <w:rPr>
                <w:rStyle w:val="SpecialBold"/>
              </w:rPr>
              <w:t>3</w:t>
            </w:r>
            <w:r w:rsidRPr="00EA2C98">
              <w:t xml:space="preserve">) </w:t>
            </w:r>
          </w:p>
          <w:p w:rsidR="00000000" w:rsidRPr="00EA2C98" w:rsidP="00EA2C98">
            <w:pPr>
              <w:pStyle w:val="BodyText"/>
            </w:pPr>
            <w:r w:rsidRPr="00EA2C98">
              <w:t>This unit should be assessed as it relates to normal work practice using procedures, information and resources typical of a workplace. This should include:</w:t>
            </w:r>
          </w:p>
          <w:p w:rsidR="00000000" w:rsidRPr="00EA2C98" w:rsidP="00EA2C98">
            <w:pPr>
              <w:pStyle w:val="ListBullet"/>
            </w:pPr>
            <w:r w:rsidRPr="00EA2C98">
              <w:t>OHS policy and work procedures and instructions.</w:t>
            </w:r>
          </w:p>
          <w:p w:rsidR="00000000" w:rsidRPr="00EA2C98" w:rsidP="00EA2C98">
            <w:pPr>
              <w:pStyle w:val="ListBullet"/>
            </w:pPr>
            <w:r w:rsidRPr="00EA2C98">
              <w:t>Suitable work environment, facilities, equipment and materials to undertake actual work as prescribed by this competency standard unit.</w:t>
            </w:r>
          </w:p>
          <w:p w:rsidR="00000000" w:rsidRPr="00EA2C98" w:rsidP="00EA2C98">
            <w:pPr>
              <w:pStyle w:val="BodyText"/>
            </w:pPr>
            <w:r w:rsidRPr="00EA2C98">
              <w:t>Competency Standards should be assessed in the workplace or simulated w</w:t>
            </w:r>
            <w:r w:rsidRPr="00EA2C98">
              <w:t>orkplace and under the normal range of workplace conditions.</w:t>
            </w:r>
          </w:p>
          <w:p w:rsidR="00000000" w:rsidP="00EA2C98">
            <w:pPr>
              <w:pStyle w:val="BodyText"/>
              <w:rPr>
                <w:lang w:val="en-NZ"/>
              </w:rPr>
            </w:pPr>
            <w:r w:rsidRPr="00EA2C98">
              <w:t>Assessment of this unit will be supported with documentary evidence, by means of endorsement stating type and application of work.</w:t>
            </w:r>
          </w:p>
        </w:tc>
      </w:tr>
      <w:tr w:rsidTr="009830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In addition to the resources listed above in Context of asse</w:t>
            </w:r>
            <w:r w:rsidRPr="00EA2C98">
              <w:t>ssment', evidence should show competency working, in limited spaces, with different types of plant and equipment as well as different structural/construction types and methods and in a variety of environments.</w:t>
            </w:r>
          </w:p>
        </w:tc>
      </w:tr>
      <w:tr w:rsidTr="009830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8</w:t>
            </w:r>
            <w:r w:rsidRPr="00EA2C98">
              <w:t>.</w:t>
            </w:r>
            <w:r w:rsidRPr="00EA2C98">
              <w:rPr>
                <w:rStyle w:val="SpecialBold"/>
              </w:rPr>
              <w:t>4</w:t>
            </w:r>
            <w:r w:rsidRPr="00EA2C98">
              <w:t xml:space="preserve">) </w:t>
            </w:r>
          </w:p>
          <w:p w:rsidR="00000000" w:rsidRPr="00EA2C98" w:rsidP="00EA2C98">
            <w:pPr>
              <w:pStyle w:val="BodyText"/>
            </w:pPr>
            <w:r w:rsidRPr="00EA2C98">
              <w:t>This unit shall be assessed by methods given in Volume 1, Part 3 Assessment Guidelines.</w:t>
            </w:r>
          </w:p>
          <w:p w:rsidR="00000000" w:rsidP="00EA2C98">
            <w:pPr>
              <w:pStyle w:val="BodyText"/>
              <w:rPr>
                <w:lang w:val="en-NZ"/>
              </w:rPr>
            </w:pPr>
            <w:r w:rsidRPr="00EA2C98">
              <w:t>Note:</w:t>
            </w:r>
            <w:r w:rsidRPr="00EA2C98">
              <w:br/>
              <w:t>Competent performance with inherent safe working practices is expected in the Industry to which this unit applies. This requires that the specified essential know</w:t>
            </w:r>
            <w:r w:rsidRPr="00EA2C98">
              <w:t>ledge and associated skills are assessed in a structured environment which is primarily intended for learning/assessment and incorporates all necessary equipment and facilities for learners to develop and demonstrate the Essential Knowledge and Skills desc</w:t>
            </w:r>
            <w:r w:rsidRPr="00EA2C98">
              <w:t>ribed in this unit.</w:t>
            </w:r>
          </w:p>
        </w:tc>
      </w:tr>
      <w:tr w:rsidTr="0098309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rPr>
                <w:rStyle w:val="SpecialBold"/>
              </w:rPr>
              <w:t>8</w:t>
            </w:r>
            <w:r w:rsidRPr="00EA2C98">
              <w:t>.</w:t>
            </w:r>
            <w:r w:rsidRPr="00EA2C98">
              <w:rPr>
                <w:rStyle w:val="SpecialBold"/>
              </w:rPr>
              <w:t>5</w:t>
            </w:r>
            <w:r w:rsidRPr="00EA2C98">
              <w:t xml:space="preserve">) </w:t>
            </w:r>
          </w:p>
        </w:tc>
      </w:tr>
      <w:tr w:rsidTr="0098309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There are no recommended concurrent assessments with this unit, however in some cases efficiencies may be gained in terms of learning and assessment effort being concu</w:t>
            </w:r>
            <w:r w:rsidRPr="00EA2C98">
              <w:t>rrently managed with allied competency standard units where listed</w:t>
            </w:r>
          </w:p>
        </w:tc>
      </w:tr>
      <w:tr w:rsidTr="0098309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Nil</w:t>
            </w:r>
          </w:p>
        </w:tc>
        <w:tc>
          <w:tcPr>
            <w:tcW w:w="4680" w:type="dxa"/>
            <w:gridSpan w:val="2"/>
            <w:tcBorders>
              <w:top w:val="nil"/>
              <w:left w:val="nil"/>
              <w:bottom w:val="nil"/>
              <w:right w:val="nil"/>
            </w:tcBorders>
            <w:tcMar>
              <w:top w:w="0" w:type="dxa"/>
              <w:left w:w="62" w:type="dxa"/>
              <w:bottom w:w="0" w:type="dxa"/>
              <w:right w:w="62" w:type="dxa"/>
            </w:tcMar>
          </w:tcPr>
          <w:p w:rsidR="00000000" w:rsidP="00EA2C98">
            <w:pPr>
              <w:pStyle w:val="BodyText"/>
              <w:rPr>
                <w:lang w:val="en-NZ"/>
              </w:rPr>
            </w:pPr>
          </w:p>
        </w:tc>
      </w:tr>
      <w:tr w:rsidTr="00983095">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EA2C98" w:rsidP="00EA2C98">
            <w:pPr>
              <w:pStyle w:val="BodyText"/>
            </w:pPr>
            <w:r w:rsidRPr="00EA2C98">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8</w:t>
            </w:r>
            <w:r w:rsidRPr="00EA2C98">
              <w:t>.</w:t>
            </w:r>
            <w:r w:rsidRPr="00EA2C98">
              <w:rPr>
                <w:rStyle w:val="SpecialBold"/>
              </w:rPr>
              <w:t>6</w:t>
            </w:r>
            <w:r w:rsidRPr="00EA2C98">
              <w:t xml:space="preserve">) </w:t>
            </w:r>
          </w:p>
          <w:p w:rsidR="00000000" w:rsidP="00EA2C98">
            <w:pPr>
              <w:pStyle w:val="BodyText"/>
              <w:rPr>
                <w:lang w:val="en-NZ"/>
              </w:rPr>
            </w:pPr>
            <w:r w:rsidRPr="00EA2C98">
              <w:t xml:space="preserve">Evidence that particular key competencies have </w:t>
            </w:r>
            <w:r w:rsidRPr="00EA2C98">
              <w:t>been achieved within this unit is in the context of the following Performance Criteria of evidence. See Volume 2, Part 4 for an explanation of Key competencies and levels of this Training Package.</w:t>
            </w:r>
          </w:p>
        </w:tc>
      </w:tr>
      <w:tr w:rsidTr="00983095">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98" w:rsidP="00EA2C98">
            <w:pPr>
              <w:pStyle w:val="BodyText"/>
            </w:pPr>
            <w:r w:rsidRPr="00EA2C98">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98" w:rsidP="00EA2C98">
            <w:pPr>
              <w:pStyle w:val="BodyText"/>
            </w:pPr>
            <w:r w:rsidRPr="00EA2C98">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rPr>
                <w:rStyle w:val="SpecialBold"/>
              </w:rPr>
              <w:t>Performance Level</w:t>
            </w:r>
          </w:p>
        </w:tc>
      </w:tr>
      <w:tr w:rsidTr="0098309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C98">
            <w:pPr>
              <w:pStyle w:val="BodyText"/>
              <w:rPr>
                <w:lang w:val="en-NZ"/>
              </w:rPr>
            </w:pPr>
            <w:r w:rsidRPr="00EA2C9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98" w:rsidP="00EA2C98">
            <w:pPr>
              <w:pStyle w:val="BodyText"/>
            </w:pPr>
          </w:p>
          <w:p w:rsidR="00000000" w:rsidP="00EA2C98">
            <w:pPr>
              <w:pStyle w:val="BodyText"/>
              <w:rPr>
                <w:lang w:val="en-NZ"/>
              </w:rPr>
            </w:pPr>
            <w:r w:rsidRPr="00EA2C98">
              <w:t>2</w:t>
            </w:r>
          </w:p>
        </w:tc>
      </w:tr>
      <w:tr w:rsidTr="0098309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p>
        </w:tc>
      </w:tr>
      <w:tr w:rsidTr="0098309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C98">
            <w:pPr>
              <w:pStyle w:val="BodyText"/>
              <w:rPr>
                <w:lang w:val="en-NZ"/>
              </w:rPr>
            </w:pPr>
            <w:r w:rsidRPr="00EA2C9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98" w:rsidP="00EA2C98">
            <w:pPr>
              <w:pStyle w:val="BodyText"/>
            </w:pPr>
          </w:p>
          <w:p w:rsidR="00000000" w:rsidP="00EA2C98">
            <w:pPr>
              <w:pStyle w:val="BodyText"/>
              <w:rPr>
                <w:lang w:val="en-NZ"/>
              </w:rPr>
            </w:pPr>
            <w:r w:rsidRPr="00EA2C98">
              <w:t>2</w:t>
            </w:r>
          </w:p>
        </w:tc>
      </w:tr>
      <w:tr w:rsidTr="0098309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p>
        </w:tc>
      </w:tr>
      <w:tr w:rsidTr="0098309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C98">
            <w:pPr>
              <w:pStyle w:val="BodyText"/>
              <w:rPr>
                <w:lang w:val="en-NZ"/>
              </w:rPr>
            </w:pPr>
            <w:r w:rsidRPr="00EA2C9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98" w:rsidP="00EA2C98">
            <w:pPr>
              <w:pStyle w:val="BodyText"/>
            </w:pPr>
          </w:p>
          <w:p w:rsidR="00000000" w:rsidP="00EA2C98">
            <w:pPr>
              <w:pStyle w:val="BodyText"/>
              <w:rPr>
                <w:lang w:val="en-NZ"/>
              </w:rPr>
            </w:pPr>
            <w:r w:rsidRPr="00EA2C98">
              <w:t>2</w:t>
            </w:r>
          </w:p>
        </w:tc>
      </w:tr>
      <w:tr w:rsidTr="0098309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p>
        </w:tc>
      </w:tr>
      <w:tr w:rsidTr="0098309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C98">
            <w:pPr>
              <w:pStyle w:val="BodyText"/>
              <w:rPr>
                <w:lang w:val="en-NZ"/>
              </w:rPr>
            </w:pPr>
            <w:r w:rsidRPr="00EA2C9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98" w:rsidP="00EA2C98">
            <w:pPr>
              <w:pStyle w:val="BodyText"/>
            </w:pPr>
          </w:p>
          <w:p w:rsidR="00000000" w:rsidP="00EA2C98">
            <w:pPr>
              <w:pStyle w:val="BodyText"/>
              <w:rPr>
                <w:lang w:val="en-NZ"/>
              </w:rPr>
            </w:pPr>
            <w:r w:rsidRPr="00EA2C98">
              <w:t>2</w:t>
            </w:r>
          </w:p>
        </w:tc>
      </w:tr>
      <w:tr w:rsidTr="0098309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p>
        </w:tc>
      </w:tr>
      <w:tr w:rsidTr="0098309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 xml:space="preserve">How are mathematical </w:t>
            </w:r>
            <w:r w:rsidRPr="00EA2C98">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C98">
            <w:pPr>
              <w:pStyle w:val="BodyText"/>
              <w:rPr>
                <w:lang w:val="en-NZ"/>
              </w:rPr>
            </w:pPr>
            <w:r w:rsidRPr="00EA2C9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98" w:rsidP="00EA2C98">
            <w:pPr>
              <w:pStyle w:val="BodyText"/>
            </w:pPr>
          </w:p>
          <w:p w:rsidR="00000000" w:rsidP="00EA2C98">
            <w:pPr>
              <w:pStyle w:val="BodyText"/>
              <w:rPr>
                <w:lang w:val="en-NZ"/>
              </w:rPr>
            </w:pPr>
            <w:r w:rsidRPr="00EA2C98">
              <w:t>2</w:t>
            </w:r>
          </w:p>
        </w:tc>
      </w:tr>
      <w:tr w:rsidTr="0098309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p>
        </w:tc>
      </w:tr>
      <w:tr w:rsidTr="0098309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C98">
            <w:pPr>
              <w:pStyle w:val="BodyText"/>
              <w:rPr>
                <w:lang w:val="en-NZ"/>
              </w:rPr>
            </w:pPr>
            <w:r w:rsidRPr="00EA2C9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98" w:rsidP="00EA2C98">
            <w:pPr>
              <w:pStyle w:val="BodyText"/>
            </w:pPr>
          </w:p>
          <w:p w:rsidR="00000000" w:rsidP="00EA2C98">
            <w:pPr>
              <w:pStyle w:val="BodyText"/>
              <w:rPr>
                <w:lang w:val="en-NZ"/>
              </w:rPr>
            </w:pPr>
            <w:r w:rsidRPr="00EA2C98">
              <w:t>2</w:t>
            </w:r>
          </w:p>
        </w:tc>
      </w:tr>
      <w:tr w:rsidTr="0098309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p>
        </w:tc>
      </w:tr>
      <w:tr w:rsidTr="0098309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C98">
            <w:pPr>
              <w:pStyle w:val="BodyText"/>
              <w:rPr>
                <w:lang w:val="en-NZ"/>
              </w:rPr>
            </w:pPr>
            <w:r w:rsidRPr="00EA2C9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98" w:rsidP="00EA2C98">
            <w:pPr>
              <w:pStyle w:val="BodyText"/>
            </w:pPr>
          </w:p>
          <w:p w:rsidR="00000000" w:rsidP="00EA2C98">
            <w:pPr>
              <w:pStyle w:val="BodyText"/>
              <w:rPr>
                <w:lang w:val="en-NZ"/>
              </w:rPr>
            </w:pPr>
            <w:r w:rsidRPr="00EA2C98">
              <w:t>2</w:t>
            </w:r>
          </w:p>
        </w:tc>
      </w:tr>
      <w:tr w:rsidTr="0098309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98" w:rsidP="00EA2C98">
            <w:pPr>
              <w:pStyle w:val="BodyText"/>
            </w:pPr>
          </w:p>
        </w:tc>
      </w:tr>
    </w:tbl>
    <w:p w:rsidR="00000000" w:rsidRPr="00EA2C98" w:rsidP="00EA2C98">
      <w:pPr>
        <w:pStyle w:val="BodyText"/>
      </w:pPr>
    </w:p>
    <w:tbl>
      <w:tblPr>
        <w:tblW w:w="0" w:type="auto"/>
        <w:tblLayout w:type="fixed"/>
        <w:tblCellMar>
          <w:left w:w="62" w:type="dxa"/>
          <w:right w:w="62" w:type="dxa"/>
        </w:tblCellMar>
        <w:tblLook w:val="0000"/>
      </w:tblPr>
      <w:tblGrid>
        <w:gridCol w:w="326"/>
        <w:gridCol w:w="1834"/>
        <w:gridCol w:w="6300"/>
      </w:tblGrid>
      <w:tr w:rsidTr="00983095">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p>
        </w:tc>
      </w:tr>
      <w:tr w:rsidTr="0098309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A2C98" w:rsidP="00EA2C98">
            <w:pPr>
              <w:pStyle w:val="BodyText"/>
            </w:pPr>
            <w:r w:rsidRPr="00EA2C98">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EA2C98" w:rsidP="00EA2C98">
            <w:pPr>
              <w:pStyle w:val="BodyText"/>
            </w:pPr>
            <w:r w:rsidRPr="00EA2C98">
              <w:rPr>
                <w:rStyle w:val="SpecialBold"/>
              </w:rPr>
              <w:t>8</w:t>
            </w:r>
            <w:r w:rsidRPr="00EA2C98">
              <w:t>.</w:t>
            </w:r>
            <w:r w:rsidRPr="00EA2C98">
              <w:rPr>
                <w:rStyle w:val="SpecialBold"/>
              </w:rPr>
              <w:t>7</w:t>
            </w:r>
            <w:r w:rsidRPr="00EA2C98">
              <w:t xml:space="preserve">) </w:t>
            </w:r>
          </w:p>
          <w:p w:rsidR="00000000" w:rsidP="00EA2C98">
            <w:pPr>
              <w:pStyle w:val="BodyText"/>
              <w:rPr>
                <w:lang w:val="en-NZ"/>
              </w:rPr>
            </w:pPr>
            <w:r w:rsidRPr="00EA2C98">
              <w:t xml:space="preserve">Evidence that competency in this unit incorporates skills enabling employment is in the context of the following performance. See Volume 2, Part 5 for definitions and an explanation of skills enabling employment. </w:t>
            </w:r>
          </w:p>
        </w:tc>
      </w:tr>
      <w:tr w:rsidTr="0098309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98" w:rsidP="00EA2C98">
            <w:pPr>
              <w:pStyle w:val="BodyText"/>
            </w:pPr>
            <w:r w:rsidRPr="00EA2C98">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rPr>
                <w:rStyle w:val="SpecialBold"/>
              </w:rPr>
              <w:t>Example of Applica</w:t>
            </w:r>
            <w:r w:rsidRPr="00EA2C98">
              <w:rPr>
                <w:rStyle w:val="SpecialBold"/>
              </w:rPr>
              <w:t>tion</w:t>
            </w:r>
          </w:p>
        </w:tc>
      </w:tr>
      <w:tr w:rsidTr="0098309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C98">
            <w:pPr>
              <w:pStyle w:val="BodyText"/>
              <w:rPr>
                <w:lang w:val="en-NZ"/>
              </w:rPr>
            </w:pPr>
            <w:r w:rsidRPr="00EA2C98">
              <w:t>Refer to the following example of application:</w:t>
            </w:r>
          </w:p>
        </w:tc>
      </w:tr>
      <w:tr w:rsidTr="0098309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Completion of tasks within an acceptable timeframe and performance with some supervision.</w:t>
            </w:r>
          </w:p>
        </w:tc>
      </w:tr>
      <w:tr w:rsidTr="0098309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C98">
            <w:pPr>
              <w:pStyle w:val="BodyText"/>
              <w:rPr>
                <w:lang w:val="en-NZ"/>
              </w:rPr>
            </w:pPr>
            <w:r w:rsidRPr="00EA2C98">
              <w:t>Refer to the following example of application:</w:t>
            </w:r>
          </w:p>
        </w:tc>
      </w:tr>
      <w:tr w:rsidTr="0098309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Comprehension and application of theoretical knowledge to well-developed skills.</w:t>
            </w:r>
          </w:p>
        </w:tc>
      </w:tr>
      <w:tr w:rsidTr="0098309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C98">
            <w:pPr>
              <w:pStyle w:val="BodyText"/>
              <w:rPr>
                <w:lang w:val="en-NZ"/>
              </w:rPr>
            </w:pPr>
            <w:r w:rsidRPr="00EA2C98">
              <w:t>Refer to the following example of application:</w:t>
            </w:r>
          </w:p>
        </w:tc>
      </w:tr>
      <w:tr w:rsidTr="0098309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Focused on improvement in own and other team member's performance in the workplace.</w:t>
            </w:r>
          </w:p>
        </w:tc>
      </w:tr>
      <w:tr w:rsidTr="0098309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C98">
            <w:pPr>
              <w:pStyle w:val="BodyText"/>
              <w:rPr>
                <w:lang w:val="en-NZ"/>
              </w:rPr>
            </w:pPr>
            <w:r w:rsidRPr="00EA2C98">
              <w:t>Refer to the following example of application:</w:t>
            </w:r>
          </w:p>
        </w:tc>
      </w:tr>
      <w:tr w:rsidTr="0098309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Working understanding of the processes and systems which apply to the workplace.</w:t>
            </w:r>
          </w:p>
        </w:tc>
      </w:tr>
      <w:tr w:rsidTr="0098309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C98">
            <w:pPr>
              <w:pStyle w:val="BodyText"/>
              <w:rPr>
                <w:lang w:val="en-NZ"/>
              </w:rPr>
            </w:pPr>
            <w:r w:rsidRPr="00EA2C98">
              <w:t>Refer to the following example of application:</w:t>
            </w:r>
          </w:p>
        </w:tc>
      </w:tr>
      <w:tr w:rsidTr="0098309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Achieving work tasks in a timely manner and ensuring that the work team a</w:t>
            </w:r>
            <w:r w:rsidRPr="00EA2C98">
              <w:t>chieves its stated work goals.</w:t>
            </w:r>
          </w:p>
        </w:tc>
      </w:tr>
      <w:tr w:rsidTr="0098309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98">
            <w:pPr>
              <w:pStyle w:val="BodyText"/>
              <w:rPr>
                <w:lang w:val="en-NZ"/>
              </w:rPr>
            </w:pPr>
            <w:r w:rsidRPr="00EA2C98">
              <w:t xml:space="preserve">Performing the </w:t>
            </w:r>
            <w:r w:rsidRPr="00EA2C98">
              <w:t>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C98">
            <w:pPr>
              <w:pStyle w:val="BodyText"/>
              <w:rPr>
                <w:lang w:val="en-NZ"/>
              </w:rPr>
            </w:pPr>
            <w:r w:rsidRPr="00EA2C98">
              <w:t>Refer to the following example of application:</w:t>
            </w:r>
          </w:p>
        </w:tc>
      </w:tr>
      <w:tr w:rsidTr="0098309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A2C98" w:rsidP="00EA2C98">
            <w:pPr>
              <w:pStyle w:val="BodyText"/>
            </w:pPr>
            <w:r w:rsidRPr="00EA2C98">
              <w:t>Seek advice and apply solutions to problems relevant to the workplace environment.</w:t>
            </w:r>
          </w:p>
        </w:tc>
      </w:tr>
    </w:tbl>
    <w:p w:rsidR="00983095" w:rsidP="00EA2C98">
      <w:pPr>
        <w:pStyle w:val="BodyText"/>
      </w:pPr>
    </w:p>
    <w:p w:rsidR="00983095" w:rsidP="00EA2C98">
      <w:pPr>
        <w:pStyle w:val="BodyText"/>
      </w:pPr>
    </w:p>
    <w:p w:rsidR="00000000" w:rsidRPr="00EA2C98" w:rsidP="00EA2C98">
      <w:pPr>
        <w:pStyle w:val="Heading1"/>
      </w:pPr>
      <w:bookmarkStart w:id="11" w:name="O_256088"/>
      <w:bookmarkEnd w:id="11"/>
      <w:r w:rsidRPr="00EA2C98">
        <w:t>Range Statement</w:t>
      </w:r>
    </w:p>
    <w:tbl>
      <w:tblPr>
        <w:tblW w:w="0" w:type="auto"/>
        <w:tblLayout w:type="fixed"/>
        <w:tblCellMar>
          <w:left w:w="62" w:type="dxa"/>
          <w:right w:w="62" w:type="dxa"/>
        </w:tblCellMar>
        <w:tblLook w:val="0000"/>
      </w:tblPr>
      <w:tblGrid>
        <w:gridCol w:w="8460"/>
      </w:tblGrid>
      <w:tr w:rsidTr="0098309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rPr>
                <w:rStyle w:val="SpecialBold"/>
              </w:rPr>
              <w:t>RANGE STATEMENT</w:t>
            </w:r>
          </w:p>
        </w:tc>
      </w:tr>
      <w:tr w:rsidTr="0098309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rPr>
                <w:rStyle w:val="SpecialBold"/>
              </w:rPr>
              <w:t>7</w:t>
            </w:r>
            <w:r w:rsidRPr="00EA2C98">
              <w:t>) This relates to the competency standard unit  as a whole providing the range of contexts and conditions to which the Performance Criteria apply. It allows for different work environments and situations that will affect p</w:t>
            </w:r>
            <w:r w:rsidRPr="00EA2C98">
              <w:t>erformance.</w:t>
            </w:r>
          </w:p>
        </w:tc>
      </w:tr>
      <w:tr w:rsidTr="0098309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t>Safety standards may include relevant sections of Occupational Health and Safety legislation, enterprise safety rules, relevant state and federal legislation and national standards for plant</w:t>
            </w:r>
          </w:p>
          <w:p w:rsidR="00000000" w:rsidRPr="00EA2C98" w:rsidP="00EA2C98">
            <w:pPr>
              <w:pStyle w:val="BodyText"/>
            </w:pPr>
            <w:r w:rsidRPr="00EA2C98">
              <w:t>Information and documentation sources may include ve</w:t>
            </w:r>
            <w:r w:rsidRPr="00EA2C98">
              <w:t>rbal or written communications; enterprise safety rules documentation; enterprise operating instructions; dedicated computer equipment; enterprise/site standing and operating instructions; enterprise log books; manufacturer's operation and maintenance manu</w:t>
            </w:r>
            <w:r w:rsidRPr="00EA2C98">
              <w:t>als; and equipment and alarm manuals</w:t>
            </w:r>
          </w:p>
          <w:p w:rsidR="00000000" w:rsidRPr="00EA2C98" w:rsidP="00EA2C98">
            <w:pPr>
              <w:pStyle w:val="BodyText"/>
            </w:pPr>
            <w:r w:rsidRPr="00EA2C98">
              <w:t>Systems may be interconnected, remote or isolated</w:t>
            </w:r>
          </w:p>
          <w:p w:rsidR="00000000" w:rsidRPr="00EA2C98" w:rsidP="00EA2C98">
            <w:pPr>
              <w:pStyle w:val="BodyText"/>
            </w:pPr>
            <w:r w:rsidRPr="00EA2C98">
              <w:t>Technical and operational indicators may include local indicators and recorders, computers and alarms (visible and or audible)</w:t>
            </w:r>
          </w:p>
          <w:p w:rsidR="00000000" w:rsidRPr="00EA2C98" w:rsidP="00EA2C98">
            <w:pPr>
              <w:pStyle w:val="BodyText"/>
            </w:pPr>
            <w:r w:rsidRPr="00EA2C98">
              <w:t>Key indicators may include voltage, curren</w:t>
            </w:r>
            <w:r w:rsidRPr="00EA2C98">
              <w:t>t, reactive power flows, load, equipment loading limits, system node points, frequency and plant status</w:t>
            </w:r>
          </w:p>
          <w:p w:rsidR="00000000" w:rsidRPr="00EA2C98" w:rsidP="00EA2C98">
            <w:pPr>
              <w:pStyle w:val="BodyText"/>
            </w:pPr>
            <w:r w:rsidRPr="00EA2C98">
              <w:t>Communications may be by means of telephone, two way radio, pager, computer (electronic mail) and operating logs (written or verbal)</w:t>
            </w:r>
          </w:p>
          <w:p w:rsidR="00000000" w:rsidRPr="00EA2C98" w:rsidP="00EA2C98">
            <w:pPr>
              <w:pStyle w:val="BodyText"/>
            </w:pPr>
            <w:r w:rsidRPr="00EA2C98">
              <w:t>Appropriate personn</w:t>
            </w:r>
            <w:r w:rsidRPr="00EA2C98">
              <w:t>el, team members/other authorities may include supervisor/team leader or equivalent, power plant operations personnel or equivalent, technical and engineering officers or equivalent, maintenance staff, other operating staff or equivalent, system controller</w:t>
            </w:r>
            <w:r w:rsidRPr="00EA2C98">
              <w:t>, field operators, restricted operators, emergency personnel, network controllers/coordinators, generation controllers, plant operators, field operators, support staff, fire service, police, ambulance, emergency services, enterprise and site representative</w:t>
            </w:r>
            <w:r w:rsidRPr="00EA2C98">
              <w:t>s, consumers and independent power producers</w:t>
            </w:r>
          </w:p>
          <w:p w:rsidR="00000000" w:rsidRPr="00EA2C98" w:rsidP="00EA2C98">
            <w:pPr>
              <w:pStyle w:val="BodyText"/>
            </w:pPr>
            <w:r w:rsidRPr="00EA2C98">
              <w:t>Equipment may include machines, circuit breakers, tap changers, protection settings, capacitor/condenser banks, generators and SCADA systems</w:t>
            </w:r>
          </w:p>
          <w:p w:rsidR="00000000" w:rsidRPr="00EA2C98" w:rsidP="00EA2C98">
            <w:pPr>
              <w:pStyle w:val="BodyText"/>
            </w:pPr>
            <w:r w:rsidRPr="00EA2C98">
              <w:t>Voltage control may be synchronous compensator, generatio</w:t>
            </w:r>
            <w:r w:rsidRPr="00EA2C98">
              <w:t>n VAR output, capacitor/condenser, switchgear, tap changers and network configuration</w:t>
            </w:r>
          </w:p>
          <w:p w:rsidR="00000000" w:rsidRPr="00EA2C98" w:rsidP="00EA2C98">
            <w:pPr>
              <w:pStyle w:val="BodyText"/>
            </w:pPr>
            <w:r w:rsidRPr="00EA2C98">
              <w:t>System integrity may be affected by machine and system stability, transmission line and transformer overloading, correct tap changer position, protection settings, voltag</w:t>
            </w:r>
            <w:r w:rsidRPr="00EA2C98">
              <w:t>e transformer selection, synchronising, required load shedding selected, capacitor/condenser bank selection, loss of network and generation components</w:t>
            </w:r>
          </w:p>
          <w:p w:rsidR="00000000" w:rsidRPr="00EA2C98" w:rsidP="00EA2C98">
            <w:pPr>
              <w:pStyle w:val="BodyText"/>
            </w:pPr>
            <w:r w:rsidRPr="00EA2C98">
              <w:t>System limitations may include location, weather conditions, natural disasters, accidents, temperature an</w:t>
            </w:r>
            <w:r w:rsidRPr="00EA2C98">
              <w:t>d power swings</w:t>
            </w:r>
          </w:p>
          <w:p w:rsidR="00000000" w:rsidRPr="00EA2C98" w:rsidP="00EA2C98">
            <w:pPr>
              <w:pStyle w:val="BodyText"/>
            </w:pPr>
            <w:r w:rsidRPr="00EA2C98">
              <w:t>Contingencies may include responsive spinning reserve, spare/stand-by plant and load shedding</w:t>
            </w:r>
          </w:p>
          <w:p w:rsidR="00000000" w:rsidRPr="00EA2C98" w:rsidP="00EA2C98">
            <w:pPr>
              <w:pStyle w:val="BodyText"/>
            </w:pPr>
            <w:r w:rsidRPr="00EA2C98">
              <w:t xml:space="preserve">Types of incidents may include localised blackout, interconnected/isolated power system potential power system threat, accidents, life threatening </w:t>
            </w:r>
            <w:r w:rsidRPr="00EA2C98">
              <w:t>situations, generation plant and auxiliary plant faults/failure, loss of network and generation components</w:t>
            </w:r>
          </w:p>
          <w:p w:rsidR="00000000" w:rsidRPr="00EA2C98" w:rsidP="00EA2C98">
            <w:pPr>
              <w:pStyle w:val="BodyText"/>
            </w:pPr>
            <w:r w:rsidRPr="00EA2C98">
              <w:t>Team members/other authorities may include network controllers/coordinators, generation controllers, plant operators, field operators, support staff,</w:t>
            </w:r>
            <w:r w:rsidRPr="00EA2C98">
              <w:t xml:space="preserve"> fire service, police, ambulance, emergency services, enterprise and site representatives, consumers and independent power producers</w:t>
            </w:r>
          </w:p>
          <w:p w:rsidR="00000000" w:rsidRPr="00EA2C98" w:rsidP="00EA2C98">
            <w:pPr>
              <w:pStyle w:val="BodyText"/>
            </w:pPr>
            <w:r w:rsidRPr="00EA2C98">
              <w:t>System condition may be voltage profiles, spare plant, generation/transmission capability limits, deviation from generation</w:t>
            </w:r>
            <w:r w:rsidRPr="00EA2C98">
              <w:t xml:space="preserve"> schedule, variation from normal trends, plant testing, switching programs and responsive spinning reserve</w:t>
            </w:r>
          </w:p>
          <w:p w:rsidR="00000000" w:rsidRPr="00EA2C98" w:rsidP="00EA2C98">
            <w:pPr>
              <w:pStyle w:val="BodyText"/>
            </w:pPr>
            <w:r w:rsidRPr="00EA2C98">
              <w:t>Unit operations may include spurious faults in automatic systems, automatic systems operating out of range, failure of automatic system components an</w:t>
            </w:r>
            <w:r w:rsidRPr="00EA2C98">
              <w:t>d routine plant movement.</w:t>
            </w:r>
          </w:p>
          <w:p w:rsidR="00000000" w:rsidRPr="00EA2C98" w:rsidP="00EA2C98">
            <w:pPr>
              <w:pStyle w:val="BodyText"/>
            </w:pPr>
            <w:r w:rsidRPr="00EA2C98">
              <w:t>Generic terms are used throughout this Training Package for vocational standard shall be regarded as part of the Range Statement in which competency is demonstrated. The definition of these and other terms are given in Volume 2, P</w:t>
            </w:r>
            <w:r w:rsidRPr="00EA2C98">
              <w:t>art 1.</w:t>
            </w:r>
          </w:p>
        </w:tc>
      </w:tr>
    </w:tbl>
    <w:p w:rsidR="00983095" w:rsidP="00EA2C98">
      <w:pPr>
        <w:pStyle w:val="BodyText"/>
      </w:pPr>
    </w:p>
    <w:p w:rsidR="00983095" w:rsidP="00EA2C98">
      <w:pPr>
        <w:pStyle w:val="BodyText"/>
      </w:pPr>
    </w:p>
    <w:p w:rsidR="00000000" w:rsidRPr="00EA2C98" w:rsidP="00EA2C98">
      <w:pPr>
        <w:pStyle w:val="Heading1"/>
      </w:pPr>
      <w:bookmarkStart w:id="12" w:name="O_297101"/>
      <w:bookmarkEnd w:id="12"/>
      <w:r w:rsidRPr="00EA2C98">
        <w:t>Unit Sector(s)</w:t>
      </w:r>
    </w:p>
    <w:p w:rsidR="00000000" w:rsidRPr="00EA2C98" w:rsidP="00EA2C98">
      <w:pPr>
        <w:pStyle w:val="BodyText"/>
      </w:pPr>
      <w:r w:rsidRPr="00EA2C98">
        <w:t>Not Applicable</w:t>
      </w:r>
    </w:p>
    <w:p w:rsidR="00000000" w:rsidRPr="00EA2C98" w:rsidP="00EA2C98">
      <w:pPr>
        <w:pStyle w:val="AllowPageBreak"/>
      </w:pPr>
    </w:p>
    <w:p w:rsidR="00000000" w:rsidRPr="00EA2C98" w:rsidP="00EA2C98">
      <w:pPr>
        <w:pStyle w:val="Heading1"/>
      </w:pPr>
      <w:bookmarkStart w:id="13" w:name="O_231007"/>
      <w:bookmarkEnd w:id="13"/>
      <w:r w:rsidRPr="00EA2C98">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830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2</w:t>
            </w:r>
            <w:r w:rsidRPr="00EA2C98">
              <w:t>.</w:t>
            </w:r>
            <w:r w:rsidRPr="00EA2C98">
              <w:rPr>
                <w:rStyle w:val="SpecialBold"/>
              </w:rPr>
              <w:t>2</w:t>
            </w:r>
            <w:r w:rsidRPr="00EA2C98">
              <w:t xml:space="preserve">) </w:t>
            </w:r>
          </w:p>
          <w:p w:rsidR="00000000" w:rsidP="00EA2C98">
            <w:pPr>
              <w:pStyle w:val="BodyText"/>
              <w:rPr>
                <w:lang w:val="en-NZ"/>
              </w:rPr>
            </w:pPr>
            <w:r w:rsidRPr="00EA2C98">
              <w:t>Participants are best equipped to achieve this unit if they have reading, writing and numeracy skills indicated by the</w:t>
            </w:r>
            <w:r w:rsidRPr="00EA2C98">
              <w:t xml:space="preserve"> following scales. Description of each scale is given in Volume 2, Part 3 Literacy and Numeracy.</w:t>
            </w:r>
          </w:p>
        </w:tc>
      </w:tr>
      <w:tr w:rsidTr="00983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Reading</w:t>
            </w:r>
          </w:p>
        </w:tc>
        <w:tc>
          <w:tcPr>
            <w:tcW w:w="805"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5</w:t>
            </w:r>
          </w:p>
        </w:tc>
        <w:tc>
          <w:tcPr>
            <w:tcW w:w="1184"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Writing</w:t>
            </w:r>
          </w:p>
        </w:tc>
        <w:tc>
          <w:tcPr>
            <w:tcW w:w="805"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5</w:t>
            </w:r>
          </w:p>
        </w:tc>
        <w:tc>
          <w:tcPr>
            <w:tcW w:w="1172"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t>Numeracy</w:t>
            </w:r>
          </w:p>
        </w:tc>
        <w:tc>
          <w:tcPr>
            <w:tcW w:w="805"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t>5</w:t>
            </w:r>
          </w:p>
        </w:tc>
      </w:tr>
    </w:tbl>
    <w:p w:rsidR="00983095" w:rsidP="00EA2C98">
      <w:pPr>
        <w:pStyle w:val="BodyText"/>
      </w:pPr>
    </w:p>
    <w:p w:rsidR="00983095" w:rsidP="00EA2C98">
      <w:pPr>
        <w:pStyle w:val="BodyText"/>
      </w:pPr>
    </w:p>
    <w:p w:rsidR="00000000" w:rsidRPr="00EA2C98" w:rsidP="00EA2C98">
      <w:pPr>
        <w:pStyle w:val="Heading1"/>
      </w:pPr>
      <w:bookmarkStart w:id="14" w:name="O_231009"/>
      <w:bookmarkEnd w:id="14"/>
      <w:r w:rsidRPr="00EA2C98">
        <w:t>Competency Field</w:t>
      </w:r>
    </w:p>
    <w:tbl>
      <w:tblPr>
        <w:tblW w:w="0" w:type="auto"/>
        <w:tblLayout w:type="fixed"/>
        <w:tblCellMar>
          <w:left w:w="62" w:type="dxa"/>
          <w:right w:w="62" w:type="dxa"/>
        </w:tblCellMar>
        <w:tblLook w:val="0000"/>
      </w:tblPr>
      <w:tblGrid>
        <w:gridCol w:w="2700"/>
        <w:gridCol w:w="5760"/>
      </w:tblGrid>
      <w:tr w:rsidTr="009830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A2C98">
            <w:pPr>
              <w:pStyle w:val="BodyText"/>
              <w:rPr>
                <w:lang w:val="en-NZ"/>
              </w:rPr>
            </w:pPr>
            <w:r w:rsidRPr="00EA2C98">
              <w:rPr>
                <w:rStyle w:val="SpecialBold"/>
              </w:rPr>
              <w:t>4</w:t>
            </w:r>
            <w:r w:rsidRPr="00EA2C98">
              <w:t xml:space="preserve">) </w:t>
            </w:r>
          </w:p>
        </w:tc>
      </w:tr>
      <w:tr w:rsidTr="009830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2C98" w:rsidP="00EA2C98">
            <w:pPr>
              <w:pStyle w:val="BodyText"/>
            </w:pPr>
            <w:r w:rsidRPr="00EA2C98">
              <w:t>Operations.</w:t>
            </w:r>
          </w:p>
        </w:tc>
      </w:tr>
    </w:tbl>
    <w:p w:rsidR="00983095" w:rsidP="00EA2C98">
      <w:pPr>
        <w:pStyle w:val="BodyText"/>
      </w:pPr>
    </w:p>
    <w:p w:rsidR="00983095" w:rsidP="00EA2C98">
      <w:pPr>
        <w:pStyle w:val="BodyText"/>
      </w:pPr>
    </w:p>
    <w:p w:rsidR="00000000" w:rsidRPr="00EA2C98" w:rsidP="00EA2C98"/>
    <w:sectPr w:rsidSect="00EA2C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095" w:rsidP="00983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95" w:rsidP="00EA2C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83095" w:rsidP="00EA2C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83095" w:rsidP="00EA2C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095" w:rsidP="009830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95" w:rsidP="00EA2C98">
    <w:pPr>
      <w:pStyle w:val="Header"/>
      <w:framePr w:wrap="around"/>
    </w:pPr>
    <w:r>
      <w:fldChar w:fldCharType="begin"/>
    </w:r>
    <w:r>
      <w:instrText xml:space="preserve"> TITLE   \* MERGEFORMAT </w:instrText>
    </w:r>
    <w:r>
      <w:fldChar w:fldCharType="separate"/>
    </w:r>
    <w:r>
      <w:t>UEPOPS512A Manage the Network/System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3095" w:rsidP="00EA2C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4299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9C27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C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2C98"/>
    <w:pPr>
      <w:spacing w:before="360" w:after="60"/>
      <w:outlineLvl w:val="0"/>
    </w:pPr>
    <w:rPr>
      <w:sz w:val="32"/>
    </w:rPr>
  </w:style>
  <w:style w:type="paragraph" w:styleId="Heading2">
    <w:name w:val="heading 2"/>
    <w:basedOn w:val="HeadingBase"/>
    <w:next w:val="BodyText"/>
    <w:link w:val="Heading2Char"/>
    <w:qFormat/>
    <w:rsid w:val="00EA2C98"/>
    <w:pPr>
      <w:keepLines/>
      <w:spacing w:before="240" w:after="120"/>
      <w:outlineLvl w:val="1"/>
    </w:pPr>
    <w:rPr>
      <w:sz w:val="28"/>
      <w:szCs w:val="40"/>
    </w:rPr>
  </w:style>
  <w:style w:type="paragraph" w:styleId="Heading3">
    <w:name w:val="heading 3"/>
    <w:basedOn w:val="HeadingBase"/>
    <w:next w:val="BodyText"/>
    <w:link w:val="Heading3Char"/>
    <w:qFormat/>
    <w:rsid w:val="00EA2C98"/>
    <w:pPr>
      <w:spacing w:before="180" w:after="120"/>
      <w:outlineLvl w:val="2"/>
    </w:pPr>
    <w:rPr>
      <w:spacing w:val="-10"/>
      <w:kern w:val="32"/>
    </w:rPr>
  </w:style>
  <w:style w:type="paragraph" w:styleId="Heading4">
    <w:name w:val="heading 4"/>
    <w:basedOn w:val="HeadingBase"/>
    <w:next w:val="BodyText"/>
    <w:link w:val="Heading4Char"/>
    <w:qFormat/>
    <w:rsid w:val="00EA2C98"/>
    <w:pPr>
      <w:spacing w:before="160" w:after="120"/>
      <w:outlineLvl w:val="3"/>
    </w:pPr>
    <w:rPr>
      <w:sz w:val="22"/>
    </w:rPr>
  </w:style>
  <w:style w:type="paragraph" w:styleId="Heading5">
    <w:name w:val="heading 5"/>
    <w:basedOn w:val="HeadingBase"/>
    <w:next w:val="Normal"/>
    <w:link w:val="Heading5Char"/>
    <w:qFormat/>
    <w:rsid w:val="00EA2C98"/>
    <w:pPr>
      <w:spacing w:before="80"/>
      <w:outlineLvl w:val="4"/>
    </w:pPr>
    <w:rPr>
      <w:color w:val="918585"/>
      <w:sz w:val="20"/>
    </w:rPr>
  </w:style>
  <w:style w:type="paragraph" w:styleId="Heading6">
    <w:name w:val="heading 6"/>
    <w:basedOn w:val="HeadingBase"/>
    <w:next w:val="Normal"/>
    <w:link w:val="Heading6Char"/>
    <w:qFormat/>
    <w:rsid w:val="00EA2C98"/>
    <w:pPr>
      <w:spacing w:before="60"/>
      <w:outlineLvl w:val="5"/>
    </w:pPr>
    <w:rPr>
      <w:color w:val="918585"/>
      <w:sz w:val="20"/>
    </w:rPr>
  </w:style>
  <w:style w:type="paragraph" w:styleId="Heading7">
    <w:name w:val="heading 7"/>
    <w:basedOn w:val="Normal"/>
    <w:next w:val="Normal"/>
    <w:link w:val="Heading7Char"/>
    <w:qFormat/>
    <w:rsid w:val="00EA2C98"/>
    <w:pPr>
      <w:ind w:left="720"/>
      <w:outlineLvl w:val="6"/>
    </w:pPr>
    <w:rPr>
      <w:i/>
    </w:rPr>
  </w:style>
  <w:style w:type="paragraph" w:styleId="Heading8">
    <w:name w:val="heading 8"/>
    <w:basedOn w:val="Normal"/>
    <w:next w:val="Normal"/>
    <w:link w:val="Heading8Char"/>
    <w:qFormat/>
    <w:rsid w:val="00EA2C98"/>
    <w:pPr>
      <w:ind w:left="720"/>
      <w:outlineLvl w:val="7"/>
    </w:pPr>
    <w:rPr>
      <w:i/>
    </w:rPr>
  </w:style>
  <w:style w:type="paragraph" w:styleId="Heading9">
    <w:name w:val="heading 9"/>
    <w:basedOn w:val="Normal"/>
    <w:next w:val="Normal"/>
    <w:link w:val="Heading9Char"/>
    <w:qFormat/>
    <w:rsid w:val="00EA2C98"/>
    <w:pPr>
      <w:ind w:left="720"/>
      <w:outlineLvl w:val="8"/>
    </w:pPr>
    <w:rPr>
      <w:i/>
    </w:rPr>
  </w:style>
  <w:style w:type="character" w:default="1" w:styleId="DefaultParagraphFont">
    <w:name w:val="Default Paragraph Font"/>
    <w:uiPriority w:val="1"/>
    <w:unhideWhenUsed/>
    <w:rsid w:val="00EA2C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C98"/>
  </w:style>
  <w:style w:type="character" w:customStyle="1" w:styleId="Heading1Char">
    <w:name w:val="Heading 1 Char"/>
    <w:basedOn w:val="DefaultParagraphFont"/>
    <w:link w:val="Heading1"/>
    <w:rsid w:val="00EA2C98"/>
    <w:rPr>
      <w:rFonts w:ascii="Times New Roman" w:eastAsia="Times New Roman" w:hAnsi="Times New Roman" w:cs="Times New Roman"/>
      <w:b/>
      <w:sz w:val="32"/>
      <w:szCs w:val="20"/>
      <w:lang w:eastAsia="en-US"/>
    </w:rPr>
  </w:style>
  <w:style w:type="paragraph" w:styleId="BodyText">
    <w:name w:val="Body Text"/>
    <w:basedOn w:val="Normal"/>
    <w:link w:val="BodyTextChar"/>
    <w:rsid w:val="00EA2C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C98"/>
    <w:rPr>
      <w:rFonts w:ascii="Times New Roman" w:eastAsia="Times New Roman" w:hAnsi="Times New Roman" w:cs="Times New Roman"/>
      <w:sz w:val="24"/>
      <w:lang w:val="en-US" w:eastAsia="en-US"/>
    </w:rPr>
  </w:style>
  <w:style w:type="paragraph" w:styleId="Footer">
    <w:name w:val="footer"/>
    <w:basedOn w:val="Normal"/>
    <w:link w:val="FooterChar"/>
    <w:rsid w:val="00EA2C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C98"/>
    <w:rPr>
      <w:rFonts w:ascii="Times New Roman" w:eastAsia="Times New Roman" w:hAnsi="Times New Roman" w:cs="Times New Roman"/>
      <w:sz w:val="16"/>
      <w:lang w:val="en-US" w:eastAsia="en-US"/>
    </w:rPr>
  </w:style>
  <w:style w:type="paragraph" w:styleId="ListBullet">
    <w:name w:val="List Bullet"/>
    <w:basedOn w:val="List"/>
    <w:rsid w:val="00EA2C98"/>
    <w:pPr>
      <w:numPr>
        <w:numId w:val="13"/>
      </w:numPr>
      <w:tabs>
        <w:tab w:val="clear" w:pos="340"/>
      </w:tabs>
      <w:spacing w:before="40" w:after="40"/>
    </w:pPr>
  </w:style>
  <w:style w:type="character" w:customStyle="1" w:styleId="SpecialBold">
    <w:name w:val="Special Bold"/>
    <w:basedOn w:val="DefaultParagraphFont"/>
    <w:rsid w:val="00EA2C98"/>
    <w:rPr>
      <w:b/>
      <w:spacing w:val="0"/>
    </w:rPr>
  </w:style>
  <w:style w:type="paragraph" w:styleId="Header">
    <w:name w:val="header"/>
    <w:basedOn w:val="Normal"/>
    <w:link w:val="HeaderChar"/>
    <w:rsid w:val="00EA2C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C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2C98"/>
    <w:pPr>
      <w:spacing w:before="240" w:after="120"/>
      <w:outlineLvl w:val="0"/>
    </w:pPr>
    <w:rPr>
      <w:rFonts w:ascii="Times New Roman" w:hAnsi="Times New Roman"/>
      <w:b/>
      <w:sz w:val="28"/>
    </w:rPr>
  </w:style>
  <w:style w:type="paragraph" w:customStyle="1" w:styleId="AllowPageBreak">
    <w:name w:val="AllowPageBreak"/>
    <w:rsid w:val="00EA2C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2C98"/>
    <w:pPr>
      <w:numPr>
        <w:numId w:val="2"/>
      </w:numPr>
      <w:tabs>
        <w:tab w:val="clear" w:pos="1021"/>
      </w:tabs>
      <w:ind w:left="1037" w:hanging="357"/>
    </w:pPr>
  </w:style>
  <w:style w:type="character" w:customStyle="1" w:styleId="Heading2Char">
    <w:name w:val="Heading 2 Char"/>
    <w:basedOn w:val="DefaultParagraphFont"/>
    <w:link w:val="Heading2"/>
    <w:rsid w:val="00EA2C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C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C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C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C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C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2C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2C98"/>
    <w:rPr>
      <w:rFonts w:ascii="Courier New" w:eastAsia="Times New Roman" w:hAnsi="Courier New" w:cs="Times New Roman"/>
      <w:i/>
      <w:szCs w:val="20"/>
      <w:lang w:val="en-US" w:eastAsia="en-US"/>
    </w:rPr>
  </w:style>
  <w:style w:type="paragraph" w:customStyle="1" w:styleId="HeadingBase">
    <w:name w:val="Heading Base"/>
    <w:rsid w:val="00EA2C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C98"/>
    <w:pPr>
      <w:tabs>
        <w:tab w:val="right" w:leader="dot" w:pos="9072"/>
      </w:tabs>
      <w:ind w:left="567"/>
    </w:pPr>
    <w:rPr>
      <w:szCs w:val="22"/>
    </w:rPr>
  </w:style>
  <w:style w:type="paragraph" w:customStyle="1" w:styleId="TOCBase">
    <w:name w:val="TOC Base"/>
    <w:rsid w:val="00EA2C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C98"/>
    <w:pPr>
      <w:tabs>
        <w:tab w:val="right" w:leader="dot" w:pos="9072"/>
      </w:tabs>
      <w:spacing w:before="40" w:after="40"/>
      <w:ind w:left="284"/>
    </w:pPr>
    <w:rPr>
      <w:rFonts w:ascii="Times New Roman" w:hAnsi="Times New Roman"/>
    </w:rPr>
  </w:style>
  <w:style w:type="paragraph" w:styleId="TOC1">
    <w:name w:val="toc 1"/>
    <w:basedOn w:val="TOCBase"/>
    <w:next w:val="Normal"/>
    <w:rsid w:val="00EA2C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2C98"/>
    <w:pPr>
      <w:spacing w:before="5040"/>
      <w:jc w:val="center"/>
    </w:pPr>
    <w:rPr>
      <w:sz w:val="48"/>
      <w:szCs w:val="72"/>
      <w:lang w:val="en-US"/>
    </w:rPr>
  </w:style>
  <w:style w:type="character" w:customStyle="1" w:styleId="TitleChar">
    <w:name w:val="Title Char"/>
    <w:basedOn w:val="DefaultParagraphFont"/>
    <w:link w:val="Title"/>
    <w:rsid w:val="00EA2C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C98"/>
    <w:pPr>
      <w:tabs>
        <w:tab w:val="left" w:pos="3600"/>
        <w:tab w:val="left" w:pos="3958"/>
      </w:tabs>
    </w:pPr>
  </w:style>
  <w:style w:type="paragraph" w:styleId="List">
    <w:name w:val="List"/>
    <w:basedOn w:val="BodyText"/>
    <w:next w:val="BodyText"/>
    <w:rsid w:val="00EA2C98"/>
    <w:pPr>
      <w:tabs>
        <w:tab w:val="left" w:pos="340"/>
      </w:tabs>
      <w:spacing w:before="60" w:after="60"/>
      <w:ind w:left="340" w:hanging="340"/>
    </w:pPr>
  </w:style>
  <w:style w:type="paragraph" w:customStyle="1" w:styleId="Note">
    <w:name w:val="Note"/>
    <w:basedOn w:val="BodyText"/>
    <w:rsid w:val="00EA2C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C98"/>
    <w:pPr>
      <w:framePr w:wrap="auto" w:hAnchor="text" w:y="6049"/>
    </w:pPr>
    <w:rPr>
      <w:color w:val="000000"/>
      <w:sz w:val="40"/>
    </w:rPr>
  </w:style>
  <w:style w:type="paragraph" w:customStyle="1" w:styleId="TOCTitle">
    <w:name w:val="TOCTitle"/>
    <w:basedOn w:val="Heading1"/>
    <w:rsid w:val="00EA2C98"/>
    <w:pPr>
      <w:spacing w:after="240"/>
      <w:jc w:val="center"/>
      <w:outlineLvl w:val="9"/>
    </w:pPr>
    <w:rPr>
      <w:caps/>
    </w:rPr>
  </w:style>
  <w:style w:type="paragraph" w:customStyle="1" w:styleId="Version">
    <w:name w:val="Version"/>
    <w:rsid w:val="00EA2C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2C98"/>
    <w:pPr>
      <w:numPr>
        <w:numId w:val="14"/>
      </w:numPr>
      <w:tabs>
        <w:tab w:val="clear" w:pos="680"/>
      </w:tabs>
    </w:pPr>
  </w:style>
  <w:style w:type="paragraph" w:styleId="Index1">
    <w:name w:val="index 1"/>
    <w:basedOn w:val="Normal"/>
    <w:next w:val="Normal"/>
    <w:semiHidden/>
    <w:rsid w:val="00EA2C98"/>
    <w:pPr>
      <w:keepNext w:val="0"/>
      <w:tabs>
        <w:tab w:val="right" w:pos="4176"/>
      </w:tabs>
      <w:ind w:left="198" w:hanging="198"/>
    </w:pPr>
    <w:rPr>
      <w:rFonts w:ascii="Garamond" w:hAnsi="Garamond"/>
    </w:rPr>
  </w:style>
  <w:style w:type="paragraph" w:styleId="IndexHeading">
    <w:name w:val="index heading"/>
    <w:basedOn w:val="Normal"/>
    <w:next w:val="Index1"/>
    <w:semiHidden/>
    <w:rsid w:val="00EA2C98"/>
    <w:pPr>
      <w:spacing w:before="120" w:after="120"/>
    </w:pPr>
    <w:rPr>
      <w:rFonts w:ascii="Arial" w:hAnsi="Arial"/>
      <w:b/>
      <w:color w:val="918585"/>
      <w:sz w:val="24"/>
    </w:rPr>
  </w:style>
  <w:style w:type="paragraph" w:customStyle="1" w:styleId="Chapter">
    <w:name w:val="Chapter"/>
    <w:basedOn w:val="Normal"/>
    <w:rsid w:val="00EA2C98"/>
    <w:pPr>
      <w:spacing w:before="240"/>
    </w:pPr>
    <w:rPr>
      <w:rFonts w:ascii="Times New Roman" w:hAnsi="Times New Roman"/>
      <w:smallCaps/>
      <w:spacing w:val="80"/>
      <w:sz w:val="28"/>
    </w:rPr>
  </w:style>
  <w:style w:type="paragraph" w:customStyle="1" w:styleId="InChapter">
    <w:name w:val="InChapter"/>
    <w:basedOn w:val="Heading3"/>
    <w:rsid w:val="00EA2C98"/>
    <w:pPr>
      <w:spacing w:after="240"/>
      <w:outlineLvl w:val="9"/>
    </w:pPr>
    <w:rPr>
      <w:noProof/>
    </w:rPr>
  </w:style>
  <w:style w:type="paragraph" w:styleId="Index2">
    <w:name w:val="index 2"/>
    <w:basedOn w:val="Normal"/>
    <w:next w:val="Normal"/>
    <w:semiHidden/>
    <w:rsid w:val="00EA2C98"/>
    <w:pPr>
      <w:tabs>
        <w:tab w:val="right" w:pos="4176"/>
      </w:tabs>
      <w:ind w:left="568" w:hanging="284"/>
    </w:pPr>
    <w:rPr>
      <w:rFonts w:ascii="Garamond" w:hAnsi="Garamond"/>
    </w:rPr>
  </w:style>
  <w:style w:type="paragraph" w:customStyle="1" w:styleId="Byline">
    <w:name w:val="Byline"/>
    <w:rsid w:val="00EA2C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C98"/>
    <w:pPr>
      <w:tabs>
        <w:tab w:val="clear" w:pos="3600"/>
        <w:tab w:val="clear" w:pos="3958"/>
      </w:tabs>
      <w:jc w:val="right"/>
    </w:pPr>
  </w:style>
  <w:style w:type="character" w:styleId="Emphasis">
    <w:name w:val="Emphasis"/>
    <w:basedOn w:val="DefaultParagraphFont"/>
    <w:qFormat/>
    <w:rsid w:val="00EA2C98"/>
    <w:rPr>
      <w:i/>
    </w:rPr>
  </w:style>
  <w:style w:type="paragraph" w:styleId="Caption">
    <w:name w:val="caption"/>
    <w:basedOn w:val="BodyText"/>
    <w:next w:val="Normal"/>
    <w:qFormat/>
    <w:rsid w:val="00EA2C98"/>
    <w:pPr>
      <w:framePr w:w="2268" w:hSpace="181" w:vSpace="181" w:wrap="around" w:vAnchor="text" w:hAnchor="page" w:x="1135" w:y="285" w:anchorLock="1"/>
    </w:pPr>
    <w:rPr>
      <w:i/>
    </w:rPr>
  </w:style>
  <w:style w:type="paragraph" w:customStyle="1" w:styleId="MiniTOCTitle">
    <w:name w:val="MiniTOCTitle"/>
    <w:basedOn w:val="Heading4"/>
    <w:rsid w:val="00EA2C98"/>
    <w:pPr>
      <w:spacing w:before="240"/>
      <w:outlineLvl w:val="9"/>
    </w:pPr>
    <w:rPr>
      <w:noProof/>
      <w:sz w:val="24"/>
    </w:rPr>
  </w:style>
  <w:style w:type="paragraph" w:customStyle="1" w:styleId="MiniTOCItem">
    <w:name w:val="MiniTOCItem"/>
    <w:basedOn w:val="ListBullet"/>
    <w:rsid w:val="00EA2C98"/>
    <w:pPr>
      <w:numPr>
        <w:numId w:val="0"/>
      </w:numPr>
      <w:tabs>
        <w:tab w:val="right" w:leader="dot" w:pos="6521"/>
      </w:tabs>
      <w:spacing w:before="0" w:after="0"/>
    </w:pPr>
  </w:style>
  <w:style w:type="paragraph" w:customStyle="1" w:styleId="TOFTitle">
    <w:name w:val="TOFTitle"/>
    <w:basedOn w:val="TOCTitle"/>
    <w:rsid w:val="00EA2C98"/>
  </w:style>
  <w:style w:type="paragraph" w:styleId="TableofFigures">
    <w:name w:val="table of figures"/>
    <w:basedOn w:val="Normal"/>
    <w:next w:val="Normal"/>
    <w:semiHidden/>
    <w:rsid w:val="00EA2C98"/>
    <w:pPr>
      <w:tabs>
        <w:tab w:val="right" w:leader="dot" w:pos="9072"/>
      </w:tabs>
      <w:ind w:left="970" w:hanging="403"/>
    </w:pPr>
    <w:rPr>
      <w:rFonts w:ascii="Times New Roman" w:hAnsi="Times New Roman"/>
      <w:b/>
    </w:rPr>
  </w:style>
  <w:style w:type="paragraph" w:styleId="ListNumber">
    <w:name w:val="List Number"/>
    <w:basedOn w:val="List"/>
    <w:rsid w:val="00EA2C98"/>
    <w:pPr>
      <w:numPr>
        <w:numId w:val="11"/>
      </w:numPr>
    </w:pPr>
  </w:style>
  <w:style w:type="character" w:customStyle="1" w:styleId="WingdingSymbols">
    <w:name w:val="Wingding Symbols"/>
    <w:rsid w:val="00EA2C98"/>
    <w:rPr>
      <w:rFonts w:ascii="Wingdings" w:hAnsi="Wingdings"/>
    </w:rPr>
  </w:style>
  <w:style w:type="paragraph" w:customStyle="1" w:styleId="TableHeading">
    <w:name w:val="Table Heading"/>
    <w:basedOn w:val="HeadingBase"/>
    <w:rsid w:val="00EA2C98"/>
    <w:pPr>
      <w:keepLines/>
      <w:pBdr>
        <w:bottom w:val="single" w:sz="6" w:space="1" w:color="918585"/>
      </w:pBdr>
      <w:spacing w:before="240"/>
    </w:pPr>
  </w:style>
  <w:style w:type="character" w:customStyle="1" w:styleId="HotSpot">
    <w:name w:val="HotSpot"/>
    <w:rsid w:val="00EA2C98"/>
    <w:rPr>
      <w:color w:val="0033CC"/>
      <w:u w:val="none"/>
    </w:rPr>
  </w:style>
  <w:style w:type="paragraph" w:customStyle="1" w:styleId="BodyTextRight">
    <w:name w:val="Body Text Right"/>
    <w:basedOn w:val="BodyText"/>
    <w:rsid w:val="00EA2C98"/>
    <w:pPr>
      <w:spacing w:before="0" w:after="0"/>
      <w:jc w:val="right"/>
    </w:pPr>
  </w:style>
  <w:style w:type="paragraph" w:styleId="Index3">
    <w:name w:val="index 3"/>
    <w:basedOn w:val="ListNumber2"/>
    <w:next w:val="Normal"/>
    <w:semiHidden/>
    <w:rsid w:val="00EA2C98"/>
    <w:pPr>
      <w:numPr>
        <w:numId w:val="0"/>
      </w:numPr>
      <w:tabs>
        <w:tab w:val="right" w:leader="dot" w:pos="4176"/>
      </w:tabs>
    </w:pPr>
  </w:style>
  <w:style w:type="paragraph" w:styleId="ListNumber2">
    <w:name w:val="List Number 2"/>
    <w:basedOn w:val="List2"/>
    <w:rsid w:val="00EA2C98"/>
    <w:pPr>
      <w:numPr>
        <w:numId w:val="10"/>
      </w:numPr>
      <w:tabs>
        <w:tab w:val="clear" w:pos="1060"/>
      </w:tabs>
    </w:pPr>
  </w:style>
  <w:style w:type="paragraph" w:customStyle="1" w:styleId="MarginNote">
    <w:name w:val="Margin Note"/>
    <w:basedOn w:val="BodyText"/>
    <w:rsid w:val="00EA2C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C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C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2C98"/>
    <w:rPr>
      <w:sz w:val="32"/>
    </w:rPr>
  </w:style>
  <w:style w:type="paragraph" w:customStyle="1" w:styleId="HeadingProcedure">
    <w:name w:val="Heading Procedure"/>
    <w:basedOn w:val="HeadingBase"/>
    <w:next w:val="Normal"/>
    <w:rsid w:val="00EA2C98"/>
    <w:pPr>
      <w:tabs>
        <w:tab w:val="left" w:pos="0"/>
      </w:tabs>
      <w:spacing w:before="120" w:after="60"/>
    </w:pPr>
    <w:rPr>
      <w:i/>
      <w:color w:val="918585"/>
      <w:sz w:val="22"/>
    </w:rPr>
  </w:style>
  <w:style w:type="paragraph" w:customStyle="1" w:styleId="TableBodyText">
    <w:name w:val="Table Body Text"/>
    <w:basedOn w:val="BodyText"/>
    <w:rsid w:val="00EA2C98"/>
    <w:pPr>
      <w:spacing w:before="60" w:after="60"/>
    </w:pPr>
  </w:style>
  <w:style w:type="paragraph" w:styleId="ListContinue">
    <w:name w:val="List Continue"/>
    <w:basedOn w:val="List"/>
    <w:rsid w:val="00EA2C98"/>
    <w:pPr>
      <w:ind w:firstLine="0"/>
    </w:pPr>
  </w:style>
  <w:style w:type="paragraph" w:customStyle="1" w:styleId="ListNote">
    <w:name w:val="List Note"/>
    <w:basedOn w:val="List"/>
    <w:rsid w:val="00EA2C98"/>
    <w:pPr>
      <w:pBdr>
        <w:top w:val="single" w:sz="6" w:space="2" w:color="918585"/>
        <w:bottom w:val="single" w:sz="6" w:space="2" w:color="918585"/>
      </w:pBdr>
      <w:tabs>
        <w:tab w:val="left" w:pos="1021"/>
      </w:tabs>
      <w:ind w:firstLine="0"/>
    </w:pPr>
  </w:style>
  <w:style w:type="paragraph" w:customStyle="1" w:styleId="Warning">
    <w:name w:val="Warning"/>
    <w:basedOn w:val="BodyText"/>
    <w:rsid w:val="00EA2C98"/>
    <w:pPr>
      <w:shd w:val="clear" w:color="auto" w:fill="D9D9D9"/>
      <w:tabs>
        <w:tab w:val="left" w:pos="992"/>
      </w:tabs>
      <w:ind w:left="119" w:right="119"/>
    </w:pPr>
    <w:rPr>
      <w:sz w:val="20"/>
    </w:rPr>
  </w:style>
  <w:style w:type="paragraph" w:customStyle="1" w:styleId="MarginIcons">
    <w:name w:val="Margin Icons"/>
    <w:basedOn w:val="BodyText"/>
    <w:rsid w:val="00EA2C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C98"/>
    <w:rPr>
      <w:rFonts w:ascii="Courier New" w:hAnsi="Courier New"/>
    </w:rPr>
  </w:style>
  <w:style w:type="paragraph" w:customStyle="1" w:styleId="NoteBullet">
    <w:name w:val="Note Bullet"/>
    <w:basedOn w:val="Note"/>
    <w:rsid w:val="00EA2C98"/>
    <w:pPr>
      <w:tabs>
        <w:tab w:val="clear" w:pos="680"/>
      </w:tabs>
      <w:spacing w:before="60" w:after="60"/>
    </w:pPr>
  </w:style>
  <w:style w:type="paragraph" w:customStyle="1" w:styleId="SubHeading2">
    <w:name w:val="SubHeading2"/>
    <w:basedOn w:val="HeadingBase"/>
    <w:rsid w:val="00EA2C98"/>
    <w:pPr>
      <w:spacing w:before="240" w:after="60"/>
    </w:pPr>
    <w:rPr>
      <w:sz w:val="20"/>
    </w:rPr>
  </w:style>
  <w:style w:type="paragraph" w:customStyle="1" w:styleId="SubHeading1">
    <w:name w:val="SubHeading1"/>
    <w:basedOn w:val="HeadingBase"/>
    <w:rsid w:val="00EA2C98"/>
    <w:pPr>
      <w:spacing w:before="240" w:after="60"/>
    </w:pPr>
    <w:rPr>
      <w:color w:val="918585"/>
      <w:sz w:val="22"/>
    </w:rPr>
  </w:style>
  <w:style w:type="paragraph" w:customStyle="1" w:styleId="SideHeading">
    <w:name w:val="Side Heading"/>
    <w:basedOn w:val="HeadingBase"/>
    <w:rsid w:val="00EA2C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C98"/>
    <w:pPr>
      <w:numPr>
        <w:numId w:val="12"/>
      </w:numPr>
    </w:pPr>
  </w:style>
  <w:style w:type="paragraph" w:styleId="PlainText">
    <w:name w:val="Plain Text"/>
    <w:basedOn w:val="Normal"/>
    <w:link w:val="PlainTextChar"/>
    <w:rsid w:val="00EA2C98"/>
    <w:rPr>
      <w:sz w:val="20"/>
    </w:rPr>
  </w:style>
  <w:style w:type="character" w:customStyle="1" w:styleId="PlainTextChar">
    <w:name w:val="Plain Text Char"/>
    <w:basedOn w:val="DefaultParagraphFont"/>
    <w:link w:val="PlainText"/>
    <w:rsid w:val="00EA2C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2C98"/>
    <w:rPr>
      <w:b/>
      <w:smallCaps/>
    </w:rPr>
  </w:style>
  <w:style w:type="paragraph" w:customStyle="1" w:styleId="TableListNumber">
    <w:name w:val="Table List Number"/>
    <w:basedOn w:val="ListNumber"/>
    <w:rsid w:val="00EA2C98"/>
    <w:pPr>
      <w:numPr>
        <w:numId w:val="0"/>
      </w:numPr>
    </w:pPr>
  </w:style>
  <w:style w:type="paragraph" w:styleId="TOC4">
    <w:name w:val="toc 4"/>
    <w:basedOn w:val="TOCBase"/>
    <w:next w:val="Normal"/>
    <w:semiHidden/>
    <w:rsid w:val="00EA2C98"/>
    <w:pPr>
      <w:tabs>
        <w:tab w:val="right" w:leader="dot" w:pos="9071"/>
      </w:tabs>
      <w:ind w:left="1701"/>
    </w:pPr>
  </w:style>
  <w:style w:type="paragraph" w:customStyle="1" w:styleId="ListAlpha">
    <w:name w:val="List Alpha"/>
    <w:basedOn w:val="List"/>
    <w:rsid w:val="00EA2C98"/>
    <w:pPr>
      <w:numPr>
        <w:numId w:val="9"/>
      </w:numPr>
    </w:pPr>
  </w:style>
  <w:style w:type="paragraph" w:customStyle="1" w:styleId="ListAlpha2">
    <w:name w:val="List Alpha 2"/>
    <w:basedOn w:val="List2"/>
    <w:rsid w:val="00EA2C98"/>
    <w:pPr>
      <w:numPr>
        <w:numId w:val="8"/>
      </w:numPr>
    </w:pPr>
  </w:style>
  <w:style w:type="paragraph" w:styleId="List2">
    <w:name w:val="List 2"/>
    <w:basedOn w:val="BodyText"/>
    <w:rsid w:val="00EA2C98"/>
    <w:pPr>
      <w:tabs>
        <w:tab w:val="left" w:pos="680"/>
      </w:tabs>
      <w:spacing w:before="60" w:after="60"/>
      <w:ind w:left="680" w:hanging="340"/>
    </w:pPr>
  </w:style>
  <w:style w:type="paragraph" w:styleId="List3">
    <w:name w:val="List 3"/>
    <w:basedOn w:val="BodyText"/>
    <w:rsid w:val="00EA2C98"/>
    <w:pPr>
      <w:tabs>
        <w:tab w:val="left" w:pos="1021"/>
      </w:tabs>
      <w:spacing w:before="60" w:after="60"/>
      <w:ind w:left="1020" w:hanging="340"/>
    </w:pPr>
  </w:style>
  <w:style w:type="paragraph" w:styleId="List4">
    <w:name w:val="List 4"/>
    <w:basedOn w:val="BodyText"/>
    <w:rsid w:val="00EA2C98"/>
    <w:pPr>
      <w:tabs>
        <w:tab w:val="left" w:pos="1361"/>
      </w:tabs>
      <w:spacing w:before="60" w:after="60"/>
      <w:ind w:left="1361" w:hanging="340"/>
    </w:pPr>
  </w:style>
  <w:style w:type="paragraph" w:styleId="List5">
    <w:name w:val="List 5"/>
    <w:basedOn w:val="BodyText"/>
    <w:rsid w:val="00EA2C98"/>
    <w:pPr>
      <w:tabs>
        <w:tab w:val="left" w:pos="1701"/>
      </w:tabs>
      <w:spacing w:before="60" w:after="60"/>
      <w:ind w:left="1701" w:hanging="340"/>
    </w:pPr>
  </w:style>
  <w:style w:type="paragraph" w:styleId="ListBullet4">
    <w:name w:val="List Bullet 4"/>
    <w:basedOn w:val="List4"/>
    <w:rsid w:val="00EA2C98"/>
    <w:pPr>
      <w:numPr>
        <w:numId w:val="3"/>
      </w:numPr>
    </w:pPr>
  </w:style>
  <w:style w:type="paragraph" w:styleId="ListBullet5">
    <w:name w:val="List Bullet 5"/>
    <w:basedOn w:val="List5"/>
    <w:rsid w:val="00EA2C98"/>
    <w:pPr>
      <w:numPr>
        <w:numId w:val="4"/>
      </w:numPr>
    </w:pPr>
  </w:style>
  <w:style w:type="paragraph" w:styleId="ListContinue2">
    <w:name w:val="List Continue 2"/>
    <w:basedOn w:val="List2"/>
    <w:rsid w:val="00EA2C98"/>
    <w:pPr>
      <w:ind w:firstLine="0"/>
    </w:pPr>
  </w:style>
  <w:style w:type="paragraph" w:styleId="ListContinue3">
    <w:name w:val="List Continue 3"/>
    <w:basedOn w:val="List3"/>
    <w:rsid w:val="00EA2C98"/>
    <w:pPr>
      <w:ind w:left="1021" w:firstLine="0"/>
    </w:pPr>
  </w:style>
  <w:style w:type="paragraph" w:styleId="ListContinue4">
    <w:name w:val="List Continue 4"/>
    <w:basedOn w:val="List4"/>
    <w:rsid w:val="00EA2C98"/>
    <w:pPr>
      <w:ind w:firstLine="0"/>
    </w:pPr>
  </w:style>
  <w:style w:type="paragraph" w:styleId="ListContinue5">
    <w:name w:val="List Continue 5"/>
    <w:basedOn w:val="List5"/>
    <w:rsid w:val="00EA2C98"/>
    <w:pPr>
      <w:ind w:firstLine="0"/>
    </w:pPr>
  </w:style>
  <w:style w:type="paragraph" w:styleId="ListNumber3">
    <w:name w:val="List Number 3"/>
    <w:basedOn w:val="List3"/>
    <w:rsid w:val="00EA2C98"/>
    <w:pPr>
      <w:numPr>
        <w:numId w:val="5"/>
      </w:numPr>
    </w:pPr>
  </w:style>
  <w:style w:type="paragraph" w:styleId="ListNumber4">
    <w:name w:val="List Number 4"/>
    <w:basedOn w:val="List4"/>
    <w:rsid w:val="00EA2C98"/>
    <w:pPr>
      <w:numPr>
        <w:numId w:val="6"/>
      </w:numPr>
    </w:pPr>
  </w:style>
  <w:style w:type="paragraph" w:styleId="ListNumber5">
    <w:name w:val="List Number 5"/>
    <w:basedOn w:val="List5"/>
    <w:rsid w:val="00EA2C98"/>
    <w:pPr>
      <w:numPr>
        <w:numId w:val="7"/>
      </w:numPr>
    </w:pPr>
  </w:style>
  <w:style w:type="paragraph" w:styleId="BlockText">
    <w:name w:val="Block Text"/>
    <w:basedOn w:val="Normal"/>
    <w:rsid w:val="00EA2C98"/>
    <w:pPr>
      <w:spacing w:after="120"/>
      <w:ind w:left="1440" w:right="1440"/>
    </w:pPr>
  </w:style>
  <w:style w:type="character" w:customStyle="1" w:styleId="Subscript">
    <w:name w:val="Subscript"/>
    <w:basedOn w:val="DefaultParagraphFont"/>
    <w:rsid w:val="00EA2C98"/>
    <w:rPr>
      <w:sz w:val="16"/>
      <w:vertAlign w:val="subscript"/>
    </w:rPr>
  </w:style>
  <w:style w:type="character" w:customStyle="1" w:styleId="Superscript">
    <w:name w:val="Superscript"/>
    <w:basedOn w:val="DefaultParagraphFont"/>
    <w:rsid w:val="00EA2C98"/>
    <w:rPr>
      <w:sz w:val="16"/>
      <w:vertAlign w:val="superscript"/>
    </w:rPr>
  </w:style>
  <w:style w:type="character" w:customStyle="1" w:styleId="Symbols">
    <w:name w:val="Symbols"/>
    <w:basedOn w:val="DefaultParagraphFont"/>
    <w:rsid w:val="00EA2C98"/>
    <w:rPr>
      <w:rFonts w:ascii="Symbol" w:hAnsi="Symbol"/>
    </w:rPr>
  </w:style>
  <w:style w:type="character" w:customStyle="1" w:styleId="MenuOptions">
    <w:name w:val="Menu Options"/>
    <w:basedOn w:val="DefaultParagraphFont"/>
    <w:rsid w:val="00EA2C98"/>
    <w:rPr>
      <w:rFonts w:ascii="Arial Narrow" w:hAnsi="Arial Narrow"/>
      <w:smallCaps/>
    </w:rPr>
  </w:style>
  <w:style w:type="character" w:customStyle="1" w:styleId="Buttons">
    <w:name w:val="Buttons"/>
    <w:basedOn w:val="DefaultParagraphFont"/>
    <w:rsid w:val="00EA2C98"/>
    <w:rPr>
      <w:b/>
    </w:rPr>
  </w:style>
  <w:style w:type="character" w:customStyle="1" w:styleId="Underlined">
    <w:name w:val="Underlined"/>
    <w:basedOn w:val="DefaultParagraphFont"/>
    <w:rsid w:val="00EA2C98"/>
    <w:rPr>
      <w:u w:val="single"/>
    </w:rPr>
  </w:style>
  <w:style w:type="paragraph" w:customStyle="1" w:styleId="TableBodyTextRight">
    <w:name w:val="Table Body Text Right"/>
    <w:basedOn w:val="TableBodyText"/>
    <w:rsid w:val="00EA2C98"/>
    <w:pPr>
      <w:widowControl w:val="0"/>
      <w:autoSpaceDE w:val="0"/>
      <w:autoSpaceDN w:val="0"/>
      <w:adjustRightInd w:val="0"/>
      <w:jc w:val="right"/>
    </w:pPr>
    <w:rPr>
      <w:rFonts w:cs="Arial"/>
      <w:szCs w:val="18"/>
    </w:rPr>
  </w:style>
  <w:style w:type="paragraph" w:customStyle="1" w:styleId="CopyrightText">
    <w:name w:val="Copyright Text"/>
    <w:basedOn w:val="BodyText"/>
    <w:rsid w:val="00EA2C98"/>
    <w:rPr>
      <w:sz w:val="18"/>
    </w:rPr>
  </w:style>
  <w:style w:type="paragraph" w:customStyle="1" w:styleId="BodySmallRight">
    <w:name w:val="Body Small Right"/>
    <w:basedOn w:val="BodyTextRight"/>
    <w:rsid w:val="00EA2C98"/>
    <w:rPr>
      <w:sz w:val="18"/>
      <w:szCs w:val="18"/>
    </w:rPr>
  </w:style>
  <w:style w:type="paragraph" w:customStyle="1" w:styleId="MarginEdition">
    <w:name w:val="Margin Edition"/>
    <w:basedOn w:val="MarginNote"/>
    <w:rsid w:val="00EA2C98"/>
    <w:pPr>
      <w:spacing w:before="0" w:after="0"/>
    </w:pPr>
    <w:rPr>
      <w:rFonts w:ascii="Times New Roman" w:hAnsi="Times New Roman"/>
      <w:color w:val="999999"/>
    </w:rPr>
  </w:style>
  <w:style w:type="paragraph" w:customStyle="1" w:styleId="Spacer">
    <w:name w:val="Spacer"/>
    <w:basedOn w:val="Normal"/>
    <w:rsid w:val="00EA2C98"/>
    <w:rPr>
      <w:sz w:val="2"/>
      <w:szCs w:val="2"/>
    </w:rPr>
  </w:style>
  <w:style w:type="character" w:customStyle="1" w:styleId="Small">
    <w:name w:val="Small"/>
    <w:basedOn w:val="DefaultParagraphFont"/>
    <w:rsid w:val="00EA2C98"/>
    <w:rPr>
      <w:sz w:val="16"/>
    </w:rPr>
  </w:style>
  <w:style w:type="paragraph" w:customStyle="1" w:styleId="WideTable">
    <w:name w:val="Wide Table"/>
    <w:basedOn w:val="Normal"/>
    <w:rsid w:val="00EA2C98"/>
    <w:pPr>
      <w:ind w:left="-1418"/>
    </w:pPr>
    <w:rPr>
      <w:sz w:val="2"/>
      <w:szCs w:val="2"/>
    </w:rPr>
  </w:style>
  <w:style w:type="character" w:styleId="PageNumber">
    <w:name w:val="page number"/>
    <w:basedOn w:val="DefaultParagraphFont"/>
    <w:rsid w:val="00EA2C98"/>
  </w:style>
  <w:style w:type="paragraph" w:styleId="Quote">
    <w:name w:val="Quote"/>
    <w:basedOn w:val="Heading1"/>
    <w:link w:val="QuoteChar"/>
    <w:qFormat/>
    <w:rsid w:val="00EA2C98"/>
    <w:rPr>
      <w:b w:val="0"/>
      <w:sz w:val="72"/>
      <w:szCs w:val="72"/>
      <w:lang w:val="en-NZ"/>
    </w:rPr>
  </w:style>
  <w:style w:type="character" w:customStyle="1" w:styleId="QuoteChar">
    <w:name w:val="Quote Char"/>
    <w:basedOn w:val="DefaultParagraphFont"/>
    <w:link w:val="Quote"/>
    <w:rsid w:val="00EA2C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C98"/>
    <w:pPr>
      <w:pageBreakBefore/>
    </w:pPr>
  </w:style>
  <w:style w:type="paragraph" w:customStyle="1" w:styleId="Border">
    <w:name w:val="Border"/>
    <w:basedOn w:val="Normal"/>
    <w:qFormat/>
    <w:rsid w:val="00EA2C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C98"/>
    <w:rPr>
      <w:b/>
      <w:bCs/>
      <w:i/>
      <w:iCs/>
      <w:color w:val="auto"/>
    </w:rPr>
  </w:style>
  <w:style w:type="paragraph" w:styleId="IntenseQuote">
    <w:name w:val="Intense Quote"/>
    <w:basedOn w:val="Normal"/>
    <w:next w:val="Normal"/>
    <w:link w:val="IntenseQuoteChar"/>
    <w:uiPriority w:val="30"/>
    <w:qFormat/>
    <w:rsid w:val="00EA2C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C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2C98"/>
    <w:rPr>
      <w:smallCaps/>
      <w:color w:val="auto"/>
      <w:u w:val="single"/>
    </w:rPr>
  </w:style>
  <w:style w:type="character" w:styleId="IntenseReference">
    <w:name w:val="Intense Reference"/>
    <w:basedOn w:val="DefaultParagraphFont"/>
    <w:uiPriority w:val="32"/>
    <w:qFormat/>
    <w:rsid w:val="00EA2C98"/>
    <w:rPr>
      <w:b/>
      <w:bCs/>
      <w:smallCaps/>
      <w:color w:val="auto"/>
      <w:spacing w:val="5"/>
      <w:u w:val="single"/>
    </w:rPr>
  </w:style>
  <w:style w:type="paragraph" w:customStyle="1" w:styleId="2ColumnHeading">
    <w:name w:val="2Column Heading"/>
    <w:basedOn w:val="BodyText"/>
    <w:qFormat/>
    <w:rsid w:val="00EA2C98"/>
    <w:pPr>
      <w:spacing w:after="60"/>
      <w:ind w:left="-2268"/>
    </w:pPr>
    <w:rPr>
      <w:b/>
    </w:rPr>
  </w:style>
  <w:style w:type="paragraph" w:customStyle="1" w:styleId="Heading1TOC">
    <w:name w:val="Heading1 TOC"/>
    <w:basedOn w:val="Normal"/>
    <w:qFormat/>
    <w:rsid w:val="00EA2C98"/>
    <w:pPr>
      <w:spacing w:before="240" w:after="120"/>
    </w:pPr>
    <w:rPr>
      <w:rFonts w:ascii="Times New Roman" w:hAnsi="Times New Roman"/>
      <w:b/>
      <w:sz w:val="32"/>
    </w:rPr>
  </w:style>
  <w:style w:type="paragraph" w:customStyle="1" w:styleId="Heading2TOC">
    <w:name w:val="Heading2 TOC"/>
    <w:basedOn w:val="Normal"/>
    <w:qFormat/>
    <w:rsid w:val="00EA2C98"/>
    <w:pPr>
      <w:spacing w:before="240" w:after="60"/>
    </w:pPr>
    <w:rPr>
      <w:rFonts w:ascii="Times New Roman" w:hAnsi="Times New Roman"/>
      <w:b/>
      <w:sz w:val="28"/>
    </w:rPr>
  </w:style>
  <w:style w:type="character" w:customStyle="1" w:styleId="Underline">
    <w:name w:val="Underline"/>
    <w:basedOn w:val="DefaultParagraphFont"/>
    <w:qFormat/>
    <w:rsid w:val="00EA2C98"/>
    <w:rPr>
      <w:u w:val="single"/>
    </w:rPr>
  </w:style>
  <w:style w:type="character" w:customStyle="1" w:styleId="BoldandItalics">
    <w:name w:val="Bold and Italics"/>
    <w:qFormat/>
    <w:rsid w:val="00EA2C98"/>
    <w:rPr>
      <w:b/>
      <w:i/>
      <w:u w:val="none"/>
    </w:rPr>
  </w:style>
  <w:style w:type="paragraph" w:styleId="BalloonText">
    <w:name w:val="Balloon Text"/>
    <w:basedOn w:val="Normal"/>
    <w:link w:val="BalloonTextChar"/>
    <w:rsid w:val="00EA2C98"/>
    <w:rPr>
      <w:rFonts w:ascii="Tahoma" w:hAnsi="Tahoma" w:cs="Tahoma"/>
      <w:sz w:val="16"/>
      <w:szCs w:val="16"/>
    </w:rPr>
  </w:style>
  <w:style w:type="character" w:customStyle="1" w:styleId="BalloonTextChar">
    <w:name w:val="Balloon Text Char"/>
    <w:basedOn w:val="DefaultParagraphFont"/>
    <w:link w:val="BalloonText"/>
    <w:rsid w:val="00EA2C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2C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C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2752</Words>
  <Characters>17411</Characters>
  <Application>Microsoft Office Word</Application>
  <DocSecurity>0</DocSecurity>
  <Lines>677</Lines>
  <Paragraphs>277</Paragraphs>
  <ScaleCrop>false</ScaleCrop>
  <Company>Author-it Software Corporation Ltd.</Company>
  <LinksUpToDate>false</LinksUpToDate>
  <CharactersWithSpaces>19990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UEPOPS512A Manage the Network/System</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2012-05-26T22:31:00Z</dcterms:created>
  <dcterms:modified xsi:type="dcterms:W3CDTF">2012-05-26T22:31:00Z</dcterms:modified>
</cp:coreProperties>
</file>