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4EEB" w:rsidP="007C4EEB">
      <w:pPr>
        <w:pStyle w:val="Title"/>
      </w:pPr>
      <w:bookmarkStart w:id="0" w:name="_GoBack"/>
      <w:bookmarkEnd w:id="0"/>
      <w:r>
        <w:fldChar w:fldCharType="begin"/>
      </w:r>
      <w:r>
        <w:instrText xml:space="preserve"> TITLE   \* MERGEFORMAT </w:instrText>
      </w:r>
      <w:r>
        <w:fldChar w:fldCharType="separate"/>
      </w:r>
      <w:r>
        <w:t>UEPOPS442A Monitor and Coordinate the Operation of a Combined Cycle Gas Turbine Unit</w:t>
      </w:r>
      <w:r>
        <w:fldChar w:fldCharType="end"/>
      </w:r>
    </w:p>
    <w:p w:rsidR="007C4EEB" w:rsidP="007C4EEB">
      <w:pPr>
        <w:pStyle w:val="Version"/>
        <w:sectPr w:rsidSect="003110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1005" w:rsidP="00311005">
      <w:pPr>
        <w:pStyle w:val="SuperHeading"/>
      </w:pPr>
      <w:r w:rsidRPr="00311005">
        <w:t>UEPOPS442A Monitor and Coordinate the Operation of a Combined Cycle Gas Turbine Unit</w:t>
      </w:r>
    </w:p>
    <w:p w:rsidR="00000000" w:rsidRPr="00311005" w:rsidP="00311005">
      <w:pPr>
        <w:pStyle w:val="Heading1"/>
      </w:pPr>
      <w:bookmarkStart w:id="1" w:name="O_275395"/>
      <w:bookmarkEnd w:id="1"/>
      <w:r w:rsidRPr="00311005">
        <w:t>Modification History</w:t>
      </w:r>
    </w:p>
    <w:p w:rsidR="00000000" w:rsidRPr="00311005" w:rsidP="00311005">
      <w:pPr>
        <w:pStyle w:val="BodyText"/>
      </w:pPr>
      <w:r w:rsidRPr="00311005">
        <w:t>Not Applicable</w:t>
      </w:r>
    </w:p>
    <w:p w:rsidR="00000000" w:rsidRPr="00311005" w:rsidP="00311005">
      <w:pPr>
        <w:pStyle w:val="AllowPageBreak"/>
      </w:pPr>
    </w:p>
    <w:p w:rsidR="00000000" w:rsidRPr="00311005" w:rsidP="00311005">
      <w:pPr>
        <w:pStyle w:val="Heading1"/>
      </w:pPr>
      <w:bookmarkStart w:id="2" w:name="O_230945"/>
      <w:bookmarkEnd w:id="2"/>
      <w:r w:rsidRPr="00311005">
        <w:t>Unit Descriptor</w:t>
      </w:r>
    </w:p>
    <w:tbl>
      <w:tblPr>
        <w:tblW w:w="0" w:type="auto"/>
        <w:tblLayout w:type="fixed"/>
        <w:tblCellMar>
          <w:left w:w="62" w:type="dxa"/>
          <w:right w:w="62" w:type="dxa"/>
        </w:tblCellMar>
        <w:tblLook w:val="0000"/>
      </w:tblPr>
      <w:tblGrid>
        <w:gridCol w:w="2700"/>
        <w:gridCol w:w="5760"/>
      </w:tblGrid>
      <w:tr w:rsidTr="007C4E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rPr>
                <w:rStyle w:val="SpecialBold"/>
              </w:rPr>
              <w:t>1</w:t>
            </w:r>
            <w:r w:rsidRPr="00311005">
              <w:t xml:space="preserve">) </w:t>
            </w:r>
          </w:p>
        </w:tc>
      </w:tr>
      <w:tr w:rsidTr="007C4E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t>This unit deals with the skills and knowledge required to simultaneously operate and monitor a Combined Cycle Plant for the safe and effective management of energy production to meet demand on combined cycle gas turbine electricity generating unit.</w:t>
            </w:r>
          </w:p>
        </w:tc>
      </w:tr>
    </w:tbl>
    <w:p w:rsidR="007C4EEB" w:rsidP="00311005">
      <w:pPr>
        <w:pStyle w:val="BodyText"/>
      </w:pPr>
    </w:p>
    <w:p w:rsidR="007C4EEB" w:rsidP="00311005">
      <w:pPr>
        <w:pStyle w:val="BodyText"/>
      </w:pPr>
    </w:p>
    <w:p w:rsidR="00000000" w:rsidRPr="00311005" w:rsidP="00311005">
      <w:pPr>
        <w:pStyle w:val="Heading1"/>
      </w:pPr>
      <w:bookmarkStart w:id="3" w:name="O_230948"/>
      <w:bookmarkEnd w:id="3"/>
      <w:r w:rsidRPr="00311005">
        <w:t>Application of the Unit</w:t>
      </w:r>
    </w:p>
    <w:tbl>
      <w:tblPr>
        <w:tblW w:w="0" w:type="auto"/>
        <w:tblLayout w:type="fixed"/>
        <w:tblCellMar>
          <w:left w:w="62" w:type="dxa"/>
          <w:right w:w="62" w:type="dxa"/>
        </w:tblCellMar>
        <w:tblLook w:val="0000"/>
      </w:tblPr>
      <w:tblGrid>
        <w:gridCol w:w="2700"/>
        <w:gridCol w:w="5760"/>
      </w:tblGrid>
      <w:tr w:rsidTr="007C4E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rPr>
                <w:rStyle w:val="SpecialBold"/>
              </w:rPr>
              <w:t>3</w:t>
            </w:r>
            <w:r w:rsidRPr="00311005">
              <w:t xml:space="preserve">) </w:t>
            </w:r>
          </w:p>
        </w:tc>
      </w:tr>
      <w:tr w:rsidTr="007C4E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t xml:space="preserve">A Combined Cycle Plant consisting of a Gas Turbine and associated generator, Heat Recovery Steam Generator, Steam Turbine and associated generator. </w:t>
            </w:r>
          </w:p>
          <w:p w:rsidR="00000000" w:rsidP="00311005">
            <w:pPr>
              <w:pStyle w:val="BodyText"/>
              <w:rPr>
                <w:lang w:val="en-NZ"/>
              </w:rPr>
            </w:pPr>
            <w:r w:rsidRPr="00311005">
              <w:t>This unit is intended to augment formall</w:t>
            </w:r>
            <w:r w:rsidRPr="00311005">
              <w:t>y acquired competencies.</w:t>
            </w:r>
          </w:p>
        </w:tc>
      </w:tr>
      <w:tr w:rsidTr="007C4E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rPr>
                <w:rStyle w:val="SpecialBold"/>
              </w:rPr>
              <w:t>3</w:t>
            </w:r>
            <w:r w:rsidRPr="00311005">
              <w:t>.</w:t>
            </w:r>
            <w:r w:rsidRPr="00311005">
              <w:rPr>
                <w:rStyle w:val="SpecialBold"/>
              </w:rPr>
              <w:t>1</w:t>
            </w:r>
            <w:r w:rsidRPr="00311005">
              <w:t xml:space="preserve">) </w:t>
            </w:r>
          </w:p>
        </w:tc>
      </w:tr>
      <w:tr w:rsidTr="007C4E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t xml:space="preserve">The skills and knowledge described in this unit are subject to regulations directly related to Occupational Health and Safety. Individuals </w:t>
            </w:r>
            <w:r w:rsidRPr="00311005">
              <w:t>may require a licence to practise in the workplace depending on the requirements of the various State OHS regulations.</w:t>
            </w:r>
          </w:p>
        </w:tc>
      </w:tr>
    </w:tbl>
    <w:p w:rsidR="007C4EEB" w:rsidP="00311005">
      <w:pPr>
        <w:pStyle w:val="BodyText"/>
      </w:pPr>
    </w:p>
    <w:p w:rsidR="007C4EEB" w:rsidP="00311005">
      <w:pPr>
        <w:pStyle w:val="BodyText"/>
      </w:pPr>
    </w:p>
    <w:p w:rsidR="00000000" w:rsidRPr="00311005" w:rsidP="00311005">
      <w:pPr>
        <w:pStyle w:val="Heading1"/>
      </w:pPr>
      <w:bookmarkStart w:id="4" w:name="O_282929"/>
      <w:bookmarkEnd w:id="4"/>
      <w:r w:rsidRPr="00311005">
        <w:t>Licensing/Regulatory Information</w:t>
      </w:r>
    </w:p>
    <w:p w:rsidR="00000000" w:rsidRPr="00311005" w:rsidP="00311005">
      <w:pPr>
        <w:pStyle w:val="BodyText"/>
      </w:pPr>
      <w:r w:rsidRPr="00311005">
        <w:t>Not Applicable</w:t>
      </w:r>
    </w:p>
    <w:p w:rsidR="00000000" w:rsidRPr="00311005" w:rsidP="00311005">
      <w:pPr>
        <w:pStyle w:val="AllowPageBreak"/>
      </w:pPr>
    </w:p>
    <w:p w:rsidR="00000000" w:rsidRPr="00311005" w:rsidP="00311005">
      <w:pPr>
        <w:pStyle w:val="Heading1"/>
      </w:pPr>
      <w:bookmarkStart w:id="5" w:name="O_230946"/>
      <w:bookmarkEnd w:id="5"/>
      <w:r w:rsidRPr="00311005">
        <w:t>Pre-Requisites</w:t>
      </w:r>
    </w:p>
    <w:tbl>
      <w:tblPr>
        <w:tblW w:w="0" w:type="auto"/>
        <w:tblLayout w:type="fixed"/>
        <w:tblCellMar>
          <w:left w:w="62" w:type="dxa"/>
          <w:right w:w="62" w:type="dxa"/>
        </w:tblCellMar>
        <w:tblLook w:val="0000"/>
      </w:tblPr>
      <w:tblGrid>
        <w:gridCol w:w="2700"/>
        <w:gridCol w:w="1800"/>
        <w:gridCol w:w="3960"/>
      </w:tblGrid>
      <w:tr w:rsidTr="007C4E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rPr>
                <w:rStyle w:val="SpecialBold"/>
              </w:rPr>
              <w:t>Prerequisite Unit</w:t>
            </w:r>
            <w:r w:rsidRPr="00311005">
              <w:t>(</w:t>
            </w:r>
            <w:r w:rsidRPr="00311005">
              <w:rPr>
                <w:rStyle w:val="SpecialBold"/>
              </w:rPr>
              <w:t>s</w:t>
            </w:r>
            <w:r w:rsidRPr="00311005">
              <w:t>)</w:t>
            </w:r>
          </w:p>
        </w:tc>
        <w:tc>
          <w:tcPr>
            <w:tcW w:w="5760" w:type="dxa"/>
            <w:gridSpan w:val="2"/>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rPr>
                <w:rStyle w:val="SpecialBold"/>
              </w:rPr>
              <w:t>2</w:t>
            </w:r>
            <w:r w:rsidRPr="00311005">
              <w:t xml:space="preserve">) </w:t>
            </w:r>
          </w:p>
        </w:tc>
      </w:tr>
      <w:tr w:rsidTr="007C4E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rPr>
                <w:rStyle w:val="SpecialBold"/>
              </w:rPr>
              <w:t>2</w:t>
            </w:r>
            <w:r w:rsidRPr="00311005">
              <w:t>.</w:t>
            </w:r>
            <w:r w:rsidRPr="00311005">
              <w:rPr>
                <w:rStyle w:val="SpecialBold"/>
              </w:rPr>
              <w:t>1</w:t>
            </w:r>
            <w:r w:rsidRPr="00311005">
              <w:t xml:space="preserve">) </w:t>
            </w:r>
          </w:p>
        </w:tc>
      </w:tr>
      <w:tr w:rsidTr="007C4E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Competency in this unit may be assessed concurrently with or only after the following competency has been acquired:</w:t>
            </w:r>
          </w:p>
        </w:tc>
      </w:tr>
      <w:tr w:rsidTr="007C4EEB">
        <w:tblPrEx>
          <w:tblW w:w="0" w:type="auto"/>
          <w:tblLayout w:type="fixed"/>
          <w:tblCellMar>
            <w:left w:w="62" w:type="dxa"/>
            <w:right w:w="62" w:type="dxa"/>
          </w:tblCellMar>
          <w:tblLook w:val="0000"/>
        </w:tblPrEx>
        <w:tc>
          <w:tcPr>
            <w:tcW w:w="270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UEPOPS314A</w:t>
            </w:r>
          </w:p>
        </w:tc>
        <w:tc>
          <w:tcPr>
            <w:tcW w:w="39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Operate and monitor fuel firing plant (gas or oil)</w:t>
            </w:r>
          </w:p>
        </w:tc>
      </w:tr>
      <w:tr w:rsidTr="007C4EEB">
        <w:tblPrEx>
          <w:tblW w:w="0" w:type="auto"/>
          <w:tblLayout w:type="fixed"/>
          <w:tblCellMar>
            <w:left w:w="62" w:type="dxa"/>
            <w:right w:w="62" w:type="dxa"/>
          </w:tblCellMar>
          <w:tblLook w:val="0000"/>
        </w:tblPrEx>
        <w:tc>
          <w:tcPr>
            <w:tcW w:w="27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UEPOPS333A</w:t>
            </w:r>
          </w:p>
        </w:tc>
        <w:tc>
          <w:tcPr>
            <w:tcW w:w="39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Operate and monitor H.R.S.G. hot gas control system</w:t>
            </w:r>
          </w:p>
        </w:tc>
      </w:tr>
      <w:tr w:rsidTr="007C4EEB">
        <w:tblPrEx>
          <w:tblW w:w="0" w:type="auto"/>
          <w:tblLayout w:type="fixed"/>
          <w:tblCellMar>
            <w:left w:w="62" w:type="dxa"/>
            <w:right w:w="62" w:type="dxa"/>
          </w:tblCellMar>
          <w:tblLook w:val="0000"/>
        </w:tblPrEx>
        <w:tc>
          <w:tcPr>
            <w:tcW w:w="27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UEPOPS336A</w:t>
            </w:r>
          </w:p>
        </w:tc>
        <w:tc>
          <w:tcPr>
            <w:tcW w:w="39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Operate and monitor gas turbine unit</w:t>
            </w:r>
          </w:p>
        </w:tc>
      </w:tr>
      <w:tr w:rsidTr="007C4EEB">
        <w:tblPrEx>
          <w:tblW w:w="0" w:type="auto"/>
          <w:tblLayout w:type="fixed"/>
          <w:tblCellMar>
            <w:left w:w="62" w:type="dxa"/>
            <w:right w:w="62" w:type="dxa"/>
          </w:tblCellMar>
          <w:tblLook w:val="0000"/>
        </w:tblPrEx>
        <w:tc>
          <w:tcPr>
            <w:tcW w:w="27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UEPOPS342A</w:t>
            </w:r>
          </w:p>
        </w:tc>
        <w:tc>
          <w:tcPr>
            <w:tcW w:w="3960" w:type="dxa"/>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t>Operate and monitor a steam turbine</w:t>
            </w:r>
          </w:p>
        </w:tc>
      </w:tr>
    </w:tbl>
    <w:p w:rsidR="007C4EEB" w:rsidP="00311005">
      <w:pPr>
        <w:pStyle w:val="BodyText"/>
      </w:pPr>
    </w:p>
    <w:p w:rsidR="007C4EEB" w:rsidP="00311005">
      <w:pPr>
        <w:pStyle w:val="BodyText"/>
      </w:pPr>
    </w:p>
    <w:p w:rsidR="00000000" w:rsidRPr="00311005" w:rsidP="00311005">
      <w:pPr>
        <w:pStyle w:val="Heading1"/>
      </w:pPr>
      <w:bookmarkStart w:id="6" w:name="O_285644"/>
      <w:bookmarkEnd w:id="6"/>
      <w:r w:rsidRPr="00311005">
        <w:t>Employability Skills Information</w:t>
      </w:r>
    </w:p>
    <w:p w:rsidR="00000000" w:rsidRPr="00311005" w:rsidP="00311005">
      <w:pPr>
        <w:pStyle w:val="BodyText"/>
      </w:pPr>
      <w:r w:rsidRPr="00311005">
        <w:t>Refer to the Evidence Guide</w:t>
      </w:r>
    </w:p>
    <w:p w:rsidR="00000000" w:rsidRPr="00311005" w:rsidP="00311005">
      <w:pPr>
        <w:pStyle w:val="AllowPageBreak"/>
      </w:pPr>
    </w:p>
    <w:p w:rsidR="00000000" w:rsidRPr="00311005" w:rsidP="00311005">
      <w:pPr>
        <w:pStyle w:val="Heading1"/>
      </w:pPr>
      <w:bookmarkStart w:id="7" w:name="O_293441"/>
      <w:bookmarkEnd w:id="7"/>
      <w:r w:rsidRPr="00311005">
        <w:t>Elements and Performance Criteria Pre-Content</w:t>
      </w:r>
    </w:p>
    <w:tbl>
      <w:tblPr>
        <w:tblW w:w="0" w:type="auto"/>
        <w:tblLayout w:type="fixed"/>
        <w:tblCellMar>
          <w:left w:w="62" w:type="dxa"/>
          <w:right w:w="62" w:type="dxa"/>
        </w:tblCellMar>
        <w:tblLook w:val="0000"/>
      </w:tblPr>
      <w:tblGrid>
        <w:gridCol w:w="2700"/>
        <w:gridCol w:w="5760"/>
      </w:tblGrid>
      <w:tr w:rsidTr="007C4E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rPr>
                <w:rStyle w:val="SpecialBold"/>
              </w:rPr>
              <w:t>5</w:t>
            </w:r>
            <w:r w:rsidRPr="00311005">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t>Performance Criteria describe the required performance needed to demonstrate achievement of the element. Assessment of performance is to be co</w:t>
            </w:r>
            <w:r w:rsidRPr="00311005">
              <w:t>nsistent with the Evidence Guide.</w:t>
            </w:r>
          </w:p>
        </w:tc>
      </w:tr>
    </w:tbl>
    <w:p w:rsidR="00000000" w:rsidRPr="00311005" w:rsidP="00311005">
      <w:pPr>
        <w:pStyle w:val="BodyText"/>
      </w:pPr>
    </w:p>
    <w:p w:rsidR="00000000" w:rsidRPr="00311005" w:rsidP="00311005">
      <w:pPr>
        <w:pStyle w:val="AllowPageBreak"/>
      </w:pPr>
    </w:p>
    <w:p w:rsidR="00000000" w:rsidRPr="00311005" w:rsidP="00311005">
      <w:pPr>
        <w:pStyle w:val="Heading1"/>
      </w:pPr>
      <w:bookmarkStart w:id="8" w:name="O_240109"/>
      <w:bookmarkEnd w:id="8"/>
      <w:r w:rsidRPr="0031100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C4EE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rPr>
                <w:rStyle w:val="SpecialBold"/>
              </w:rPr>
              <w:t>PERFORMANCE CRITERIA</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1</w:t>
            </w:r>
          </w:p>
        </w:tc>
        <w:tc>
          <w:tcPr>
            <w:tcW w:w="2296" w:type="dxa"/>
            <w:vMerge w:val="restart"/>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Plan for plant operation</w:t>
            </w: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1.1</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Safety issues are identified to comply with enterprise/site requirements</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1.2</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Work, plant and resource requirements are identified from relevant information and documentation</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1.3</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Pre-operational checks are carried out in accordance with enterprise and site requirements</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2</w:t>
            </w:r>
          </w:p>
        </w:tc>
        <w:tc>
          <w:tcPr>
            <w:tcW w:w="2296" w:type="dxa"/>
            <w:vMerge w:val="restart"/>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 xml:space="preserve">Operate Heat Recovery Steam Generator </w:t>
            </w: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2.1</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Gas turbine exhaust gas flow and power output are adjusted to achieve required steam flow and conditions, observing operating requirements</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2.2</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Supplementary Firing System (if provided) is placed into and out of service as required to maintain design ste</w:t>
            </w:r>
            <w:r w:rsidRPr="00311005">
              <w:t>am flow and steam conditions.</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2.3</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Plant is operated within limits of plant design, enterprise or site requirements</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2.4</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Plant is operated, monitored and observed to detect deviations from required operating conditions</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2.5</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Corrective action is taken to rectify abnormalities in accordance with manufacturer's and enterprise/site procedures</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3</w:t>
            </w:r>
          </w:p>
        </w:tc>
        <w:tc>
          <w:tcPr>
            <w:tcW w:w="2296" w:type="dxa"/>
            <w:vMerge w:val="restart"/>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Operate generator and excitation system</w:t>
            </w: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3.1</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System is operated in accordance with enterprise/site and manufacturer's operating procedure</w:t>
            </w:r>
            <w:r w:rsidRPr="00311005">
              <w:t>s</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3.2</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Synchronising requirements are assessed, evaluated and achieved to ensure machine/system stability during synchronising</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3.3</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System is monitored and observed to detect deviations from normal operating conditions</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3.4</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Corrective actions are taken to rectify abnormalities in accordance with manufacturer's and enterprise/site procedures</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3.5</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 xml:space="preserve">Where appropriate, the teams and individuals roles and responsibilities within the team are identified and, where required, assist in the provision of the on-the-job training </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4</w:t>
            </w:r>
          </w:p>
        </w:tc>
        <w:tc>
          <w:tcPr>
            <w:tcW w:w="2296" w:type="dxa"/>
            <w:vMerge w:val="restart"/>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t>Control generation of electrical energy</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4.1</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 xml:space="preserve">Generator output is adjusted to </w:t>
            </w:r>
            <w:r w:rsidRPr="00311005">
              <w:t>meet demand whilst observing operating requirements</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4.2</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Reactive power generation and voltage regulation requirements are assessed and the system is controlled to achieve the desired output</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4.3</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Generator stabilitie</w:t>
            </w:r>
            <w:r w:rsidRPr="00311005">
              <w:t>s and operating limits are assessed and the system is controlled to maintain those limits in accordance with enterprise/site and manufacturer's procedures</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4.4</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Generator cooling systems and limits are monitored and assessed, excitation system is controll</w:t>
            </w:r>
            <w:r w:rsidRPr="00311005">
              <w:t>ed to maintain those limits in accordance with enterprise/site and manufacturer's procedures</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5</w:t>
            </w:r>
          </w:p>
        </w:tc>
        <w:tc>
          <w:tcPr>
            <w:tcW w:w="2296" w:type="dxa"/>
            <w:vMerge w:val="restart"/>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Coordinate unit operations</w:t>
            </w: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5.1</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Systems are operated to meet requirements whilst observing plant limitations</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5.2</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Systems are monitored and observed to detect deviations from normal operating conditions</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5.3</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Causes of abnormal operating conditions are identified by analysing the technical and operational information</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5.4</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 xml:space="preserve">Corrective actions taken to rectify system </w:t>
            </w:r>
            <w:r w:rsidRPr="00311005">
              <w:t>abnormalities are in accordance with enterprise and site requirements</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5.5</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System integrity, personnel safety and continuity of supply are maintained throughout</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5.6.</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Consultation with appropriate personnel is undertaken as required in accordance with site requirements</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5.7</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Systems are operated at optimum efficiency</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6</w:t>
            </w:r>
          </w:p>
        </w:tc>
        <w:tc>
          <w:tcPr>
            <w:tcW w:w="2296" w:type="dxa"/>
            <w:vMerge w:val="restart"/>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Monitor system/plant</w:t>
            </w: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6.1</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System/plant to be monitored is physically identified</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6.2</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 xml:space="preserve">System/plant is monitored for normal operation or to detect deviations </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6.3</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Corrective action taken is in accordance with enterprise/site procedures</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6.4</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Appropriate personnel are notified when defects and abnormal operating conditions are detected</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7</w:t>
            </w:r>
          </w:p>
        </w:tc>
        <w:tc>
          <w:tcPr>
            <w:tcW w:w="2296" w:type="dxa"/>
            <w:vMerge w:val="restart"/>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Test system/plant operation</w:t>
            </w: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7.1</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Tests are performed in accordance with defined procedures applicable to the operational test</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7.2</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System/plant is observed for correct operational response</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7.3</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Correct action is taken when response is not in accordance</w:t>
            </w:r>
            <w:r w:rsidRPr="00311005">
              <w:t xml:space="preserve"> with documentation, plant/system integrity or personnel safety requirements</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7.4</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System/plant is returned to required operational status upon completion of test</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8</w:t>
            </w:r>
          </w:p>
        </w:tc>
        <w:tc>
          <w:tcPr>
            <w:tcW w:w="2296" w:type="dxa"/>
            <w:vMerge w:val="restart"/>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Analyse system/plant faults</w:t>
            </w: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8.1</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Causes of abnormal system operating conditions are identified by analysing the technical and operational information in a logical and sequential manner</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8.2</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Actions necessary to rectify fault are correctly determined</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8.3</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System/plant integrity and personnel safety are maintained through consultation with appropriate personnel, and reference to plant, technical and operational documentation</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8.4</w:t>
            </w:r>
          </w:p>
        </w:tc>
        <w:tc>
          <w:tcPr>
            <w:tcW w:w="48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Appropriate personnel are arranged for local investigation of identified oper</w:t>
            </w:r>
            <w:r w:rsidRPr="00311005">
              <w:t>ational abnormalities</w:t>
            </w:r>
          </w:p>
        </w:tc>
      </w:tr>
      <w:tr w:rsidTr="007C4EE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9</w:t>
            </w:r>
          </w:p>
        </w:tc>
        <w:tc>
          <w:tcPr>
            <w:tcW w:w="2296"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Complete documentation</w:t>
            </w:r>
          </w:p>
        </w:tc>
        <w:tc>
          <w:tcPr>
            <w:tcW w:w="9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9.1</w:t>
            </w:r>
          </w:p>
        </w:tc>
        <w:tc>
          <w:tcPr>
            <w:tcW w:w="4860" w:type="dxa"/>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t>Documentation is updated and plant problems, movements, abnormalities and status are reported and logged in accordance with enterprise/site procedures</w:t>
            </w:r>
          </w:p>
        </w:tc>
      </w:tr>
    </w:tbl>
    <w:p w:rsidR="007C4EEB" w:rsidP="00311005">
      <w:pPr>
        <w:pStyle w:val="BodyText"/>
      </w:pPr>
    </w:p>
    <w:p w:rsidR="007C4EEB" w:rsidP="00311005">
      <w:pPr>
        <w:pStyle w:val="BodyText"/>
      </w:pPr>
    </w:p>
    <w:p w:rsidR="00000000" w:rsidRPr="00311005" w:rsidP="00311005">
      <w:pPr>
        <w:pStyle w:val="Heading1"/>
      </w:pPr>
      <w:bookmarkStart w:id="9" w:name="O_263900"/>
      <w:bookmarkEnd w:id="9"/>
      <w:r w:rsidRPr="00311005">
        <w:t>Required Skills and Knowledge</w:t>
      </w:r>
    </w:p>
    <w:tbl>
      <w:tblPr>
        <w:tblW w:w="0" w:type="auto"/>
        <w:tblLayout w:type="fixed"/>
        <w:tblCellMar>
          <w:left w:w="62" w:type="dxa"/>
          <w:right w:w="62" w:type="dxa"/>
        </w:tblCellMar>
        <w:tblLook w:val="0000"/>
      </w:tblPr>
      <w:tblGrid>
        <w:gridCol w:w="2700"/>
        <w:gridCol w:w="5760"/>
      </w:tblGrid>
      <w:tr w:rsidTr="007C4EEB">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rPr>
                <w:rStyle w:val="SpecialBold"/>
              </w:rPr>
              <w:t>REQUIRED SKILLS AND KNOWLEDGE</w:t>
            </w:r>
          </w:p>
        </w:tc>
      </w:tr>
      <w:tr w:rsidTr="007C4EE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rPr>
                <w:rStyle w:val="SpecialBold"/>
              </w:rPr>
              <w:t>6</w:t>
            </w:r>
            <w:r w:rsidRPr="00311005">
              <w:t>) This describes the essential skills and knowledge and their level, required for this unit.</w:t>
            </w:r>
          </w:p>
        </w:tc>
      </w:tr>
      <w:tr w:rsidTr="007C4EEB">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t>Evidence shall show that knowledge has been acquired monitoring and coordinating the operation of a combined cycle gas turbine unit.</w:t>
            </w:r>
          </w:p>
          <w:p w:rsidR="00000000" w:rsidP="00311005">
            <w:pPr>
              <w:pStyle w:val="BodyText"/>
              <w:rPr>
                <w:lang w:val="en-NZ"/>
              </w:rPr>
            </w:pPr>
            <w:r w:rsidRPr="00311005">
              <w:t>The extent of the Essential Knowledge and Associated Skills required follows:</w:t>
            </w:r>
          </w:p>
        </w:tc>
      </w:tr>
      <w:tr w:rsidTr="007C4E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t>Evidence shall show that knowledge has bee</w:t>
            </w:r>
            <w:r w:rsidRPr="00311005">
              <w:t>n acquired for safe working practices of:</w:t>
            </w:r>
          </w:p>
          <w:p w:rsidR="00000000" w:rsidRPr="00311005" w:rsidP="00311005">
            <w:pPr>
              <w:pStyle w:val="ListBullet3"/>
            </w:pPr>
            <w:r w:rsidRPr="00311005">
              <w:t xml:space="preserve">Relevant Occupational Health and Safety regulations </w:t>
            </w:r>
          </w:p>
          <w:p w:rsidR="00000000" w:rsidRPr="00311005" w:rsidP="00311005">
            <w:pPr>
              <w:pStyle w:val="ListBullet3"/>
            </w:pPr>
            <w:r w:rsidRPr="00311005">
              <w:t xml:space="preserve">Relevant statutory legislation </w:t>
            </w:r>
          </w:p>
          <w:p w:rsidR="00000000" w:rsidRPr="00311005" w:rsidP="00311005">
            <w:pPr>
              <w:pStyle w:val="ListBullet3"/>
            </w:pPr>
            <w:r w:rsidRPr="00311005">
              <w:t xml:space="preserve">Relevant enterprise/site safety procedures </w:t>
            </w:r>
          </w:p>
          <w:p w:rsidR="00000000" w:rsidRPr="00311005" w:rsidP="00311005">
            <w:pPr>
              <w:pStyle w:val="ListBullet3"/>
            </w:pPr>
            <w:r w:rsidRPr="00311005">
              <w:t xml:space="preserve">Enterprise/site emergency procedures and techniques </w:t>
            </w:r>
          </w:p>
          <w:p w:rsidR="00000000" w:rsidRPr="00311005" w:rsidP="00311005">
            <w:pPr>
              <w:pStyle w:val="ListBullet3"/>
            </w:pPr>
            <w:r w:rsidRPr="00311005">
              <w:t>Relevant plant and equipment, i</w:t>
            </w:r>
            <w:r w:rsidRPr="00311005">
              <w:t xml:space="preserve">ts location and operating parameters </w:t>
            </w:r>
          </w:p>
          <w:p w:rsidR="00000000" w:rsidRPr="00311005" w:rsidP="00311005">
            <w:pPr>
              <w:pStyle w:val="ListBullet3"/>
            </w:pPr>
            <w:r w:rsidRPr="00311005">
              <w:t xml:space="preserve">Plant status </w:t>
            </w:r>
          </w:p>
          <w:p w:rsidR="00000000" w:rsidRPr="00311005" w:rsidP="00311005">
            <w:pPr>
              <w:pStyle w:val="ListBullet3"/>
            </w:pPr>
            <w:r w:rsidRPr="00311005">
              <w:t xml:space="preserve">Environmental legislation </w:t>
            </w:r>
          </w:p>
          <w:p w:rsidR="00000000" w:rsidRPr="00311005" w:rsidP="00311005">
            <w:pPr>
              <w:pStyle w:val="ListBullet3"/>
            </w:pPr>
            <w:r w:rsidRPr="00311005">
              <w:t xml:space="preserve">Enterprise recording procedures </w:t>
            </w:r>
          </w:p>
          <w:p w:rsidR="00000000" w:rsidRPr="00311005" w:rsidP="00311005">
            <w:pPr>
              <w:pStyle w:val="ListBullet3"/>
            </w:pPr>
            <w:r w:rsidRPr="00311005">
              <w:t xml:space="preserve">Communication principles </w:t>
            </w:r>
          </w:p>
          <w:p w:rsidR="00000000" w:rsidRPr="00311005" w:rsidP="00311005">
            <w:pPr>
              <w:pStyle w:val="ListBullet3"/>
            </w:pPr>
            <w:r w:rsidRPr="00311005">
              <w:t xml:space="preserve">Control and data acquisition systems </w:t>
            </w:r>
          </w:p>
          <w:p w:rsidR="00000000" w:rsidRPr="00311005" w:rsidP="00311005">
            <w:pPr>
              <w:pStyle w:val="ListBullet3"/>
            </w:pPr>
            <w:r w:rsidRPr="00311005">
              <w:t xml:space="preserve">Computers and software </w:t>
            </w:r>
          </w:p>
          <w:p w:rsidR="00000000" w:rsidRPr="00311005" w:rsidP="00311005">
            <w:pPr>
              <w:pStyle w:val="ListBullet3"/>
            </w:pPr>
            <w:r w:rsidRPr="00311005">
              <w:t xml:space="preserve">Supervisory, alarm, protection and control equipment </w:t>
            </w:r>
          </w:p>
          <w:p w:rsidR="00000000" w:rsidRPr="00311005" w:rsidP="00311005">
            <w:pPr>
              <w:pStyle w:val="ListBullet3"/>
            </w:pPr>
            <w:r w:rsidRPr="00311005">
              <w:t xml:space="preserve">Emergency procedures </w:t>
            </w:r>
          </w:p>
          <w:p w:rsidR="00000000" w:rsidRPr="00311005" w:rsidP="00311005">
            <w:pPr>
              <w:pStyle w:val="ListBullet3"/>
            </w:pPr>
            <w:r w:rsidRPr="00311005">
              <w:t xml:space="preserve">Principles of generator and system stability </w:t>
            </w:r>
          </w:p>
          <w:p w:rsidR="00000000" w:rsidRPr="00311005" w:rsidP="00311005">
            <w:pPr>
              <w:pStyle w:val="ListBullet3"/>
            </w:pPr>
            <w:r w:rsidRPr="00311005">
              <w:t xml:space="preserve">The systems components and interactions </w:t>
            </w:r>
          </w:p>
          <w:p w:rsidR="00000000" w:rsidRPr="00311005" w:rsidP="00311005">
            <w:pPr>
              <w:pStyle w:val="ListBullet3"/>
            </w:pPr>
            <w:r w:rsidRPr="00311005">
              <w:t xml:space="preserve">Principles of electricity generation </w:t>
            </w:r>
          </w:p>
          <w:p w:rsidR="00000000" w:rsidRPr="00311005" w:rsidP="00311005">
            <w:pPr>
              <w:pStyle w:val="ListBullet3"/>
            </w:pPr>
            <w:r w:rsidRPr="00311005">
              <w:t xml:space="preserve">Excitation and control systems </w:t>
            </w:r>
          </w:p>
          <w:p w:rsidR="00000000" w:rsidRPr="00311005" w:rsidP="00311005">
            <w:pPr>
              <w:pStyle w:val="ListBullet3"/>
            </w:pPr>
            <w:r w:rsidRPr="00311005">
              <w:t xml:space="preserve">Introduction to power production plant </w:t>
            </w:r>
          </w:p>
          <w:p w:rsidR="00000000" w:rsidRPr="00311005" w:rsidP="00311005">
            <w:pPr>
              <w:pStyle w:val="ListBullet3"/>
            </w:pPr>
            <w:r w:rsidRPr="00311005">
              <w:t>Typical arrangements of power product</w:t>
            </w:r>
            <w:r w:rsidRPr="00311005">
              <w:t xml:space="preserve">ion plant </w:t>
            </w:r>
          </w:p>
          <w:p w:rsidR="00000000" w:rsidRPr="00311005" w:rsidP="00311005">
            <w:pPr>
              <w:pStyle w:val="ListBullet3"/>
            </w:pPr>
            <w:r w:rsidRPr="00311005">
              <w:t xml:space="preserve">Mathematics </w:t>
            </w:r>
          </w:p>
          <w:p w:rsidR="00000000" w:rsidRPr="00311005" w:rsidP="00311005">
            <w:pPr>
              <w:pStyle w:val="ListBullet3"/>
            </w:pPr>
            <w:r w:rsidRPr="00311005">
              <w:t xml:space="preserve">Mechanics </w:t>
            </w:r>
          </w:p>
          <w:p w:rsidR="00000000" w:rsidRPr="00311005" w:rsidP="00311005">
            <w:pPr>
              <w:pStyle w:val="ListBullet3"/>
            </w:pPr>
            <w:r w:rsidRPr="00311005">
              <w:t xml:space="preserve">Thermodynamics </w:t>
            </w:r>
          </w:p>
          <w:p w:rsidR="00000000" w:rsidRPr="00311005" w:rsidP="00311005">
            <w:pPr>
              <w:pStyle w:val="ListBullet3"/>
            </w:pPr>
            <w:r w:rsidRPr="00311005">
              <w:t xml:space="preserve">Properties of matter </w:t>
            </w:r>
          </w:p>
          <w:p w:rsidR="00000000" w:rsidRPr="00311005" w:rsidP="00311005">
            <w:pPr>
              <w:pStyle w:val="ListBullet3"/>
            </w:pPr>
            <w:r w:rsidRPr="00311005">
              <w:t xml:space="preserve">Lubrication and bearings </w:t>
            </w:r>
          </w:p>
          <w:p w:rsidR="00000000" w:rsidRPr="00311005" w:rsidP="00311005">
            <w:pPr>
              <w:pStyle w:val="ListBullet3"/>
            </w:pPr>
            <w:r w:rsidRPr="00311005">
              <w:t xml:space="preserve">Compressors </w:t>
            </w:r>
          </w:p>
          <w:p w:rsidR="00000000" w:rsidRPr="00311005" w:rsidP="00311005">
            <w:pPr>
              <w:pStyle w:val="ListBullet3"/>
            </w:pPr>
            <w:r w:rsidRPr="00311005">
              <w:t xml:space="preserve">Feedwater treatment </w:t>
            </w:r>
          </w:p>
          <w:p w:rsidR="00000000" w:rsidRPr="00311005" w:rsidP="00311005">
            <w:pPr>
              <w:pStyle w:val="ListBullet3"/>
            </w:pPr>
            <w:r w:rsidRPr="00311005">
              <w:t xml:space="preserve">Pumps </w:t>
            </w:r>
          </w:p>
          <w:p w:rsidR="00000000" w:rsidRPr="00311005" w:rsidP="00311005">
            <w:pPr>
              <w:pStyle w:val="ListBullet3"/>
            </w:pPr>
            <w:r w:rsidRPr="00311005">
              <w:t xml:space="preserve">Liquid pumping systems </w:t>
            </w:r>
          </w:p>
          <w:p w:rsidR="00000000" w:rsidRPr="00311005" w:rsidP="00311005">
            <w:pPr>
              <w:pStyle w:val="ListBullet3"/>
            </w:pPr>
            <w:r w:rsidRPr="00311005">
              <w:t xml:space="preserve">Power plant cycle </w:t>
            </w:r>
          </w:p>
          <w:p w:rsidR="00000000" w:rsidRPr="00311005" w:rsidP="00311005">
            <w:pPr>
              <w:pStyle w:val="ListBullet3"/>
            </w:pPr>
            <w:r w:rsidRPr="00311005">
              <w:t xml:space="preserve">General responsibilities for power production plant operations </w:t>
            </w:r>
          </w:p>
          <w:p w:rsidR="00000000" w:rsidRPr="00311005" w:rsidP="00311005">
            <w:pPr>
              <w:pStyle w:val="ListBullet3"/>
            </w:pPr>
            <w:r w:rsidRPr="00311005">
              <w:t xml:space="preserve">Coal handling plant </w:t>
            </w:r>
          </w:p>
          <w:p w:rsidR="00000000" w:rsidRPr="00311005" w:rsidP="00311005">
            <w:pPr>
              <w:pStyle w:val="ListBullet3"/>
            </w:pPr>
            <w:r w:rsidRPr="00311005">
              <w:t xml:space="preserve">Bunkering </w:t>
            </w:r>
          </w:p>
          <w:p w:rsidR="00000000" w:rsidRPr="00311005" w:rsidP="00311005">
            <w:pPr>
              <w:pStyle w:val="ListBullet3"/>
            </w:pPr>
            <w:r w:rsidRPr="00311005">
              <w:t xml:space="preserve">Precipitators </w:t>
            </w:r>
          </w:p>
          <w:p w:rsidR="00000000" w:rsidRPr="00311005" w:rsidP="00311005">
            <w:pPr>
              <w:pStyle w:val="ListBullet3"/>
            </w:pPr>
            <w:r w:rsidRPr="00311005">
              <w:t xml:space="preserve">Fabric filters </w:t>
            </w:r>
          </w:p>
          <w:p w:rsidR="00000000" w:rsidRPr="00311005" w:rsidP="00311005">
            <w:pPr>
              <w:pStyle w:val="ListBullet3"/>
            </w:pPr>
            <w:r w:rsidRPr="00311005">
              <w:t xml:space="preserve">Steam power plant boiler water and steam systems </w:t>
            </w:r>
          </w:p>
          <w:p w:rsidR="00000000" w:rsidRPr="00311005" w:rsidP="00311005">
            <w:pPr>
              <w:pStyle w:val="ListBullet3"/>
            </w:pPr>
            <w:r w:rsidRPr="00311005">
              <w:t xml:space="preserve">Boiler draft system </w:t>
            </w:r>
          </w:p>
          <w:p w:rsidR="00000000" w:rsidRPr="00311005" w:rsidP="00311005">
            <w:pPr>
              <w:pStyle w:val="ListBullet3"/>
            </w:pPr>
            <w:r w:rsidRPr="00311005">
              <w:t xml:space="preserve">Fuels </w:t>
            </w:r>
          </w:p>
          <w:p w:rsidR="00000000" w:rsidRPr="00311005" w:rsidP="00311005">
            <w:pPr>
              <w:pStyle w:val="ListBullet3"/>
            </w:pPr>
            <w:r w:rsidRPr="00311005">
              <w:t xml:space="preserve">Principles governing efficient combustion </w:t>
            </w:r>
          </w:p>
          <w:p w:rsidR="00000000" w:rsidRPr="00311005" w:rsidP="00311005">
            <w:pPr>
              <w:pStyle w:val="ListBullet3"/>
            </w:pPr>
            <w:r w:rsidRPr="00311005">
              <w:t xml:space="preserve">Fuel conditioning and fuel firing equipment </w:t>
            </w:r>
          </w:p>
          <w:p w:rsidR="00000000" w:rsidRPr="00311005" w:rsidP="00311005">
            <w:pPr>
              <w:pStyle w:val="ListBullet3"/>
            </w:pPr>
            <w:r w:rsidRPr="00311005">
              <w:t xml:space="preserve">Control of a boiler </w:t>
            </w:r>
          </w:p>
          <w:p w:rsidR="00000000" w:rsidRPr="00311005" w:rsidP="00311005">
            <w:pPr>
              <w:pStyle w:val="ListBullet3"/>
            </w:pPr>
            <w:r w:rsidRPr="00311005">
              <w:t xml:space="preserve">Basic </w:t>
            </w:r>
            <w:r w:rsidRPr="00311005">
              <w:t xml:space="preserve">turbine construction and operating principles </w:t>
            </w:r>
          </w:p>
          <w:p w:rsidR="00000000" w:rsidRPr="00311005" w:rsidP="00311005">
            <w:pPr>
              <w:pStyle w:val="ListBullet3"/>
            </w:pPr>
            <w:r w:rsidRPr="00311005">
              <w:t xml:space="preserve">Turbine lubrication and oil systems </w:t>
            </w:r>
          </w:p>
          <w:p w:rsidR="00000000" w:rsidRPr="00311005" w:rsidP="00311005">
            <w:pPr>
              <w:pStyle w:val="ListBullet3"/>
            </w:pPr>
            <w:r w:rsidRPr="00311005">
              <w:t xml:space="preserve">Turbine governors </w:t>
            </w:r>
          </w:p>
          <w:p w:rsidR="00000000" w:rsidRPr="00311005" w:rsidP="00311005">
            <w:pPr>
              <w:pStyle w:val="ListBullet3"/>
            </w:pPr>
            <w:r w:rsidRPr="00311005">
              <w:t xml:space="preserve">Condensate and feedwater systems </w:t>
            </w:r>
          </w:p>
          <w:p w:rsidR="00000000" w:rsidRPr="00311005" w:rsidP="00311005">
            <w:pPr>
              <w:pStyle w:val="ListBullet3"/>
            </w:pPr>
            <w:r w:rsidRPr="00311005">
              <w:t xml:space="preserve">Feedwater heating and drainage systems </w:t>
            </w:r>
          </w:p>
          <w:p w:rsidR="00000000" w:rsidRPr="00311005" w:rsidP="00311005">
            <w:pPr>
              <w:pStyle w:val="ListBullet3"/>
            </w:pPr>
            <w:r w:rsidRPr="00311005">
              <w:t xml:space="preserve">Circulating water system </w:t>
            </w:r>
          </w:p>
          <w:p w:rsidR="00000000" w:rsidRPr="00311005" w:rsidP="00311005">
            <w:pPr>
              <w:pStyle w:val="ListBullet3"/>
            </w:pPr>
            <w:r w:rsidRPr="00311005">
              <w:t xml:space="preserve">Condenser systems </w:t>
            </w:r>
          </w:p>
          <w:p w:rsidR="00000000" w:rsidRPr="00311005" w:rsidP="00311005">
            <w:pPr>
              <w:pStyle w:val="ListBullet3"/>
            </w:pPr>
            <w:r w:rsidRPr="00311005">
              <w:t xml:space="preserve">Air extraction systems </w:t>
            </w:r>
          </w:p>
          <w:p w:rsidR="00000000" w:rsidRPr="00311005" w:rsidP="00311005">
            <w:pPr>
              <w:pStyle w:val="ListBullet3"/>
            </w:pPr>
            <w:r w:rsidRPr="00311005">
              <w:t xml:space="preserve">Turbine operations </w:t>
            </w:r>
          </w:p>
          <w:p w:rsidR="00000000" w:rsidRPr="00311005" w:rsidP="00311005">
            <w:pPr>
              <w:pStyle w:val="ListBullet3"/>
            </w:pPr>
            <w:r w:rsidRPr="00311005">
              <w:t xml:space="preserve">Turbine efficiency </w:t>
            </w:r>
          </w:p>
          <w:p w:rsidR="00000000" w:rsidRPr="00311005" w:rsidP="00311005">
            <w:pPr>
              <w:pStyle w:val="ListBullet3"/>
            </w:pPr>
            <w:r w:rsidRPr="00311005">
              <w:t xml:space="preserve">Electrical principles </w:t>
            </w:r>
          </w:p>
          <w:p w:rsidR="00000000" w:rsidRPr="00311005" w:rsidP="00311005">
            <w:pPr>
              <w:pStyle w:val="ListBullet3"/>
            </w:pPr>
            <w:r w:rsidRPr="00311005">
              <w:t xml:space="preserve">Transformers </w:t>
            </w:r>
          </w:p>
          <w:p w:rsidR="00000000" w:rsidRPr="00311005" w:rsidP="00311005">
            <w:pPr>
              <w:pStyle w:val="ListBullet3"/>
            </w:pPr>
            <w:r w:rsidRPr="00311005">
              <w:t xml:space="preserve">Electric motors </w:t>
            </w:r>
          </w:p>
          <w:p w:rsidR="00000000" w:rsidRPr="00311005" w:rsidP="00311005">
            <w:pPr>
              <w:pStyle w:val="ListBullet3"/>
            </w:pPr>
            <w:r w:rsidRPr="00311005">
              <w:t xml:space="preserve">AC generators </w:t>
            </w:r>
          </w:p>
          <w:p w:rsidR="00000000" w:rsidRPr="00311005" w:rsidP="00311005">
            <w:pPr>
              <w:pStyle w:val="ListBullet3"/>
            </w:pPr>
            <w:r w:rsidRPr="00311005">
              <w:t xml:space="preserve">Alternators, excitors and hydrogen systems </w:t>
            </w:r>
          </w:p>
          <w:p w:rsidR="00000000" w:rsidRPr="00311005" w:rsidP="00311005">
            <w:pPr>
              <w:pStyle w:val="ListBullet3"/>
            </w:pPr>
            <w:r w:rsidRPr="00311005">
              <w:t xml:space="preserve">Switchgear </w:t>
            </w:r>
          </w:p>
          <w:p w:rsidR="00000000" w:rsidRPr="00311005" w:rsidP="00311005">
            <w:pPr>
              <w:pStyle w:val="ListBullet3"/>
            </w:pPr>
            <w:r w:rsidRPr="00311005">
              <w:t xml:space="preserve">Heating of electrical equipment </w:t>
            </w:r>
          </w:p>
          <w:p w:rsidR="00000000" w:rsidRPr="00311005" w:rsidP="00311005">
            <w:pPr>
              <w:pStyle w:val="ListBullet3"/>
            </w:pPr>
            <w:r w:rsidRPr="00311005">
              <w:t xml:space="preserve">Electrical protection </w:t>
            </w:r>
          </w:p>
          <w:p w:rsidR="00000000" w:rsidRPr="00311005" w:rsidP="00311005">
            <w:pPr>
              <w:pStyle w:val="ListBullet3"/>
            </w:pPr>
            <w:r w:rsidRPr="00311005">
              <w:t xml:space="preserve">Schematic diagrams </w:t>
            </w:r>
          </w:p>
          <w:p w:rsidR="00000000" w:rsidRPr="00311005" w:rsidP="00311005">
            <w:pPr>
              <w:pStyle w:val="ListBullet3"/>
            </w:pPr>
            <w:r w:rsidRPr="00311005">
              <w:t>Auxiliary suppl</w:t>
            </w:r>
            <w:r w:rsidRPr="00311005">
              <w:t xml:space="preserve">y systems </w:t>
            </w:r>
          </w:p>
          <w:p w:rsidR="00000000" w:rsidRPr="00311005" w:rsidP="00311005">
            <w:pPr>
              <w:pStyle w:val="ListBullet3"/>
            </w:pPr>
            <w:r w:rsidRPr="00311005">
              <w:t xml:space="preserve">High voltage systems </w:t>
            </w:r>
          </w:p>
          <w:p w:rsidR="00000000" w:rsidRPr="00311005" w:rsidP="00311005">
            <w:pPr>
              <w:pStyle w:val="ListBullet3"/>
            </w:pPr>
            <w:r w:rsidRPr="00311005">
              <w:t xml:space="preserve">High voltage switching procedures </w:t>
            </w:r>
          </w:p>
          <w:p w:rsidR="00000000" w:rsidP="00311005">
            <w:pPr>
              <w:pStyle w:val="ListBullet3"/>
              <w:rPr>
                <w:lang w:val="en-NZ"/>
              </w:rPr>
            </w:pPr>
            <w:r w:rsidRPr="00311005">
              <w:t>Safe operating principles</w:t>
            </w:r>
          </w:p>
        </w:tc>
      </w:tr>
      <w:tr w:rsidTr="007C4EEB">
        <w:tblPrEx>
          <w:tblW w:w="0" w:type="auto"/>
          <w:tblLayout w:type="fixed"/>
          <w:tblCellMar>
            <w:left w:w="62" w:type="dxa"/>
            <w:right w:w="62" w:type="dxa"/>
          </w:tblCellMar>
          <w:tblLook w:val="0000"/>
        </w:tblPrEx>
        <w:tc>
          <w:tcPr>
            <w:tcW w:w="270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single" w:sz="6" w:space="0" w:color="auto"/>
              <w:right w:val="nil"/>
            </w:tcBorders>
            <w:tcMar>
              <w:top w:w="0" w:type="dxa"/>
              <w:left w:w="62" w:type="dxa"/>
              <w:bottom w:w="0" w:type="dxa"/>
              <w:right w:w="62" w:type="dxa"/>
            </w:tcMar>
          </w:tcPr>
          <w:p w:rsidR="00000000" w:rsidRPr="00311005" w:rsidP="00311005">
            <w:pPr>
              <w:pStyle w:val="BodyText"/>
            </w:pPr>
            <w:r w:rsidRPr="00311005">
              <w:t>Specific skills needed to achieve the Performance Criteria:</w:t>
            </w:r>
          </w:p>
          <w:p w:rsidR="00000000" w:rsidRPr="00311005" w:rsidP="00311005">
            <w:pPr>
              <w:pStyle w:val="ListBullet3"/>
            </w:pPr>
            <w:r w:rsidRPr="00311005">
              <w:t xml:space="preserve">Apply relevant Occupational Health and Safety regulations </w:t>
            </w:r>
          </w:p>
          <w:p w:rsidR="00000000" w:rsidRPr="00311005" w:rsidP="00311005">
            <w:pPr>
              <w:pStyle w:val="ListBullet3"/>
            </w:pPr>
            <w:r w:rsidRPr="00311005">
              <w:t xml:space="preserve">Apply relevant statutory legislation </w:t>
            </w:r>
          </w:p>
          <w:p w:rsidR="00000000" w:rsidRPr="00311005" w:rsidP="00311005">
            <w:pPr>
              <w:pStyle w:val="ListBullet3"/>
            </w:pPr>
            <w:r w:rsidRPr="00311005">
              <w:t xml:space="preserve">Apply relevant enterprise/site safety procedures </w:t>
            </w:r>
          </w:p>
          <w:p w:rsidR="00000000" w:rsidRPr="00311005" w:rsidP="00311005">
            <w:pPr>
              <w:pStyle w:val="ListBullet3"/>
            </w:pPr>
            <w:r w:rsidRPr="00311005">
              <w:t xml:space="preserve">Apply enterprise/site emergency procedures and techniques </w:t>
            </w:r>
          </w:p>
          <w:p w:rsidR="00000000" w:rsidRPr="00311005" w:rsidP="00311005">
            <w:pPr>
              <w:pStyle w:val="ListBullet3"/>
            </w:pPr>
            <w:r w:rsidRPr="00311005">
              <w:t xml:space="preserve">Apply enterprise recording procedures </w:t>
            </w:r>
          </w:p>
          <w:p w:rsidR="00000000" w:rsidRPr="00311005" w:rsidP="00311005">
            <w:pPr>
              <w:pStyle w:val="ListBullet3"/>
            </w:pPr>
            <w:r w:rsidRPr="00311005">
              <w:t xml:space="preserve">Identify plant status </w:t>
            </w:r>
          </w:p>
          <w:p w:rsidR="00000000" w:rsidRPr="00311005" w:rsidP="00311005">
            <w:pPr>
              <w:pStyle w:val="ListBullet3"/>
            </w:pPr>
            <w:r w:rsidRPr="00311005">
              <w:t xml:space="preserve">Prepare plant/equipment for operation </w:t>
            </w:r>
          </w:p>
          <w:p w:rsidR="00000000" w:rsidRPr="00311005" w:rsidP="00311005">
            <w:pPr>
              <w:pStyle w:val="ListBullet3"/>
            </w:pPr>
            <w:r w:rsidRPr="00311005">
              <w:t xml:space="preserve">Organise resources </w:t>
            </w:r>
          </w:p>
          <w:p w:rsidR="00000000" w:rsidRPr="00311005" w:rsidP="00311005">
            <w:pPr>
              <w:pStyle w:val="ListBullet3"/>
            </w:pPr>
            <w:r w:rsidRPr="00311005">
              <w:t>Coordinate power generatio</w:t>
            </w:r>
            <w:r w:rsidRPr="00311005">
              <w:t xml:space="preserve">n </w:t>
            </w:r>
          </w:p>
          <w:p w:rsidR="00000000" w:rsidRPr="00311005" w:rsidP="00311005">
            <w:pPr>
              <w:pStyle w:val="ListBullet3"/>
            </w:pPr>
            <w:r w:rsidRPr="00311005">
              <w:t xml:space="preserve">Apply diagnostic and testing techniques </w:t>
            </w:r>
          </w:p>
          <w:p w:rsidR="00000000" w:rsidRPr="00311005" w:rsidP="00311005">
            <w:pPr>
              <w:pStyle w:val="ListBullet3"/>
            </w:pPr>
            <w:r w:rsidRPr="00311005">
              <w:t xml:space="preserve">Identify and respond to abnormal plant operating conditions </w:t>
            </w:r>
          </w:p>
          <w:p w:rsidR="00000000" w:rsidRPr="00311005" w:rsidP="00311005">
            <w:pPr>
              <w:pStyle w:val="ListBullet3"/>
            </w:pPr>
            <w:r w:rsidRPr="00311005">
              <w:t xml:space="preserve">Plan and prioritise work </w:t>
            </w:r>
          </w:p>
          <w:p w:rsidR="00000000" w:rsidRPr="00311005" w:rsidP="00311005">
            <w:pPr>
              <w:pStyle w:val="ListBullet3"/>
            </w:pPr>
            <w:r w:rsidRPr="00311005">
              <w:t xml:space="preserve">Use relevant hand tools </w:t>
            </w:r>
          </w:p>
          <w:p w:rsidR="00000000" w:rsidRPr="00311005" w:rsidP="00311005">
            <w:pPr>
              <w:pStyle w:val="ListBullet3"/>
            </w:pPr>
            <w:r w:rsidRPr="00311005">
              <w:t xml:space="preserve">Communicate effectively </w:t>
            </w:r>
          </w:p>
          <w:p w:rsidR="00000000" w:rsidRPr="00311005" w:rsidP="00311005">
            <w:pPr>
              <w:pStyle w:val="ListBullet3"/>
            </w:pPr>
            <w:r w:rsidRPr="00311005">
              <w:t xml:space="preserve">Use diagrams, drawings and symbols </w:t>
            </w:r>
          </w:p>
          <w:p w:rsidR="00000000" w:rsidRPr="00311005" w:rsidP="00311005">
            <w:pPr>
              <w:pStyle w:val="ListBullet3"/>
            </w:pPr>
            <w:r w:rsidRPr="00311005">
              <w:t xml:space="preserve">Apply data analysis techniques and tools </w:t>
            </w:r>
          </w:p>
          <w:p w:rsidR="00000000" w:rsidRPr="00311005" w:rsidP="00311005">
            <w:pPr>
              <w:pStyle w:val="ListBullet3"/>
            </w:pPr>
            <w:r w:rsidRPr="00311005">
              <w:t xml:space="preserve">Coordinate the operation of interacting systems </w:t>
            </w:r>
          </w:p>
          <w:p w:rsidR="00000000" w:rsidRPr="00311005" w:rsidP="00311005">
            <w:pPr>
              <w:pStyle w:val="ListBullet3"/>
            </w:pPr>
            <w:r w:rsidRPr="00311005">
              <w:t xml:space="preserve">Coordinate the operation of plant and equipment </w:t>
            </w:r>
          </w:p>
          <w:p w:rsidR="00000000" w:rsidRPr="00311005" w:rsidP="00311005">
            <w:pPr>
              <w:pStyle w:val="ListBullet3"/>
            </w:pPr>
            <w:r w:rsidRPr="00311005">
              <w:t xml:space="preserve">Maintain generator unit integrity </w:t>
            </w:r>
          </w:p>
          <w:p w:rsidR="00000000" w:rsidRPr="00311005" w:rsidP="00311005">
            <w:pPr>
              <w:pStyle w:val="ListBullet3"/>
            </w:pPr>
            <w:r w:rsidRPr="00311005">
              <w:t>Apply principles of electrical generation.</w:t>
            </w:r>
          </w:p>
        </w:tc>
      </w:tr>
    </w:tbl>
    <w:p w:rsidR="007C4EEB" w:rsidP="00311005">
      <w:pPr>
        <w:pStyle w:val="BodyText"/>
      </w:pPr>
    </w:p>
    <w:p w:rsidR="007C4EEB" w:rsidP="00311005">
      <w:pPr>
        <w:pStyle w:val="BodyText"/>
      </w:pPr>
    </w:p>
    <w:p w:rsidR="00000000" w:rsidRPr="00311005" w:rsidP="00311005">
      <w:pPr>
        <w:pStyle w:val="Heading1"/>
      </w:pPr>
      <w:bookmarkStart w:id="10" w:name="O_248092"/>
      <w:bookmarkEnd w:id="10"/>
      <w:r w:rsidRPr="00311005">
        <w:t>Evidence Guide</w:t>
      </w:r>
    </w:p>
    <w:tbl>
      <w:tblPr>
        <w:tblW w:w="0" w:type="auto"/>
        <w:tblLayout w:type="fixed"/>
        <w:tblCellMar>
          <w:left w:w="62" w:type="dxa"/>
          <w:right w:w="62" w:type="dxa"/>
        </w:tblCellMar>
        <w:tblLook w:val="0000"/>
      </w:tblPr>
      <w:tblGrid>
        <w:gridCol w:w="2160"/>
        <w:gridCol w:w="1620"/>
        <w:gridCol w:w="4680"/>
      </w:tblGrid>
      <w:tr w:rsidTr="007C4EEB">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rPr>
                <w:rStyle w:val="SpecialBold"/>
              </w:rPr>
              <w:t>EVIDENCE GUIDE</w:t>
            </w:r>
          </w:p>
        </w:tc>
      </w:tr>
      <w:tr w:rsidTr="007C4EEB">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rPr>
                <w:rStyle w:val="SpecialBold"/>
              </w:rPr>
              <w:t>8</w:t>
            </w:r>
            <w:r w:rsidRPr="00311005">
              <w:t>) This provides essential advice for assessment of the competency standard unit and  must be read in conjunction with the Performance Criteria and the Range Statement of the unit and  the Training Package Assessment Guidelines.</w:t>
            </w:r>
          </w:p>
          <w:p w:rsidR="00000000" w:rsidP="00311005">
            <w:pPr>
              <w:pStyle w:val="BodyText"/>
              <w:rPr>
                <w:lang w:val="en-NZ"/>
              </w:rPr>
            </w:pPr>
            <w:r w:rsidRPr="00311005">
              <w:t>The Evide</w:t>
            </w:r>
            <w:r w:rsidRPr="00311005">
              <w:t>nce Guide forms an integral part of this competency standard unit and shall be used in conjunction with all components parts of this unit and, performed in accordance with the Assessment Guidelines of this Training Package.</w:t>
            </w:r>
          </w:p>
        </w:tc>
      </w:tr>
      <w:tr w:rsidTr="007C4E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rPr>
                <w:rStyle w:val="SpecialBold"/>
              </w:rPr>
              <w:t>8</w:t>
            </w:r>
            <w:r w:rsidRPr="00311005">
              <w:t>.</w:t>
            </w:r>
            <w:r w:rsidRPr="00311005">
              <w:rPr>
                <w:rStyle w:val="SpecialBold"/>
              </w:rPr>
              <w:t>1</w:t>
            </w:r>
            <w:r w:rsidRPr="00311005">
              <w:t xml:space="preserve">) </w:t>
            </w:r>
          </w:p>
          <w:p w:rsidR="00000000" w:rsidRPr="00311005" w:rsidP="00311005">
            <w:pPr>
              <w:pStyle w:val="BodyText"/>
            </w:pPr>
            <w:r w:rsidRPr="00311005">
              <w:t>Longitude competency development approaches to assessment, such as Profiling, require data to be reliably gathered in a form that can be consistently interpreted over time. This approach is best utilised in Apprenticeship programs and reduces assessment in</w:t>
            </w:r>
            <w:r w:rsidRPr="00311005">
              <w:t>tervention. It is the Industry preferred model for apprenticeships. However, where summative (or final) assessment is used it is to include the application of the competency in the normal work environment or, at a minimum, the application of the competency</w:t>
            </w:r>
            <w:r w:rsidRPr="00311005">
              <w:t xml:space="preserve"> in a realistically simulated work environment. It is recognised that, in some circumstances, assessment in part or full can occur outside the workplace. However, it must be in accord with Industry and regulatory policy.</w:t>
            </w:r>
          </w:p>
          <w:p w:rsidR="00000000" w:rsidRPr="00311005" w:rsidP="00311005">
            <w:pPr>
              <w:pStyle w:val="BodyText"/>
            </w:pPr>
            <w:r w:rsidRPr="00311005">
              <w:t>Methods chosen for a particular ass</w:t>
            </w:r>
            <w:r w:rsidRPr="00311005">
              <w:t>essment will be influenced by various factors. These include the extent of the assessment, the most effective locations for the assessment activities to take place, access to physical resources, additional safety measures that may be required and the criti</w:t>
            </w:r>
            <w:r w:rsidRPr="00311005">
              <w:t>cal nature of the competencies being assessed.</w:t>
            </w:r>
          </w:p>
          <w:p w:rsidR="00000000" w:rsidRPr="00311005" w:rsidP="00311005">
            <w:pPr>
              <w:pStyle w:val="BodyText"/>
            </w:pPr>
            <w:r w:rsidRPr="00311005">
              <w:t>The critical safety nature of working with electricity, electrical equipment, gas or any other hazardous substance/material carries risk in deeming a person competent. Hence, sources of evidence need to be 'ri</w:t>
            </w:r>
            <w:r w:rsidRPr="00311005">
              <w:t>ch' in nature so as to minimise error in judgment.</w:t>
            </w:r>
          </w:p>
          <w:p w:rsidR="00000000" w:rsidP="00311005">
            <w:pPr>
              <w:pStyle w:val="BodyText"/>
              <w:rPr>
                <w:lang w:val="en-NZ"/>
              </w:rPr>
            </w:pPr>
            <w:r w:rsidRPr="00311005">
              <w:t xml:space="preserve">Activities associated with normal every day work have a bearing on the decision as to how much and how detailed the data gathered will contribute to its 'richness'. Some skills are more critical to safety </w:t>
            </w:r>
            <w:r w:rsidRPr="00311005">
              <w:t>and operational requirements while the same skills may be more or less frequently practised. These points are raised for the assessors to consider when choosing an assessment method and developing assessment instruments. Sample assessment instruments are i</w:t>
            </w:r>
            <w:r w:rsidRPr="00311005">
              <w:t>ncluded in the Assessment Guidelines of this Training Package.</w:t>
            </w:r>
          </w:p>
        </w:tc>
      </w:tr>
      <w:tr w:rsidTr="007C4EE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rPr>
                <w:rStyle w:val="SpecialBold"/>
              </w:rPr>
              <w:t>8</w:t>
            </w:r>
            <w:r w:rsidRPr="00311005">
              <w:t>.</w:t>
            </w:r>
            <w:r w:rsidRPr="00311005">
              <w:rPr>
                <w:rStyle w:val="SpecialBold"/>
              </w:rPr>
              <w:t>2</w:t>
            </w:r>
            <w:r w:rsidRPr="00311005">
              <w:t xml:space="preserve">) </w:t>
            </w:r>
          </w:p>
          <w:p w:rsidR="00000000" w:rsidP="00311005">
            <w:pPr>
              <w:pStyle w:val="BodyText"/>
              <w:rPr>
                <w:lang w:val="en-NZ"/>
              </w:rPr>
            </w:pPr>
            <w:r w:rsidRPr="00311005">
              <w:t>Before the critical aspects of evidence are considered all prerequisites shall be met.</w:t>
            </w:r>
          </w:p>
        </w:tc>
      </w:tr>
      <w:tr w:rsidTr="007C4EE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311005">
            <w:pPr>
              <w:pStyle w:val="ListBullet"/>
              <w:rPr>
                <w:lang w:val="en-NZ"/>
              </w:rPr>
            </w:pPr>
            <w:r w:rsidRPr="00311005">
              <w:t>A representative body of Performance Criteria demonstrated within the timeframes typically expected of the discipline, work function and industrial environment. In particular this shall incorporate evidence that shows a candidate is able to:</w:t>
            </w:r>
          </w:p>
        </w:tc>
      </w:tr>
      <w:tr w:rsidTr="007C4E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311005" w:rsidP="00311005">
            <w:pPr>
              <w:pStyle w:val="ListBullet3"/>
            </w:pPr>
            <w:r w:rsidRPr="00311005">
              <w:t>Implement Occupational Health and Safety workplace procedures and practices including the use of risk control measures as specified in the Performance Criteria and Range Statement</w:t>
            </w:r>
          </w:p>
          <w:p w:rsidR="00000000" w:rsidRPr="00311005" w:rsidP="00311005">
            <w:pPr>
              <w:pStyle w:val="ListBullet3"/>
            </w:pPr>
            <w:r w:rsidRPr="00311005">
              <w:t>Apply sustainable energy principles and practices as specified in the Perfor</w:t>
            </w:r>
            <w:r w:rsidRPr="00311005">
              <w:t>mance Criteria and Range Statement</w:t>
            </w:r>
          </w:p>
          <w:p w:rsidR="00000000" w:rsidRPr="00311005" w:rsidP="00311005">
            <w:pPr>
              <w:pStyle w:val="ListBullet3"/>
            </w:pPr>
            <w:r w:rsidRPr="00311005">
              <w:t>Demonstrate an understanding of the essential knowledge and associated skills as described in 6) Essential Knowledge and Associated Skills of this unit</w:t>
            </w:r>
          </w:p>
          <w:p w:rsidR="00000000" w:rsidRPr="00311005" w:rsidP="00311005">
            <w:pPr>
              <w:pStyle w:val="ListBullet3"/>
            </w:pPr>
            <w:r w:rsidRPr="00311005">
              <w:t>Demonstrate an appropriate level of skills enabling employment</w:t>
            </w:r>
          </w:p>
          <w:p w:rsidR="00000000" w:rsidP="00311005">
            <w:pPr>
              <w:pStyle w:val="ListBullet3"/>
              <w:rPr>
                <w:lang w:val="en-NZ"/>
              </w:rPr>
            </w:pPr>
            <w:r w:rsidRPr="00311005">
              <w:t>Conduc</w:t>
            </w:r>
            <w:r w:rsidRPr="00311005">
              <w:t>t work observing the relevant Anti Discrimination legislation, regulations, polices and workplace procedure</w:t>
            </w:r>
          </w:p>
        </w:tc>
      </w:tr>
      <w:tr w:rsidTr="007C4E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11005">
            <w:pPr>
              <w:pStyle w:val="ListBullet"/>
              <w:rPr>
                <w:lang w:val="en-NZ"/>
              </w:rPr>
            </w:pPr>
            <w:r w:rsidRPr="00311005">
              <w:t>Demonstrated performance across a representative range of contexts from the prescribed items below:</w:t>
            </w:r>
          </w:p>
        </w:tc>
      </w:tr>
      <w:tr w:rsidTr="007C4E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311005" w:rsidP="00311005">
            <w:pPr>
              <w:pStyle w:val="ListBullet3"/>
            </w:pPr>
            <w:r w:rsidRPr="00311005">
              <w:t>The knowledge and application of relevant sections of: Occupational Health and Safety legislation; Statutory legislation; Enterprise/site safety procedures; Enterprise/site emergency procedures</w:t>
            </w:r>
          </w:p>
          <w:p w:rsidR="00000000" w:rsidRPr="00311005" w:rsidP="00311005">
            <w:pPr>
              <w:pStyle w:val="ListBullet3"/>
            </w:pPr>
            <w:r w:rsidRPr="00311005">
              <w:t>The preparation and planning of work</w:t>
            </w:r>
          </w:p>
          <w:p w:rsidR="00000000" w:rsidRPr="00311005" w:rsidP="00311005">
            <w:pPr>
              <w:pStyle w:val="ListBullet3"/>
            </w:pPr>
            <w:r w:rsidRPr="00311005">
              <w:t>The operation of generato</w:t>
            </w:r>
            <w:r w:rsidRPr="00311005">
              <w:t>r and excitation systems</w:t>
            </w:r>
          </w:p>
          <w:p w:rsidR="00000000" w:rsidRPr="00311005" w:rsidP="00311005">
            <w:pPr>
              <w:pStyle w:val="ListBullet3"/>
            </w:pPr>
            <w:r w:rsidRPr="00311005">
              <w:t>Coordination of unit operations</w:t>
            </w:r>
          </w:p>
          <w:p w:rsidR="00000000" w:rsidRPr="00311005" w:rsidP="00311005">
            <w:pPr>
              <w:pStyle w:val="ListBullet3"/>
            </w:pPr>
            <w:r w:rsidRPr="00311005">
              <w:t>Analysing plant faults</w:t>
            </w:r>
          </w:p>
          <w:p w:rsidR="00000000" w:rsidRPr="00311005" w:rsidP="00311005">
            <w:pPr>
              <w:pStyle w:val="ListBullet3"/>
            </w:pPr>
            <w:r w:rsidRPr="00311005">
              <w:t>Monitoring plant operation</w:t>
            </w:r>
          </w:p>
          <w:p w:rsidR="00000000" w:rsidRPr="00311005" w:rsidP="00311005">
            <w:pPr>
              <w:pStyle w:val="ListBullet3"/>
            </w:pPr>
            <w:r w:rsidRPr="00311005">
              <w:t>Controlling system energy generation</w:t>
            </w:r>
          </w:p>
          <w:p w:rsidR="00000000" w:rsidRPr="00311005" w:rsidP="00311005">
            <w:pPr>
              <w:pStyle w:val="ListBullet3"/>
            </w:pPr>
            <w:r w:rsidRPr="00311005">
              <w:t>The knowledge of generator and system stability principles</w:t>
            </w:r>
          </w:p>
          <w:p w:rsidR="00000000" w:rsidP="00311005">
            <w:pPr>
              <w:pStyle w:val="ListBullet3"/>
              <w:rPr>
                <w:lang w:val="en-NZ"/>
              </w:rPr>
            </w:pPr>
            <w:r w:rsidRPr="00311005">
              <w:t>Dealing with an unplanned event by drawing on essential knowledge and skills to provide appropriate solutions incorporated in the holistic assessment with the above listed items.</w:t>
            </w:r>
          </w:p>
        </w:tc>
      </w:tr>
      <w:tr w:rsidTr="007C4E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rPr>
                <w:rStyle w:val="SpecialBold"/>
              </w:rPr>
              <w:t>8</w:t>
            </w:r>
            <w:r w:rsidRPr="00311005">
              <w:t>.</w:t>
            </w:r>
            <w:r w:rsidRPr="00311005">
              <w:rPr>
                <w:rStyle w:val="SpecialBold"/>
              </w:rPr>
              <w:t>3</w:t>
            </w:r>
            <w:r w:rsidRPr="00311005">
              <w:t xml:space="preserve">) </w:t>
            </w:r>
          </w:p>
          <w:p w:rsidR="00000000" w:rsidRPr="00311005" w:rsidP="00311005">
            <w:pPr>
              <w:pStyle w:val="BodyText"/>
            </w:pPr>
            <w:r w:rsidRPr="00311005">
              <w:t xml:space="preserve">This unit should be </w:t>
            </w:r>
            <w:r w:rsidRPr="00311005">
              <w:t>assessed as it relates to normal work practice using procedures, information and resources typical of a workplace. This should include:</w:t>
            </w:r>
          </w:p>
          <w:p w:rsidR="00000000" w:rsidRPr="00311005" w:rsidP="00311005">
            <w:pPr>
              <w:pStyle w:val="ListBullet"/>
            </w:pPr>
            <w:r w:rsidRPr="00311005">
              <w:t>OHS policy and work procedures and instructions.</w:t>
            </w:r>
          </w:p>
          <w:p w:rsidR="00000000" w:rsidRPr="00311005" w:rsidP="00311005">
            <w:pPr>
              <w:pStyle w:val="ListBullet"/>
            </w:pPr>
            <w:r w:rsidRPr="00311005">
              <w:t>Suitable work environment, facilities, equipment and materials to undertake actual work as prescribed by this unit.</w:t>
            </w:r>
          </w:p>
          <w:p w:rsidR="00000000" w:rsidRPr="00311005" w:rsidP="00311005">
            <w:pPr>
              <w:pStyle w:val="BodyText"/>
            </w:pPr>
            <w:r w:rsidRPr="00311005">
              <w:t>Competency Standards should be assessed in the workplace or simulated workplace and under the normal range of workplace conditions.</w:t>
            </w:r>
          </w:p>
          <w:p w:rsidR="00000000" w:rsidP="00311005">
            <w:pPr>
              <w:pStyle w:val="BodyText"/>
              <w:rPr>
                <w:lang w:val="en-NZ"/>
              </w:rPr>
            </w:pPr>
            <w:r w:rsidRPr="00311005">
              <w:t>Assessme</w:t>
            </w:r>
            <w:r w:rsidRPr="00311005">
              <w:t>nt of this unit will be supported with documentary evidence, by means of endorsement stating type and application of work.</w:t>
            </w:r>
          </w:p>
        </w:tc>
      </w:tr>
      <w:tr w:rsidTr="007C4E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In addition to the resources listed above in Context of assessment', evidence should show competency working in limited spaces wit</w:t>
            </w:r>
            <w:r w:rsidRPr="00311005">
              <w:t>h different types of plant and equipment as well as different structural/construction types and methods and in a variety of environments.</w:t>
            </w:r>
          </w:p>
        </w:tc>
      </w:tr>
      <w:tr w:rsidTr="007C4E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rPr>
                <w:rStyle w:val="SpecialBold"/>
              </w:rPr>
              <w:t>8</w:t>
            </w:r>
            <w:r w:rsidRPr="00311005">
              <w:t>.</w:t>
            </w:r>
            <w:r w:rsidRPr="00311005">
              <w:rPr>
                <w:rStyle w:val="SpecialBold"/>
              </w:rPr>
              <w:t>4</w:t>
            </w:r>
            <w:r w:rsidRPr="00311005">
              <w:t xml:space="preserve">) </w:t>
            </w:r>
          </w:p>
          <w:p w:rsidR="00000000" w:rsidRPr="00311005" w:rsidP="00311005">
            <w:pPr>
              <w:pStyle w:val="BodyText"/>
            </w:pPr>
            <w:r w:rsidRPr="00311005">
              <w:t>This unit shall be assessed by methods given in Volume 1, Part 3 "Assessment Guidelines".</w:t>
            </w:r>
          </w:p>
          <w:p w:rsidR="00000000" w:rsidP="00311005">
            <w:pPr>
              <w:pStyle w:val="BodyText"/>
              <w:rPr>
                <w:lang w:val="en-NZ"/>
              </w:rPr>
            </w:pPr>
            <w:r w:rsidRPr="00311005">
              <w:t>Note:</w:t>
            </w:r>
            <w:r w:rsidRPr="00311005">
              <w:br/>
              <w:t>Competent performance with inherent safe working practices is expected in the Industry to which this unit applies. This requires that the specified essential knowledge and associated skills are assessed in a structured environment which is primarily</w:t>
            </w:r>
            <w:r w:rsidRPr="00311005">
              <w:t xml:space="preserve"> intended for learning/assessment and incorporates all necessary equipment and facilities for learners to develop and demonstrate the essential knowledge and skills described in this unit.</w:t>
            </w:r>
          </w:p>
        </w:tc>
      </w:tr>
      <w:tr w:rsidTr="007C4EEB">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rPr>
                <w:rStyle w:val="SpecialBold"/>
              </w:rPr>
              <w:t>8</w:t>
            </w:r>
            <w:r w:rsidRPr="00311005">
              <w:t>.</w:t>
            </w:r>
            <w:r w:rsidRPr="00311005">
              <w:rPr>
                <w:rStyle w:val="SpecialBold"/>
              </w:rPr>
              <w:t>5</w:t>
            </w:r>
            <w:r w:rsidRPr="00311005">
              <w:t xml:space="preserve">) </w:t>
            </w:r>
          </w:p>
        </w:tc>
      </w:tr>
      <w:tr w:rsidTr="007C4EE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There are no recommended concurrent assessments with this unit, however in some cases efficiencies may be gained in terms of learning and assessment effort being concurrently managed with allied competency standard units where listed.</w:t>
            </w:r>
          </w:p>
        </w:tc>
      </w:tr>
      <w:tr w:rsidTr="007C4EEB">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UEPOPS434A</w:t>
            </w:r>
          </w:p>
        </w:tc>
        <w:tc>
          <w:tcPr>
            <w:tcW w:w="468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Operate</w:t>
            </w:r>
            <w:r w:rsidRPr="00311005">
              <w:t xml:space="preserve"> and Monitor a Heat Recovery Steam Generator Unit</w:t>
            </w:r>
          </w:p>
        </w:tc>
      </w:tr>
      <w:tr w:rsidTr="007C4EEB">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rPr>
                <w:rStyle w:val="SpecialBold"/>
              </w:rPr>
              <w:t>8</w:t>
            </w:r>
            <w:r w:rsidRPr="00311005">
              <w:t>.</w:t>
            </w:r>
            <w:r w:rsidRPr="00311005">
              <w:rPr>
                <w:rStyle w:val="SpecialBold"/>
              </w:rPr>
              <w:t>6</w:t>
            </w:r>
            <w:r w:rsidRPr="00311005">
              <w:t xml:space="preserve">) </w:t>
            </w:r>
          </w:p>
          <w:p w:rsidR="00000000" w:rsidRPr="00311005" w:rsidP="00311005">
            <w:pPr>
              <w:pStyle w:val="BodyText"/>
            </w:pPr>
            <w:r w:rsidRPr="00311005">
              <w:t>Evidence that particular key competencies have been achieved within this unit is in the context of the following Performance Criteria of evidence. See Volume 2, Part 4 for an explanation of Key competencies and levels of this Training Package.</w:t>
            </w:r>
          </w:p>
        </w:tc>
      </w:tr>
    </w:tbl>
    <w:p w:rsidR="00000000" w:rsidRPr="00311005" w:rsidP="00311005">
      <w:pPr>
        <w:pStyle w:val="BodyText"/>
      </w:pPr>
    </w:p>
    <w:tbl>
      <w:tblPr>
        <w:tblW w:w="0" w:type="auto"/>
        <w:tblLayout w:type="fixed"/>
        <w:tblCellMar>
          <w:left w:w="62" w:type="dxa"/>
          <w:right w:w="62" w:type="dxa"/>
        </w:tblCellMar>
        <w:tblLook w:val="0000"/>
      </w:tblPr>
      <w:tblGrid>
        <w:gridCol w:w="2160"/>
        <w:gridCol w:w="4737"/>
        <w:gridCol w:w="1563"/>
      </w:tblGrid>
      <w:tr w:rsidTr="007C4EEB">
        <w:tblPrEx>
          <w:tblW w:w="0" w:type="auto"/>
          <w:tblLayout w:type="fixed"/>
          <w:tblCellMar>
            <w:left w:w="62" w:type="dxa"/>
            <w:right w:w="62" w:type="dxa"/>
          </w:tblCellMar>
          <w:tblLook w:val="0000"/>
        </w:tblPrEx>
        <w:trPr>
          <w:tblHeader/>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005" w:rsidP="00311005">
            <w:pPr>
              <w:pStyle w:val="BodyText"/>
            </w:pPr>
            <w:r w:rsidRPr="00311005">
              <w:rPr>
                <w:rStyle w:val="SpecialBold"/>
              </w:rPr>
              <w:t>Key compe</w:t>
            </w:r>
            <w:r w:rsidRPr="00311005">
              <w:rPr>
                <w:rStyle w:val="SpecialBold"/>
              </w:rPr>
              <w:t>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005" w:rsidP="00311005">
            <w:pPr>
              <w:pStyle w:val="BodyText"/>
            </w:pPr>
            <w:r w:rsidRPr="00311005">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rPr>
                <w:rStyle w:val="SpecialBold"/>
              </w:rPr>
              <w:t>Performance Level</w:t>
            </w:r>
          </w:p>
        </w:tc>
      </w:tr>
      <w:tr w:rsidTr="007C4EE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1005">
            <w:pPr>
              <w:pStyle w:val="BodyText"/>
              <w:rPr>
                <w:lang w:val="en-NZ"/>
              </w:rPr>
            </w:pPr>
            <w:r w:rsidRPr="0031100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005" w:rsidP="00311005">
            <w:pPr>
              <w:pStyle w:val="BodyText"/>
            </w:pPr>
          </w:p>
          <w:p w:rsidR="00000000" w:rsidP="00311005">
            <w:pPr>
              <w:pStyle w:val="BodyText"/>
              <w:rPr>
                <w:lang w:val="en-NZ"/>
              </w:rPr>
            </w:pPr>
            <w:r w:rsidRPr="00311005">
              <w:t>2</w:t>
            </w:r>
          </w:p>
        </w:tc>
      </w:tr>
      <w:tr w:rsidTr="007C4EE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p>
        </w:tc>
      </w:tr>
      <w:tr w:rsidTr="007C4EE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1005">
            <w:pPr>
              <w:pStyle w:val="BodyText"/>
              <w:rPr>
                <w:lang w:val="en-NZ"/>
              </w:rPr>
            </w:pPr>
            <w:r w:rsidRPr="0031100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005" w:rsidP="00311005">
            <w:pPr>
              <w:pStyle w:val="BodyText"/>
            </w:pPr>
          </w:p>
          <w:p w:rsidR="00000000" w:rsidP="00311005">
            <w:pPr>
              <w:pStyle w:val="BodyText"/>
              <w:rPr>
                <w:lang w:val="en-NZ"/>
              </w:rPr>
            </w:pPr>
            <w:r w:rsidRPr="00311005">
              <w:t>2</w:t>
            </w:r>
          </w:p>
        </w:tc>
      </w:tr>
      <w:tr w:rsidTr="007C4EE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p>
        </w:tc>
      </w:tr>
      <w:tr w:rsidTr="007C4EE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1005">
            <w:pPr>
              <w:pStyle w:val="BodyText"/>
              <w:rPr>
                <w:lang w:val="en-NZ"/>
              </w:rPr>
            </w:pPr>
            <w:r w:rsidRPr="0031100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005" w:rsidP="00311005">
            <w:pPr>
              <w:pStyle w:val="BodyText"/>
            </w:pPr>
          </w:p>
          <w:p w:rsidR="00000000" w:rsidP="00311005">
            <w:pPr>
              <w:pStyle w:val="BodyText"/>
              <w:rPr>
                <w:lang w:val="en-NZ"/>
              </w:rPr>
            </w:pPr>
            <w:r w:rsidRPr="00311005">
              <w:t>2</w:t>
            </w:r>
          </w:p>
        </w:tc>
      </w:tr>
      <w:tr w:rsidTr="007C4EE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p>
        </w:tc>
      </w:tr>
      <w:tr w:rsidTr="007C4EE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 xml:space="preserve">How is team work </w:t>
            </w:r>
            <w:r w:rsidRPr="00311005">
              <w:t>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1005">
            <w:pPr>
              <w:pStyle w:val="BodyText"/>
              <w:rPr>
                <w:lang w:val="en-NZ"/>
              </w:rPr>
            </w:pPr>
            <w:r w:rsidRPr="0031100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005" w:rsidP="00311005">
            <w:pPr>
              <w:pStyle w:val="BodyText"/>
            </w:pPr>
          </w:p>
          <w:p w:rsidR="00000000" w:rsidP="00311005">
            <w:pPr>
              <w:pStyle w:val="BodyText"/>
              <w:rPr>
                <w:lang w:val="en-NZ"/>
              </w:rPr>
            </w:pPr>
            <w:r w:rsidRPr="00311005">
              <w:t>2</w:t>
            </w:r>
          </w:p>
        </w:tc>
      </w:tr>
      <w:tr w:rsidTr="007C4EE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p>
        </w:tc>
      </w:tr>
      <w:tr w:rsidTr="007C4EE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1005">
            <w:pPr>
              <w:pStyle w:val="BodyText"/>
              <w:rPr>
                <w:lang w:val="en-NZ"/>
              </w:rPr>
            </w:pPr>
            <w:r w:rsidRPr="0031100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005" w:rsidP="00311005">
            <w:pPr>
              <w:pStyle w:val="BodyText"/>
            </w:pPr>
          </w:p>
          <w:p w:rsidR="00000000" w:rsidP="00311005">
            <w:pPr>
              <w:pStyle w:val="BodyText"/>
              <w:rPr>
                <w:lang w:val="en-NZ"/>
              </w:rPr>
            </w:pPr>
            <w:r w:rsidRPr="00311005">
              <w:t>2</w:t>
            </w:r>
          </w:p>
        </w:tc>
      </w:tr>
      <w:tr w:rsidTr="007C4EE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p>
        </w:tc>
      </w:tr>
      <w:tr w:rsidTr="007C4EE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1005">
            <w:pPr>
              <w:pStyle w:val="BodyText"/>
              <w:rPr>
                <w:lang w:val="en-NZ"/>
              </w:rPr>
            </w:pPr>
            <w:r w:rsidRPr="0031100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005" w:rsidP="00311005">
            <w:pPr>
              <w:pStyle w:val="BodyText"/>
            </w:pPr>
          </w:p>
          <w:p w:rsidR="00000000" w:rsidP="00311005">
            <w:pPr>
              <w:pStyle w:val="BodyText"/>
              <w:rPr>
                <w:lang w:val="en-NZ"/>
              </w:rPr>
            </w:pPr>
            <w:r w:rsidRPr="00311005">
              <w:t>2</w:t>
            </w:r>
          </w:p>
        </w:tc>
      </w:tr>
      <w:tr w:rsidTr="007C4EE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p>
        </w:tc>
      </w:tr>
      <w:tr w:rsidTr="007C4EEB">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1005">
            <w:pPr>
              <w:pStyle w:val="BodyText"/>
              <w:rPr>
                <w:lang w:val="en-NZ"/>
              </w:rPr>
            </w:pPr>
            <w:r w:rsidRPr="00311005">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005" w:rsidP="00311005">
            <w:pPr>
              <w:pStyle w:val="BodyText"/>
            </w:pPr>
          </w:p>
          <w:p w:rsidR="00000000" w:rsidP="00311005">
            <w:pPr>
              <w:pStyle w:val="BodyText"/>
              <w:rPr>
                <w:lang w:val="en-NZ"/>
              </w:rPr>
            </w:pPr>
            <w:r w:rsidRPr="00311005">
              <w:t>2</w:t>
            </w:r>
          </w:p>
        </w:tc>
      </w:tr>
      <w:tr w:rsidTr="007C4EEB">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005" w:rsidP="00311005">
            <w:pPr>
              <w:pStyle w:val="BodyText"/>
            </w:pPr>
          </w:p>
        </w:tc>
      </w:tr>
    </w:tbl>
    <w:p w:rsidR="00000000" w:rsidRPr="00311005" w:rsidP="00311005">
      <w:pPr>
        <w:pStyle w:val="BodyText"/>
      </w:pPr>
    </w:p>
    <w:tbl>
      <w:tblPr>
        <w:tblW w:w="0" w:type="auto"/>
        <w:tblLayout w:type="fixed"/>
        <w:tblCellMar>
          <w:left w:w="62" w:type="dxa"/>
          <w:right w:w="62" w:type="dxa"/>
        </w:tblCellMar>
        <w:tblLook w:val="0000"/>
      </w:tblPr>
      <w:tblGrid>
        <w:gridCol w:w="326"/>
        <w:gridCol w:w="1834"/>
        <w:gridCol w:w="6300"/>
      </w:tblGrid>
      <w:tr w:rsidTr="007C4EEB">
        <w:tblPrEx>
          <w:tblW w:w="0" w:type="auto"/>
          <w:tblLayout w:type="fixed"/>
          <w:tblCellMar>
            <w:left w:w="62" w:type="dxa"/>
            <w:right w:w="62" w:type="dxa"/>
          </w:tblCellMar>
          <w:tblLook w:val="0000"/>
        </w:tblPrEx>
        <w:trPr>
          <w:tblHeader/>
        </w:trPr>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p>
        </w:tc>
      </w:tr>
      <w:tr w:rsidTr="007C4EEB">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311005" w:rsidP="00311005">
            <w:pPr>
              <w:pStyle w:val="BodyText"/>
            </w:pPr>
            <w:r w:rsidRPr="00311005">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311005" w:rsidP="00311005">
            <w:pPr>
              <w:pStyle w:val="BodyText"/>
            </w:pPr>
            <w:r w:rsidRPr="00311005">
              <w:rPr>
                <w:rStyle w:val="SpecialBold"/>
              </w:rPr>
              <w:t>8</w:t>
            </w:r>
            <w:r w:rsidRPr="00311005">
              <w:t>.</w:t>
            </w:r>
            <w:r w:rsidRPr="00311005">
              <w:rPr>
                <w:rStyle w:val="SpecialBold"/>
              </w:rPr>
              <w:t>7</w:t>
            </w:r>
            <w:r w:rsidRPr="00311005">
              <w:t xml:space="preserve">) </w:t>
            </w:r>
          </w:p>
          <w:p w:rsidR="00000000" w:rsidP="00311005">
            <w:pPr>
              <w:pStyle w:val="BodyText"/>
              <w:rPr>
                <w:lang w:val="en-NZ"/>
              </w:rPr>
            </w:pPr>
            <w:r w:rsidRPr="00311005">
              <w:t>Evidence that competency in this unit incorporat</w:t>
            </w:r>
            <w:r w:rsidRPr="00311005">
              <w:t xml:space="preserve">es skills enabling employment is in the context of the following performance. See Volume 2, Part 5 for definitions and an explanation of skills enabling employment. </w:t>
            </w:r>
          </w:p>
        </w:tc>
      </w:tr>
      <w:tr w:rsidTr="007C4EEB">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005" w:rsidP="00311005">
            <w:pPr>
              <w:pStyle w:val="BodyText"/>
            </w:pPr>
            <w:r w:rsidRPr="00311005">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rPr>
                <w:rStyle w:val="SpecialBold"/>
              </w:rPr>
              <w:t>Example of Application</w:t>
            </w:r>
          </w:p>
        </w:tc>
      </w:tr>
      <w:tr w:rsidTr="007C4EE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Developing and using skills w</w:t>
            </w:r>
            <w:r w:rsidRPr="00311005">
              <w:t>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1005">
            <w:pPr>
              <w:pStyle w:val="BodyText"/>
              <w:rPr>
                <w:lang w:val="en-NZ"/>
              </w:rPr>
            </w:pPr>
            <w:r w:rsidRPr="00311005">
              <w:t>Refer to the following example of application:</w:t>
            </w:r>
          </w:p>
        </w:tc>
      </w:tr>
      <w:tr w:rsidTr="007C4EE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Completion of tasks within an acceptable timeframe and performance with some supervision.</w:t>
            </w:r>
          </w:p>
        </w:tc>
      </w:tr>
      <w:tr w:rsidTr="007C4EE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1005">
            <w:pPr>
              <w:pStyle w:val="BodyText"/>
              <w:rPr>
                <w:lang w:val="en-NZ"/>
              </w:rPr>
            </w:pPr>
            <w:r w:rsidRPr="00311005">
              <w:t>Refer to the following example of application:</w:t>
            </w:r>
          </w:p>
        </w:tc>
      </w:tr>
      <w:tr w:rsidTr="007C4EE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Comprehension and application of theoretical knowledge to well-developed skills.</w:t>
            </w:r>
          </w:p>
        </w:tc>
      </w:tr>
      <w:tr w:rsidTr="007C4EE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1005">
            <w:pPr>
              <w:pStyle w:val="BodyText"/>
              <w:rPr>
                <w:lang w:val="en-NZ"/>
              </w:rPr>
            </w:pPr>
            <w:r w:rsidRPr="00311005">
              <w:t>Refer to the following example of application:</w:t>
            </w:r>
          </w:p>
        </w:tc>
      </w:tr>
      <w:tr w:rsidTr="007C4EE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Focused on improvement in own and other team member's perfo</w:t>
            </w:r>
            <w:r w:rsidRPr="00311005">
              <w:t>rmance in the workplace.</w:t>
            </w:r>
          </w:p>
        </w:tc>
      </w:tr>
      <w:tr w:rsidTr="007C4EE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1005">
            <w:pPr>
              <w:pStyle w:val="BodyText"/>
              <w:rPr>
                <w:lang w:val="en-NZ"/>
              </w:rPr>
            </w:pPr>
            <w:r w:rsidRPr="00311005">
              <w:t>Refer to the following example of application:</w:t>
            </w:r>
          </w:p>
        </w:tc>
      </w:tr>
      <w:tr w:rsidTr="007C4EE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Working understanding of the processes and systems which apply to the workplace.</w:t>
            </w:r>
          </w:p>
        </w:tc>
      </w:tr>
      <w:tr w:rsidTr="007C4EE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 xml:space="preserve">Planning and </w:t>
            </w:r>
            <w:r w:rsidRPr="00311005">
              <w:t>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1005">
            <w:pPr>
              <w:pStyle w:val="BodyText"/>
              <w:rPr>
                <w:lang w:val="en-NZ"/>
              </w:rPr>
            </w:pPr>
            <w:r w:rsidRPr="00311005">
              <w:t>Refer to the following example of application:</w:t>
            </w:r>
          </w:p>
        </w:tc>
      </w:tr>
      <w:tr w:rsidTr="007C4EE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Achieving work tasks in a timely manner and ensuring that the work team achieves its stated work goals.</w:t>
            </w:r>
          </w:p>
        </w:tc>
      </w:tr>
      <w:tr w:rsidTr="007C4EEB">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005">
            <w:pPr>
              <w:pStyle w:val="BodyText"/>
              <w:rPr>
                <w:lang w:val="en-NZ"/>
              </w:rPr>
            </w:pPr>
            <w:r w:rsidRPr="00311005">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1005">
            <w:pPr>
              <w:pStyle w:val="BodyText"/>
              <w:rPr>
                <w:lang w:val="en-NZ"/>
              </w:rPr>
            </w:pPr>
            <w:r w:rsidRPr="00311005">
              <w:t>Refer to the following example of application:</w:t>
            </w:r>
          </w:p>
        </w:tc>
      </w:tr>
      <w:tr w:rsidTr="007C4EEB">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11005" w:rsidP="00311005">
            <w:pPr>
              <w:pStyle w:val="BodyText"/>
            </w:pPr>
            <w:r w:rsidRPr="00311005">
              <w:t>Seek advice and apply solutions to problems relevant to the workplace environment.</w:t>
            </w:r>
          </w:p>
        </w:tc>
      </w:tr>
    </w:tbl>
    <w:p w:rsidR="007C4EEB" w:rsidP="00311005">
      <w:pPr>
        <w:pStyle w:val="BodyText"/>
      </w:pPr>
    </w:p>
    <w:p w:rsidR="007C4EEB" w:rsidP="00311005">
      <w:pPr>
        <w:pStyle w:val="BodyText"/>
      </w:pPr>
    </w:p>
    <w:p w:rsidR="00000000" w:rsidRPr="00311005" w:rsidP="00311005">
      <w:pPr>
        <w:pStyle w:val="Heading1"/>
      </w:pPr>
      <w:bookmarkStart w:id="11" w:name="O_256076"/>
      <w:bookmarkEnd w:id="11"/>
      <w:r w:rsidRPr="00311005">
        <w:t>Range Statement</w:t>
      </w:r>
    </w:p>
    <w:tbl>
      <w:tblPr>
        <w:tblW w:w="0" w:type="auto"/>
        <w:tblLayout w:type="fixed"/>
        <w:tblCellMar>
          <w:left w:w="62" w:type="dxa"/>
          <w:right w:w="62" w:type="dxa"/>
        </w:tblCellMar>
        <w:tblLook w:val="0000"/>
      </w:tblPr>
      <w:tblGrid>
        <w:gridCol w:w="8460"/>
      </w:tblGrid>
      <w:tr w:rsidTr="007C4EE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rPr>
                <w:rStyle w:val="SpecialBold"/>
              </w:rPr>
              <w:t>RANGE STATEMENT</w:t>
            </w:r>
          </w:p>
        </w:tc>
      </w:tr>
      <w:tr w:rsidTr="007C4EE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rPr>
                <w:rStyle w:val="SpecialBold"/>
              </w:rPr>
              <w:t>7</w:t>
            </w:r>
            <w:r w:rsidRPr="00311005">
              <w:t>) This relates to the competency standard unit as a whole, providing the range of contexts and conditions to which the Performance Criteria apply. It allows for different work environments and situations that will affect performance.</w:t>
            </w:r>
          </w:p>
        </w:tc>
      </w:tr>
      <w:tr w:rsidTr="007C4EE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t>Systems, plant and eq</w:t>
            </w:r>
            <w:r w:rsidRPr="00311005">
              <w:t>uipment may include generator cooling systems; fuel delivery systems; generator and generator auxiliary plant; generator seal oil system; generation fire protection system; boiler, turbine and unit coordinated control systems; generator circuit breaker/tra</w:t>
            </w:r>
            <w:r w:rsidRPr="00311005">
              <w:t>nsformer; unit auxiliary switchboards; electricity market auto loading systems; generator excitation systems which may include- DC pilot excitors and amplidyne(s) control, AC pilot excitors and thyristor control, brushless systems, static systems, associat</w:t>
            </w:r>
            <w:r w:rsidRPr="00311005">
              <w:t>ed supervisory, control and protection equipment; Circuit breakers, field, excitor, flashing, associated supervisory, control and protection equipment; Transformers, excitation, earthing and neutral, voltage and current; and automatic voltage regulator (AV</w:t>
            </w:r>
            <w:r w:rsidRPr="00311005">
              <w:t>R) system.</w:t>
            </w:r>
          </w:p>
          <w:p w:rsidR="00000000" w:rsidRPr="00311005" w:rsidP="00311005">
            <w:pPr>
              <w:pStyle w:val="BodyText"/>
            </w:pPr>
            <w:r w:rsidRPr="00311005">
              <w:t>Safety standards may include relevant sections of Occupational Health and Safety legislation, enterprise safety rules, national standards for plant, relevant State and federal legislation and Australian standards.</w:t>
            </w:r>
          </w:p>
          <w:p w:rsidR="00000000" w:rsidRPr="00311005" w:rsidP="00311005">
            <w:pPr>
              <w:pStyle w:val="BodyText"/>
            </w:pPr>
            <w:r w:rsidRPr="00311005">
              <w:t>Information and documentation s</w:t>
            </w:r>
            <w:r w:rsidRPr="00311005">
              <w:t>ources may include verbal or written communications; enterprise safety rules documentation; enterprise operating instructions; equipment and alarm manuals; dedicated computer equipment; enterprise standing instructions and plant notes; enterprise log books</w:t>
            </w:r>
            <w:r w:rsidRPr="00311005">
              <w:t>; market load profile forecasts; electricity market bidding information; and manufacturer's operation and maintenance manuals.</w:t>
            </w:r>
          </w:p>
          <w:p w:rsidR="00000000" w:rsidRPr="00311005" w:rsidP="00311005">
            <w:pPr>
              <w:pStyle w:val="BodyText"/>
            </w:pPr>
            <w:r w:rsidRPr="00311005">
              <w:t>Technical and operational indicators may include stimuli (audio, smell, touch, visual), remote or local indicators and recorders,</w:t>
            </w:r>
            <w:r w:rsidRPr="00311005">
              <w:t xml:space="preserve"> computers and alarms (visible and/or audible).</w:t>
            </w:r>
          </w:p>
          <w:p w:rsidR="00000000" w:rsidRPr="00311005" w:rsidP="00311005">
            <w:pPr>
              <w:pStyle w:val="BodyText"/>
            </w:pPr>
            <w:r w:rsidRPr="00311005">
              <w:t>Communications may be by means of telephone, two way radio, pager, computer (electronic mail) and operating logs (written or verbal).</w:t>
            </w:r>
          </w:p>
          <w:p w:rsidR="00000000" w:rsidRPr="00311005" w:rsidP="00311005">
            <w:pPr>
              <w:pStyle w:val="BodyText"/>
            </w:pPr>
            <w:r w:rsidRPr="00311005">
              <w:t>Tests may include supply change-over tests, "black" start tests and capabi</w:t>
            </w:r>
            <w:r w:rsidRPr="00311005">
              <w:t>lity tests.</w:t>
            </w:r>
          </w:p>
          <w:p w:rsidR="00000000" w:rsidRPr="00311005" w:rsidP="00311005">
            <w:pPr>
              <w:pStyle w:val="BodyText"/>
            </w:pPr>
            <w:r w:rsidRPr="00311005">
              <w:t>Appropriate personnel to consult, give or receive direction may include supervisor/team leader or equivalent; other coordinators of energy production; other operating staff; technical and engineering officers or equivalent; maintenance personne</w:t>
            </w:r>
            <w:r w:rsidRPr="00311005">
              <w:t>l; and contractor staff.</w:t>
            </w:r>
          </w:p>
          <w:p w:rsidR="00000000" w:rsidRPr="00311005" w:rsidP="00311005">
            <w:pPr>
              <w:pStyle w:val="BodyText"/>
            </w:pPr>
            <w:r w:rsidRPr="00311005">
              <w:t xml:space="preserve">Operating environment may be remote from plant and equipment being operated; where operation is assisted by remote indicators of plant status and other parameters monitored; during night periods; during inclement or otherwise harsh weather conditions; and </w:t>
            </w:r>
            <w:r w:rsidRPr="00311005">
              <w:t>in wet/noisy/dusty areas.</w:t>
            </w:r>
          </w:p>
          <w:p w:rsidR="00000000" w:rsidRPr="00311005" w:rsidP="00311005">
            <w:pPr>
              <w:pStyle w:val="BodyText"/>
            </w:pPr>
            <w:r w:rsidRPr="00311005">
              <w:t>Unit operations (systems requirements) may include normal generating models and system auto frequency control mode.</w:t>
            </w:r>
          </w:p>
          <w:p w:rsidR="00000000" w:rsidRPr="00311005" w:rsidP="00311005">
            <w:pPr>
              <w:pStyle w:val="BodyText"/>
            </w:pPr>
            <w:r w:rsidRPr="00311005">
              <w:t xml:space="preserve">Faults and abnormal operating conditions may include unit trip; market distribution network disturbances; loss of </w:t>
            </w:r>
            <w:r w:rsidRPr="00311005">
              <w:t>station AC supplies; spurious abnormal fuel condition, operations; generator hydrogen cooling/sealing system malfunctions; generator cooling system malfunctions; generator excitation/transformer; CB faults/malfunctions; and unit coordinated controls malfun</w:t>
            </w:r>
            <w:r w:rsidRPr="00311005">
              <w:t>ctions.</w:t>
            </w:r>
          </w:p>
          <w:p w:rsidR="00000000" w:rsidRPr="00311005" w:rsidP="00311005">
            <w:pPr>
              <w:pStyle w:val="BodyText"/>
            </w:pPr>
            <w:r w:rsidRPr="00311005">
              <w:t>Generic terms are used throughout this Training Package for vocational standard shall be regarded as part of the Range Statement in which competency is demonstrated. The definition of these and other terms are given in Volume 2, Part 1.</w:t>
            </w:r>
          </w:p>
        </w:tc>
      </w:tr>
    </w:tbl>
    <w:p w:rsidR="007C4EEB" w:rsidP="00311005">
      <w:pPr>
        <w:pStyle w:val="BodyText"/>
      </w:pPr>
    </w:p>
    <w:p w:rsidR="007C4EEB" w:rsidP="00311005">
      <w:pPr>
        <w:pStyle w:val="BodyText"/>
      </w:pPr>
    </w:p>
    <w:p w:rsidR="00000000" w:rsidRPr="00311005" w:rsidP="00311005">
      <w:pPr>
        <w:pStyle w:val="Heading1"/>
      </w:pPr>
      <w:bookmarkStart w:id="12" w:name="O_297089"/>
      <w:bookmarkEnd w:id="12"/>
      <w:r w:rsidRPr="00311005">
        <w:t>Unit Sector(s)</w:t>
      </w:r>
    </w:p>
    <w:p w:rsidR="00000000" w:rsidRPr="00311005" w:rsidP="00311005">
      <w:pPr>
        <w:pStyle w:val="BodyText"/>
      </w:pPr>
      <w:r w:rsidRPr="00311005">
        <w:t>Not Applicable</w:t>
      </w:r>
    </w:p>
    <w:p w:rsidR="00000000" w:rsidRPr="00311005" w:rsidP="00311005">
      <w:pPr>
        <w:pStyle w:val="AllowPageBreak"/>
      </w:pPr>
    </w:p>
    <w:p w:rsidR="00000000" w:rsidRPr="00311005" w:rsidP="00311005">
      <w:pPr>
        <w:pStyle w:val="Heading1"/>
      </w:pPr>
      <w:bookmarkStart w:id="13" w:name="O_230947"/>
      <w:bookmarkEnd w:id="13"/>
      <w:r w:rsidRPr="00311005">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C4E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rPr>
                <w:rStyle w:val="SpecialBold"/>
              </w:rPr>
              <w:t>2</w:t>
            </w:r>
            <w:r w:rsidRPr="00311005">
              <w:t>.</w:t>
            </w:r>
            <w:r w:rsidRPr="00311005">
              <w:rPr>
                <w:rStyle w:val="SpecialBold"/>
              </w:rPr>
              <w:t>2</w:t>
            </w:r>
            <w:r w:rsidRPr="00311005">
              <w:t xml:space="preserve">) </w:t>
            </w:r>
          </w:p>
          <w:p w:rsidR="00000000" w:rsidP="00311005">
            <w:pPr>
              <w:pStyle w:val="BodyText"/>
              <w:rPr>
                <w:lang w:val="en-NZ"/>
              </w:rPr>
            </w:pPr>
            <w:r w:rsidRPr="00311005">
              <w:t>Participants are best equipped to achieve this unit if they have reading, writing and numeracy skills indicated by the following scales.</w:t>
            </w:r>
            <w:r w:rsidRPr="00311005">
              <w:t xml:space="preserve"> Description of each scale is given in Volume 2, Part 3 Literacy and Numeracy</w:t>
            </w:r>
          </w:p>
        </w:tc>
      </w:tr>
      <w:tr w:rsidTr="007C4E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Reading</w:t>
            </w:r>
          </w:p>
        </w:tc>
        <w:tc>
          <w:tcPr>
            <w:tcW w:w="805"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4</w:t>
            </w:r>
          </w:p>
        </w:tc>
        <w:tc>
          <w:tcPr>
            <w:tcW w:w="1184"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Writing</w:t>
            </w:r>
          </w:p>
        </w:tc>
        <w:tc>
          <w:tcPr>
            <w:tcW w:w="805"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4</w:t>
            </w:r>
          </w:p>
        </w:tc>
        <w:tc>
          <w:tcPr>
            <w:tcW w:w="1172"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t>Numeracy</w:t>
            </w:r>
          </w:p>
        </w:tc>
        <w:tc>
          <w:tcPr>
            <w:tcW w:w="805" w:type="dxa"/>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t>4</w:t>
            </w:r>
          </w:p>
        </w:tc>
      </w:tr>
    </w:tbl>
    <w:p w:rsidR="007C4EEB" w:rsidP="00311005">
      <w:pPr>
        <w:pStyle w:val="BodyText"/>
      </w:pPr>
    </w:p>
    <w:p w:rsidR="007C4EEB" w:rsidP="00311005">
      <w:pPr>
        <w:pStyle w:val="BodyText"/>
      </w:pPr>
    </w:p>
    <w:p w:rsidR="00000000" w:rsidRPr="00311005" w:rsidP="00311005">
      <w:pPr>
        <w:pStyle w:val="Heading1"/>
      </w:pPr>
      <w:bookmarkStart w:id="14" w:name="O_230949"/>
      <w:bookmarkEnd w:id="14"/>
      <w:r w:rsidRPr="00311005">
        <w:t>Competency Field</w:t>
      </w:r>
    </w:p>
    <w:tbl>
      <w:tblPr>
        <w:tblW w:w="0" w:type="auto"/>
        <w:tblLayout w:type="fixed"/>
        <w:tblCellMar>
          <w:left w:w="62" w:type="dxa"/>
          <w:right w:w="62" w:type="dxa"/>
        </w:tblCellMar>
        <w:tblLook w:val="0000"/>
      </w:tblPr>
      <w:tblGrid>
        <w:gridCol w:w="2700"/>
        <w:gridCol w:w="5760"/>
      </w:tblGrid>
      <w:tr w:rsidTr="007C4EE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11005">
            <w:pPr>
              <w:pStyle w:val="BodyText"/>
              <w:rPr>
                <w:lang w:val="en-NZ"/>
              </w:rPr>
            </w:pPr>
            <w:r w:rsidRPr="00311005">
              <w:rPr>
                <w:rStyle w:val="SpecialBold"/>
              </w:rPr>
              <w:t>4</w:t>
            </w:r>
            <w:r w:rsidRPr="00311005">
              <w:t xml:space="preserve">) </w:t>
            </w:r>
          </w:p>
        </w:tc>
      </w:tr>
      <w:tr w:rsidTr="007C4EE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11005" w:rsidP="00311005">
            <w:pPr>
              <w:pStyle w:val="BodyText"/>
            </w:pPr>
            <w:r w:rsidRPr="00311005">
              <w:t>Operations</w:t>
            </w:r>
          </w:p>
        </w:tc>
      </w:tr>
    </w:tbl>
    <w:p w:rsidR="007C4EEB" w:rsidP="00311005">
      <w:pPr>
        <w:pStyle w:val="BodyText"/>
      </w:pPr>
    </w:p>
    <w:p w:rsidR="007C4EEB" w:rsidP="00311005">
      <w:pPr>
        <w:pStyle w:val="BodyText"/>
      </w:pPr>
    </w:p>
    <w:p w:rsidR="00000000" w:rsidRPr="00311005" w:rsidP="00311005"/>
    <w:sectPr w:rsidSect="003110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0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4EEB" w:rsidP="007C4EE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0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EEB" w:rsidP="0031100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7C4EEB" w:rsidP="003110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C4EEB" w:rsidP="003110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0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005" w:rsidRPr="007C4EEB" w:rsidP="007C4E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0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EEB" w:rsidRPr="002D2AF8" w:rsidP="00311005">
    <w:pPr>
      <w:pStyle w:val="Header"/>
      <w:framePr w:wrap="around"/>
    </w:pPr>
    <w:r>
      <w:fldChar w:fldCharType="begin"/>
    </w:r>
    <w:r>
      <w:instrText xml:space="preserve"> TITLE   \* MERGEFORMAT </w:instrText>
    </w:r>
    <w:r>
      <w:fldChar w:fldCharType="separate"/>
    </w:r>
    <w:r>
      <w:t>UEPOPS442A Monitor and Coordinate the Operation of a Combined Cycle Gas Turbine Unit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7C4EEB" w:rsidP="003110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2865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C0E4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0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1005"/>
    <w:pPr>
      <w:spacing w:before="360" w:after="60"/>
      <w:outlineLvl w:val="0"/>
    </w:pPr>
    <w:rPr>
      <w:sz w:val="32"/>
    </w:rPr>
  </w:style>
  <w:style w:type="paragraph" w:styleId="Heading2">
    <w:name w:val="heading 2"/>
    <w:basedOn w:val="HeadingBase"/>
    <w:next w:val="BodyText"/>
    <w:link w:val="Heading2Char"/>
    <w:qFormat/>
    <w:rsid w:val="00311005"/>
    <w:pPr>
      <w:keepLines/>
      <w:spacing w:before="240" w:after="120"/>
      <w:outlineLvl w:val="1"/>
    </w:pPr>
    <w:rPr>
      <w:sz w:val="28"/>
      <w:szCs w:val="40"/>
    </w:rPr>
  </w:style>
  <w:style w:type="paragraph" w:styleId="Heading3">
    <w:name w:val="heading 3"/>
    <w:basedOn w:val="HeadingBase"/>
    <w:next w:val="BodyText"/>
    <w:link w:val="Heading3Char"/>
    <w:qFormat/>
    <w:rsid w:val="00311005"/>
    <w:pPr>
      <w:spacing w:before="180" w:after="120"/>
      <w:outlineLvl w:val="2"/>
    </w:pPr>
    <w:rPr>
      <w:spacing w:val="-10"/>
      <w:kern w:val="32"/>
    </w:rPr>
  </w:style>
  <w:style w:type="paragraph" w:styleId="Heading4">
    <w:name w:val="heading 4"/>
    <w:basedOn w:val="HeadingBase"/>
    <w:next w:val="BodyText"/>
    <w:link w:val="Heading4Char"/>
    <w:qFormat/>
    <w:rsid w:val="00311005"/>
    <w:pPr>
      <w:spacing w:before="160" w:after="120"/>
      <w:outlineLvl w:val="3"/>
    </w:pPr>
    <w:rPr>
      <w:sz w:val="22"/>
    </w:rPr>
  </w:style>
  <w:style w:type="paragraph" w:styleId="Heading5">
    <w:name w:val="heading 5"/>
    <w:basedOn w:val="HeadingBase"/>
    <w:next w:val="Normal"/>
    <w:link w:val="Heading5Char"/>
    <w:qFormat/>
    <w:rsid w:val="00311005"/>
    <w:pPr>
      <w:spacing w:before="80"/>
      <w:outlineLvl w:val="4"/>
    </w:pPr>
    <w:rPr>
      <w:color w:val="918585"/>
      <w:sz w:val="20"/>
    </w:rPr>
  </w:style>
  <w:style w:type="paragraph" w:styleId="Heading6">
    <w:name w:val="heading 6"/>
    <w:basedOn w:val="HeadingBase"/>
    <w:next w:val="Normal"/>
    <w:link w:val="Heading6Char"/>
    <w:qFormat/>
    <w:rsid w:val="00311005"/>
    <w:pPr>
      <w:spacing w:before="60"/>
      <w:outlineLvl w:val="5"/>
    </w:pPr>
    <w:rPr>
      <w:color w:val="918585"/>
      <w:sz w:val="20"/>
    </w:rPr>
  </w:style>
  <w:style w:type="paragraph" w:styleId="Heading7">
    <w:name w:val="heading 7"/>
    <w:basedOn w:val="Normal"/>
    <w:next w:val="Normal"/>
    <w:link w:val="Heading7Char"/>
    <w:qFormat/>
    <w:rsid w:val="00311005"/>
    <w:pPr>
      <w:ind w:left="720"/>
      <w:outlineLvl w:val="6"/>
    </w:pPr>
    <w:rPr>
      <w:i/>
    </w:rPr>
  </w:style>
  <w:style w:type="paragraph" w:styleId="Heading8">
    <w:name w:val="heading 8"/>
    <w:basedOn w:val="Normal"/>
    <w:next w:val="Normal"/>
    <w:link w:val="Heading8Char"/>
    <w:qFormat/>
    <w:rsid w:val="00311005"/>
    <w:pPr>
      <w:ind w:left="720"/>
      <w:outlineLvl w:val="7"/>
    </w:pPr>
    <w:rPr>
      <w:i/>
    </w:rPr>
  </w:style>
  <w:style w:type="paragraph" w:styleId="Heading9">
    <w:name w:val="heading 9"/>
    <w:basedOn w:val="Normal"/>
    <w:next w:val="Normal"/>
    <w:link w:val="Heading9Char"/>
    <w:qFormat/>
    <w:rsid w:val="00311005"/>
    <w:pPr>
      <w:ind w:left="720"/>
      <w:outlineLvl w:val="8"/>
    </w:pPr>
    <w:rPr>
      <w:i/>
    </w:rPr>
  </w:style>
  <w:style w:type="character" w:default="1" w:styleId="DefaultParagraphFont">
    <w:name w:val="Default Paragraph Font"/>
    <w:uiPriority w:val="1"/>
    <w:unhideWhenUsed/>
    <w:rsid w:val="003110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005"/>
  </w:style>
  <w:style w:type="character" w:customStyle="1" w:styleId="Heading1Char">
    <w:name w:val="Heading 1 Char"/>
    <w:basedOn w:val="DefaultParagraphFont"/>
    <w:link w:val="Heading1"/>
    <w:rsid w:val="00311005"/>
    <w:rPr>
      <w:rFonts w:ascii="Times New Roman" w:eastAsia="Times New Roman" w:hAnsi="Times New Roman" w:cs="Times New Roman"/>
      <w:b/>
      <w:sz w:val="32"/>
      <w:szCs w:val="20"/>
      <w:lang w:eastAsia="en-US"/>
    </w:rPr>
  </w:style>
  <w:style w:type="paragraph" w:styleId="BodyText">
    <w:name w:val="Body Text"/>
    <w:basedOn w:val="Normal"/>
    <w:link w:val="BodyTextChar"/>
    <w:rsid w:val="003110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1005"/>
    <w:rPr>
      <w:rFonts w:ascii="Times New Roman" w:eastAsia="Times New Roman" w:hAnsi="Times New Roman" w:cs="Times New Roman"/>
      <w:sz w:val="24"/>
      <w:lang w:eastAsia="en-US"/>
    </w:rPr>
  </w:style>
  <w:style w:type="paragraph" w:styleId="Footer">
    <w:name w:val="footer"/>
    <w:basedOn w:val="Normal"/>
    <w:link w:val="FooterChar"/>
    <w:rsid w:val="003110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005"/>
    <w:rPr>
      <w:rFonts w:ascii="Times New Roman" w:eastAsia="Times New Roman" w:hAnsi="Times New Roman" w:cs="Times New Roman"/>
      <w:sz w:val="16"/>
      <w:lang w:eastAsia="en-US"/>
    </w:rPr>
  </w:style>
  <w:style w:type="paragraph" w:styleId="ListBullet">
    <w:name w:val="List Bullet"/>
    <w:basedOn w:val="List"/>
    <w:rsid w:val="00311005"/>
    <w:pPr>
      <w:numPr>
        <w:numId w:val="13"/>
      </w:numPr>
      <w:tabs>
        <w:tab w:val="clear" w:pos="340"/>
      </w:tabs>
      <w:spacing w:before="40" w:after="40"/>
    </w:pPr>
  </w:style>
  <w:style w:type="character" w:customStyle="1" w:styleId="SpecialBold">
    <w:name w:val="Special Bold"/>
    <w:basedOn w:val="DefaultParagraphFont"/>
    <w:rsid w:val="00311005"/>
    <w:rPr>
      <w:b/>
      <w:spacing w:val="0"/>
    </w:rPr>
  </w:style>
  <w:style w:type="paragraph" w:customStyle="1" w:styleId="SuperHeading">
    <w:name w:val="SuperHeading"/>
    <w:basedOn w:val="Normal"/>
    <w:rsid w:val="00311005"/>
    <w:pPr>
      <w:spacing w:before="240" w:after="120"/>
      <w:outlineLvl w:val="0"/>
    </w:pPr>
    <w:rPr>
      <w:rFonts w:ascii="Times New Roman" w:hAnsi="Times New Roman"/>
      <w:b/>
      <w:sz w:val="28"/>
    </w:rPr>
  </w:style>
  <w:style w:type="paragraph" w:customStyle="1" w:styleId="AllowPageBreak">
    <w:name w:val="AllowPageBreak"/>
    <w:rsid w:val="003110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11005"/>
    <w:pPr>
      <w:numPr>
        <w:numId w:val="2"/>
      </w:numPr>
      <w:tabs>
        <w:tab w:val="clear" w:pos="1021"/>
      </w:tabs>
      <w:ind w:left="1037" w:hanging="357"/>
    </w:pPr>
  </w:style>
  <w:style w:type="character" w:customStyle="1" w:styleId="Heading2Char">
    <w:name w:val="Heading 2 Char"/>
    <w:basedOn w:val="DefaultParagraphFont"/>
    <w:link w:val="Heading2"/>
    <w:rsid w:val="003110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0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0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0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0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0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10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1005"/>
    <w:rPr>
      <w:rFonts w:ascii="Courier New" w:eastAsia="Times New Roman" w:hAnsi="Courier New" w:cs="Times New Roman"/>
      <w:i/>
      <w:szCs w:val="20"/>
      <w:lang w:eastAsia="en-US"/>
    </w:rPr>
  </w:style>
  <w:style w:type="paragraph" w:customStyle="1" w:styleId="HeadingBase">
    <w:name w:val="Heading Base"/>
    <w:rsid w:val="003110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005"/>
    <w:pPr>
      <w:tabs>
        <w:tab w:val="right" w:leader="dot" w:pos="9072"/>
      </w:tabs>
      <w:ind w:left="567"/>
    </w:pPr>
    <w:rPr>
      <w:szCs w:val="22"/>
    </w:rPr>
  </w:style>
  <w:style w:type="paragraph" w:customStyle="1" w:styleId="TOCBase">
    <w:name w:val="TOC Base"/>
    <w:rsid w:val="003110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005"/>
    <w:pPr>
      <w:tabs>
        <w:tab w:val="right" w:leader="dot" w:pos="9072"/>
      </w:tabs>
      <w:spacing w:before="40" w:after="40"/>
      <w:ind w:left="284"/>
    </w:pPr>
    <w:rPr>
      <w:rFonts w:ascii="Times New Roman" w:hAnsi="Times New Roman"/>
    </w:rPr>
  </w:style>
  <w:style w:type="paragraph" w:styleId="TOC1">
    <w:name w:val="toc 1"/>
    <w:basedOn w:val="TOCBase"/>
    <w:next w:val="Normal"/>
    <w:rsid w:val="003110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1005"/>
    <w:pPr>
      <w:spacing w:before="5040"/>
      <w:jc w:val="center"/>
    </w:pPr>
    <w:rPr>
      <w:sz w:val="48"/>
      <w:szCs w:val="72"/>
      <w:lang w:val="en-US"/>
    </w:rPr>
  </w:style>
  <w:style w:type="character" w:customStyle="1" w:styleId="TitleChar">
    <w:name w:val="Title Char"/>
    <w:basedOn w:val="DefaultParagraphFont"/>
    <w:link w:val="Title"/>
    <w:rsid w:val="003110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005"/>
    <w:pPr>
      <w:tabs>
        <w:tab w:val="left" w:pos="3600"/>
        <w:tab w:val="left" w:pos="3958"/>
      </w:tabs>
    </w:pPr>
  </w:style>
  <w:style w:type="paragraph" w:styleId="List">
    <w:name w:val="List"/>
    <w:basedOn w:val="BodyText"/>
    <w:next w:val="BodyText"/>
    <w:rsid w:val="00311005"/>
    <w:pPr>
      <w:tabs>
        <w:tab w:val="left" w:pos="340"/>
      </w:tabs>
      <w:spacing w:before="60" w:after="60"/>
      <w:ind w:left="340" w:hanging="340"/>
    </w:pPr>
  </w:style>
  <w:style w:type="paragraph" w:customStyle="1" w:styleId="Note">
    <w:name w:val="Note"/>
    <w:basedOn w:val="BodyText"/>
    <w:rsid w:val="003110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005"/>
    <w:pPr>
      <w:framePr w:wrap="auto" w:hAnchor="text" w:y="6049"/>
    </w:pPr>
    <w:rPr>
      <w:color w:val="000000"/>
      <w:sz w:val="40"/>
    </w:rPr>
  </w:style>
  <w:style w:type="paragraph" w:customStyle="1" w:styleId="TOCTitle">
    <w:name w:val="TOCTitle"/>
    <w:basedOn w:val="Heading1"/>
    <w:rsid w:val="00311005"/>
    <w:pPr>
      <w:spacing w:after="240"/>
      <w:jc w:val="center"/>
      <w:outlineLvl w:val="9"/>
    </w:pPr>
    <w:rPr>
      <w:caps/>
    </w:rPr>
  </w:style>
  <w:style w:type="paragraph" w:customStyle="1" w:styleId="Version">
    <w:name w:val="Version"/>
    <w:rsid w:val="003110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1005"/>
    <w:pPr>
      <w:numPr>
        <w:numId w:val="14"/>
      </w:numPr>
      <w:tabs>
        <w:tab w:val="clear" w:pos="680"/>
      </w:tabs>
    </w:pPr>
  </w:style>
  <w:style w:type="paragraph" w:styleId="Index1">
    <w:name w:val="index 1"/>
    <w:basedOn w:val="Normal"/>
    <w:next w:val="Normal"/>
    <w:semiHidden/>
    <w:rsid w:val="00311005"/>
    <w:pPr>
      <w:keepNext w:val="0"/>
      <w:tabs>
        <w:tab w:val="right" w:pos="4176"/>
      </w:tabs>
      <w:ind w:left="198" w:hanging="198"/>
    </w:pPr>
    <w:rPr>
      <w:rFonts w:ascii="Garamond" w:hAnsi="Garamond"/>
    </w:rPr>
  </w:style>
  <w:style w:type="paragraph" w:styleId="IndexHeading">
    <w:name w:val="index heading"/>
    <w:basedOn w:val="Normal"/>
    <w:next w:val="Index1"/>
    <w:semiHidden/>
    <w:rsid w:val="00311005"/>
    <w:pPr>
      <w:spacing w:before="120" w:after="120"/>
    </w:pPr>
    <w:rPr>
      <w:rFonts w:ascii="Arial" w:hAnsi="Arial"/>
      <w:b/>
      <w:color w:val="918585"/>
      <w:sz w:val="24"/>
    </w:rPr>
  </w:style>
  <w:style w:type="paragraph" w:styleId="Header">
    <w:name w:val="header"/>
    <w:basedOn w:val="Normal"/>
    <w:link w:val="HeaderChar"/>
    <w:rsid w:val="003110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005"/>
    <w:rPr>
      <w:rFonts w:ascii="Times New Roman" w:eastAsia="Times New Roman" w:hAnsi="Times New Roman" w:cs="Times New Roman"/>
      <w:sz w:val="16"/>
      <w:szCs w:val="20"/>
      <w:lang w:val="en-GB" w:eastAsia="en-US"/>
    </w:rPr>
  </w:style>
  <w:style w:type="paragraph" w:customStyle="1" w:styleId="Chapter">
    <w:name w:val="Chapter"/>
    <w:basedOn w:val="Normal"/>
    <w:rsid w:val="00311005"/>
    <w:pPr>
      <w:spacing w:before="240"/>
    </w:pPr>
    <w:rPr>
      <w:rFonts w:ascii="Times New Roman" w:hAnsi="Times New Roman"/>
      <w:smallCaps/>
      <w:spacing w:val="80"/>
      <w:sz w:val="28"/>
    </w:rPr>
  </w:style>
  <w:style w:type="paragraph" w:customStyle="1" w:styleId="InChapter">
    <w:name w:val="InChapter"/>
    <w:basedOn w:val="Heading3"/>
    <w:rsid w:val="00311005"/>
    <w:pPr>
      <w:spacing w:after="240"/>
      <w:outlineLvl w:val="9"/>
    </w:pPr>
    <w:rPr>
      <w:noProof/>
    </w:rPr>
  </w:style>
  <w:style w:type="paragraph" w:styleId="Index2">
    <w:name w:val="index 2"/>
    <w:basedOn w:val="Normal"/>
    <w:next w:val="Normal"/>
    <w:semiHidden/>
    <w:rsid w:val="00311005"/>
    <w:pPr>
      <w:tabs>
        <w:tab w:val="right" w:pos="4176"/>
      </w:tabs>
      <w:ind w:left="568" w:hanging="284"/>
    </w:pPr>
    <w:rPr>
      <w:rFonts w:ascii="Garamond" w:hAnsi="Garamond"/>
    </w:rPr>
  </w:style>
  <w:style w:type="paragraph" w:customStyle="1" w:styleId="Byline">
    <w:name w:val="Byline"/>
    <w:rsid w:val="003110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005"/>
    <w:pPr>
      <w:tabs>
        <w:tab w:val="clear" w:pos="3600"/>
        <w:tab w:val="clear" w:pos="3958"/>
      </w:tabs>
      <w:jc w:val="right"/>
    </w:pPr>
  </w:style>
  <w:style w:type="character" w:styleId="Emphasis">
    <w:name w:val="Emphasis"/>
    <w:basedOn w:val="DefaultParagraphFont"/>
    <w:qFormat/>
    <w:rsid w:val="00311005"/>
    <w:rPr>
      <w:i/>
    </w:rPr>
  </w:style>
  <w:style w:type="paragraph" w:styleId="Caption">
    <w:name w:val="caption"/>
    <w:basedOn w:val="BodyText"/>
    <w:next w:val="Normal"/>
    <w:qFormat/>
    <w:rsid w:val="00311005"/>
    <w:pPr>
      <w:framePr w:w="2268" w:hSpace="181" w:vSpace="181" w:wrap="around" w:vAnchor="text" w:hAnchor="page" w:x="1135" w:y="285" w:anchorLock="1"/>
    </w:pPr>
    <w:rPr>
      <w:i/>
    </w:rPr>
  </w:style>
  <w:style w:type="paragraph" w:customStyle="1" w:styleId="MiniTOCTitle">
    <w:name w:val="MiniTOCTitle"/>
    <w:basedOn w:val="Heading4"/>
    <w:rsid w:val="00311005"/>
    <w:pPr>
      <w:spacing w:before="240"/>
      <w:outlineLvl w:val="9"/>
    </w:pPr>
    <w:rPr>
      <w:noProof/>
      <w:sz w:val="24"/>
    </w:rPr>
  </w:style>
  <w:style w:type="paragraph" w:customStyle="1" w:styleId="MiniTOCItem">
    <w:name w:val="MiniTOCItem"/>
    <w:basedOn w:val="ListBullet"/>
    <w:rsid w:val="00311005"/>
    <w:pPr>
      <w:numPr>
        <w:numId w:val="0"/>
      </w:numPr>
      <w:tabs>
        <w:tab w:val="right" w:leader="dot" w:pos="6521"/>
      </w:tabs>
      <w:spacing w:before="0" w:after="0"/>
    </w:pPr>
  </w:style>
  <w:style w:type="paragraph" w:customStyle="1" w:styleId="TOFTitle">
    <w:name w:val="TOFTitle"/>
    <w:basedOn w:val="TOCTitle"/>
    <w:rsid w:val="00311005"/>
  </w:style>
  <w:style w:type="paragraph" w:styleId="TableofFigures">
    <w:name w:val="table of figures"/>
    <w:basedOn w:val="Normal"/>
    <w:next w:val="Normal"/>
    <w:semiHidden/>
    <w:rsid w:val="00311005"/>
    <w:pPr>
      <w:tabs>
        <w:tab w:val="right" w:leader="dot" w:pos="9072"/>
      </w:tabs>
      <w:ind w:left="970" w:hanging="403"/>
    </w:pPr>
    <w:rPr>
      <w:rFonts w:ascii="Times New Roman" w:hAnsi="Times New Roman"/>
      <w:b/>
    </w:rPr>
  </w:style>
  <w:style w:type="paragraph" w:styleId="ListNumber">
    <w:name w:val="List Number"/>
    <w:basedOn w:val="List"/>
    <w:rsid w:val="00311005"/>
    <w:pPr>
      <w:numPr>
        <w:numId w:val="11"/>
      </w:numPr>
    </w:pPr>
  </w:style>
  <w:style w:type="character" w:customStyle="1" w:styleId="WingdingSymbols">
    <w:name w:val="Wingding Symbols"/>
    <w:rsid w:val="00311005"/>
    <w:rPr>
      <w:rFonts w:ascii="Wingdings" w:hAnsi="Wingdings"/>
    </w:rPr>
  </w:style>
  <w:style w:type="paragraph" w:customStyle="1" w:styleId="TableHeading">
    <w:name w:val="Table Heading"/>
    <w:basedOn w:val="HeadingBase"/>
    <w:rsid w:val="00311005"/>
    <w:pPr>
      <w:keepLines/>
      <w:pBdr>
        <w:bottom w:val="single" w:sz="6" w:space="1" w:color="918585"/>
      </w:pBdr>
      <w:spacing w:before="240"/>
    </w:pPr>
  </w:style>
  <w:style w:type="character" w:customStyle="1" w:styleId="HotSpot">
    <w:name w:val="HotSpot"/>
    <w:rsid w:val="00311005"/>
    <w:rPr>
      <w:color w:val="0033CC"/>
      <w:u w:val="none"/>
    </w:rPr>
  </w:style>
  <w:style w:type="paragraph" w:customStyle="1" w:styleId="BodyTextRight">
    <w:name w:val="Body Text Right"/>
    <w:basedOn w:val="BodyText"/>
    <w:rsid w:val="00311005"/>
    <w:pPr>
      <w:spacing w:before="0" w:after="0"/>
      <w:jc w:val="right"/>
    </w:pPr>
  </w:style>
  <w:style w:type="paragraph" w:styleId="Index3">
    <w:name w:val="index 3"/>
    <w:basedOn w:val="ListNumber2"/>
    <w:next w:val="Normal"/>
    <w:semiHidden/>
    <w:rsid w:val="00311005"/>
    <w:pPr>
      <w:numPr>
        <w:numId w:val="0"/>
      </w:numPr>
      <w:tabs>
        <w:tab w:val="right" w:leader="dot" w:pos="4176"/>
      </w:tabs>
    </w:pPr>
  </w:style>
  <w:style w:type="paragraph" w:styleId="ListNumber2">
    <w:name w:val="List Number 2"/>
    <w:basedOn w:val="List2"/>
    <w:rsid w:val="00311005"/>
    <w:pPr>
      <w:numPr>
        <w:numId w:val="10"/>
      </w:numPr>
      <w:tabs>
        <w:tab w:val="clear" w:pos="1060"/>
      </w:tabs>
    </w:pPr>
  </w:style>
  <w:style w:type="paragraph" w:customStyle="1" w:styleId="MarginNote">
    <w:name w:val="Margin Note"/>
    <w:basedOn w:val="BodyText"/>
    <w:rsid w:val="003110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0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0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1005"/>
    <w:rPr>
      <w:sz w:val="32"/>
    </w:rPr>
  </w:style>
  <w:style w:type="paragraph" w:customStyle="1" w:styleId="HeadingProcedure">
    <w:name w:val="Heading Procedure"/>
    <w:basedOn w:val="HeadingBase"/>
    <w:next w:val="Normal"/>
    <w:rsid w:val="00311005"/>
    <w:pPr>
      <w:tabs>
        <w:tab w:val="left" w:pos="0"/>
      </w:tabs>
      <w:spacing w:before="120" w:after="60"/>
    </w:pPr>
    <w:rPr>
      <w:i/>
      <w:color w:val="918585"/>
      <w:sz w:val="22"/>
    </w:rPr>
  </w:style>
  <w:style w:type="paragraph" w:customStyle="1" w:styleId="TableBodyText">
    <w:name w:val="Table Body Text"/>
    <w:basedOn w:val="BodyText"/>
    <w:rsid w:val="00311005"/>
    <w:pPr>
      <w:spacing w:before="60" w:after="60"/>
    </w:pPr>
  </w:style>
  <w:style w:type="paragraph" w:styleId="ListContinue">
    <w:name w:val="List Continue"/>
    <w:basedOn w:val="List"/>
    <w:rsid w:val="00311005"/>
    <w:pPr>
      <w:ind w:firstLine="0"/>
    </w:pPr>
  </w:style>
  <w:style w:type="paragraph" w:customStyle="1" w:styleId="ListNote">
    <w:name w:val="List Note"/>
    <w:basedOn w:val="List"/>
    <w:rsid w:val="00311005"/>
    <w:pPr>
      <w:pBdr>
        <w:top w:val="single" w:sz="6" w:space="2" w:color="918585"/>
        <w:bottom w:val="single" w:sz="6" w:space="2" w:color="918585"/>
      </w:pBdr>
      <w:tabs>
        <w:tab w:val="left" w:pos="1021"/>
      </w:tabs>
      <w:ind w:firstLine="0"/>
    </w:pPr>
  </w:style>
  <w:style w:type="paragraph" w:customStyle="1" w:styleId="Warning">
    <w:name w:val="Warning"/>
    <w:basedOn w:val="BodyText"/>
    <w:rsid w:val="00311005"/>
    <w:pPr>
      <w:shd w:val="clear" w:color="auto" w:fill="D9D9D9"/>
      <w:tabs>
        <w:tab w:val="left" w:pos="992"/>
      </w:tabs>
      <w:ind w:left="119" w:right="119"/>
    </w:pPr>
    <w:rPr>
      <w:sz w:val="20"/>
    </w:rPr>
  </w:style>
  <w:style w:type="paragraph" w:customStyle="1" w:styleId="MarginIcons">
    <w:name w:val="Margin Icons"/>
    <w:basedOn w:val="BodyText"/>
    <w:rsid w:val="003110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005"/>
    <w:rPr>
      <w:rFonts w:ascii="Courier New" w:hAnsi="Courier New"/>
    </w:rPr>
  </w:style>
  <w:style w:type="paragraph" w:customStyle="1" w:styleId="NoteBullet">
    <w:name w:val="Note Bullet"/>
    <w:basedOn w:val="Note"/>
    <w:rsid w:val="00311005"/>
    <w:pPr>
      <w:tabs>
        <w:tab w:val="clear" w:pos="680"/>
      </w:tabs>
      <w:spacing w:before="60" w:after="60"/>
    </w:pPr>
  </w:style>
  <w:style w:type="paragraph" w:customStyle="1" w:styleId="SubHeading2">
    <w:name w:val="SubHeading2"/>
    <w:basedOn w:val="HeadingBase"/>
    <w:rsid w:val="00311005"/>
    <w:pPr>
      <w:spacing w:before="240" w:after="60"/>
    </w:pPr>
    <w:rPr>
      <w:sz w:val="20"/>
    </w:rPr>
  </w:style>
  <w:style w:type="paragraph" w:customStyle="1" w:styleId="SubHeading1">
    <w:name w:val="SubHeading1"/>
    <w:basedOn w:val="HeadingBase"/>
    <w:rsid w:val="00311005"/>
    <w:pPr>
      <w:spacing w:before="240" w:after="60"/>
    </w:pPr>
    <w:rPr>
      <w:color w:val="918585"/>
      <w:sz w:val="22"/>
    </w:rPr>
  </w:style>
  <w:style w:type="paragraph" w:customStyle="1" w:styleId="SideHeading">
    <w:name w:val="Side Heading"/>
    <w:basedOn w:val="HeadingBase"/>
    <w:rsid w:val="003110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005"/>
    <w:pPr>
      <w:numPr>
        <w:numId w:val="12"/>
      </w:numPr>
    </w:pPr>
  </w:style>
  <w:style w:type="paragraph" w:styleId="PlainText">
    <w:name w:val="Plain Text"/>
    <w:basedOn w:val="Normal"/>
    <w:link w:val="PlainTextChar"/>
    <w:rsid w:val="00311005"/>
    <w:rPr>
      <w:sz w:val="20"/>
    </w:rPr>
  </w:style>
  <w:style w:type="character" w:customStyle="1" w:styleId="PlainTextChar">
    <w:name w:val="Plain Text Char"/>
    <w:basedOn w:val="DefaultParagraphFont"/>
    <w:link w:val="PlainText"/>
    <w:rsid w:val="00311005"/>
    <w:rPr>
      <w:rFonts w:ascii="Courier New" w:eastAsia="Times New Roman" w:hAnsi="Courier New" w:cs="Times New Roman"/>
      <w:sz w:val="20"/>
      <w:szCs w:val="20"/>
      <w:lang w:eastAsia="en-US"/>
    </w:rPr>
  </w:style>
  <w:style w:type="character" w:customStyle="1" w:styleId="MenuOption">
    <w:name w:val="Menu Option"/>
    <w:basedOn w:val="DefaultParagraphFont"/>
    <w:rsid w:val="00311005"/>
    <w:rPr>
      <w:b/>
      <w:smallCaps/>
    </w:rPr>
  </w:style>
  <w:style w:type="paragraph" w:customStyle="1" w:styleId="TableListNumber">
    <w:name w:val="Table List Number"/>
    <w:basedOn w:val="ListNumber"/>
    <w:rsid w:val="00311005"/>
    <w:pPr>
      <w:numPr>
        <w:numId w:val="0"/>
      </w:numPr>
    </w:pPr>
  </w:style>
  <w:style w:type="paragraph" w:styleId="TOC4">
    <w:name w:val="toc 4"/>
    <w:basedOn w:val="TOCBase"/>
    <w:next w:val="Normal"/>
    <w:semiHidden/>
    <w:rsid w:val="00311005"/>
    <w:pPr>
      <w:tabs>
        <w:tab w:val="right" w:leader="dot" w:pos="9071"/>
      </w:tabs>
      <w:ind w:left="1701"/>
    </w:pPr>
  </w:style>
  <w:style w:type="paragraph" w:customStyle="1" w:styleId="ListAlpha">
    <w:name w:val="List Alpha"/>
    <w:basedOn w:val="List"/>
    <w:rsid w:val="00311005"/>
    <w:pPr>
      <w:numPr>
        <w:numId w:val="9"/>
      </w:numPr>
    </w:pPr>
  </w:style>
  <w:style w:type="paragraph" w:customStyle="1" w:styleId="ListAlpha2">
    <w:name w:val="List Alpha 2"/>
    <w:basedOn w:val="List2"/>
    <w:rsid w:val="00311005"/>
    <w:pPr>
      <w:numPr>
        <w:numId w:val="8"/>
      </w:numPr>
    </w:pPr>
  </w:style>
  <w:style w:type="paragraph" w:styleId="List2">
    <w:name w:val="List 2"/>
    <w:basedOn w:val="BodyText"/>
    <w:rsid w:val="00311005"/>
    <w:pPr>
      <w:tabs>
        <w:tab w:val="left" w:pos="680"/>
      </w:tabs>
      <w:spacing w:before="60" w:after="60"/>
      <w:ind w:left="680" w:hanging="340"/>
    </w:pPr>
  </w:style>
  <w:style w:type="paragraph" w:styleId="List3">
    <w:name w:val="List 3"/>
    <w:basedOn w:val="BodyText"/>
    <w:rsid w:val="00311005"/>
    <w:pPr>
      <w:tabs>
        <w:tab w:val="left" w:pos="1021"/>
      </w:tabs>
      <w:spacing w:before="60" w:after="60"/>
      <w:ind w:left="1020" w:hanging="340"/>
    </w:pPr>
  </w:style>
  <w:style w:type="paragraph" w:styleId="List4">
    <w:name w:val="List 4"/>
    <w:basedOn w:val="BodyText"/>
    <w:rsid w:val="00311005"/>
    <w:pPr>
      <w:tabs>
        <w:tab w:val="left" w:pos="1361"/>
      </w:tabs>
      <w:spacing w:before="60" w:after="60"/>
      <w:ind w:left="1361" w:hanging="340"/>
    </w:pPr>
  </w:style>
  <w:style w:type="paragraph" w:styleId="List5">
    <w:name w:val="List 5"/>
    <w:basedOn w:val="BodyText"/>
    <w:rsid w:val="00311005"/>
    <w:pPr>
      <w:tabs>
        <w:tab w:val="left" w:pos="1701"/>
      </w:tabs>
      <w:spacing w:before="60" w:after="60"/>
      <w:ind w:left="1701" w:hanging="340"/>
    </w:pPr>
  </w:style>
  <w:style w:type="paragraph" w:styleId="ListBullet4">
    <w:name w:val="List Bullet 4"/>
    <w:basedOn w:val="List4"/>
    <w:rsid w:val="00311005"/>
    <w:pPr>
      <w:numPr>
        <w:numId w:val="3"/>
      </w:numPr>
    </w:pPr>
  </w:style>
  <w:style w:type="paragraph" w:styleId="ListBullet5">
    <w:name w:val="List Bullet 5"/>
    <w:basedOn w:val="List5"/>
    <w:rsid w:val="00311005"/>
    <w:pPr>
      <w:numPr>
        <w:numId w:val="4"/>
      </w:numPr>
    </w:pPr>
  </w:style>
  <w:style w:type="paragraph" w:styleId="ListContinue2">
    <w:name w:val="List Continue 2"/>
    <w:basedOn w:val="List2"/>
    <w:rsid w:val="00311005"/>
    <w:pPr>
      <w:ind w:firstLine="0"/>
    </w:pPr>
  </w:style>
  <w:style w:type="paragraph" w:styleId="ListContinue3">
    <w:name w:val="List Continue 3"/>
    <w:basedOn w:val="List3"/>
    <w:rsid w:val="00311005"/>
    <w:pPr>
      <w:ind w:left="1021" w:firstLine="0"/>
    </w:pPr>
  </w:style>
  <w:style w:type="paragraph" w:styleId="ListContinue4">
    <w:name w:val="List Continue 4"/>
    <w:basedOn w:val="List4"/>
    <w:rsid w:val="00311005"/>
    <w:pPr>
      <w:ind w:firstLine="0"/>
    </w:pPr>
  </w:style>
  <w:style w:type="paragraph" w:styleId="ListContinue5">
    <w:name w:val="List Continue 5"/>
    <w:basedOn w:val="List5"/>
    <w:rsid w:val="00311005"/>
    <w:pPr>
      <w:ind w:firstLine="0"/>
    </w:pPr>
  </w:style>
  <w:style w:type="paragraph" w:styleId="ListNumber3">
    <w:name w:val="List Number 3"/>
    <w:basedOn w:val="List3"/>
    <w:rsid w:val="00311005"/>
    <w:pPr>
      <w:numPr>
        <w:numId w:val="5"/>
      </w:numPr>
    </w:pPr>
  </w:style>
  <w:style w:type="paragraph" w:styleId="ListNumber4">
    <w:name w:val="List Number 4"/>
    <w:basedOn w:val="List4"/>
    <w:rsid w:val="00311005"/>
    <w:pPr>
      <w:numPr>
        <w:numId w:val="6"/>
      </w:numPr>
    </w:pPr>
  </w:style>
  <w:style w:type="paragraph" w:styleId="ListNumber5">
    <w:name w:val="List Number 5"/>
    <w:basedOn w:val="List5"/>
    <w:rsid w:val="00311005"/>
    <w:pPr>
      <w:numPr>
        <w:numId w:val="7"/>
      </w:numPr>
    </w:pPr>
  </w:style>
  <w:style w:type="paragraph" w:styleId="BlockText">
    <w:name w:val="Block Text"/>
    <w:basedOn w:val="Normal"/>
    <w:rsid w:val="00311005"/>
    <w:pPr>
      <w:spacing w:after="120"/>
      <w:ind w:left="1440" w:right="1440"/>
    </w:pPr>
  </w:style>
  <w:style w:type="character" w:customStyle="1" w:styleId="Subscript">
    <w:name w:val="Subscript"/>
    <w:basedOn w:val="DefaultParagraphFont"/>
    <w:rsid w:val="00311005"/>
    <w:rPr>
      <w:sz w:val="16"/>
      <w:vertAlign w:val="subscript"/>
    </w:rPr>
  </w:style>
  <w:style w:type="character" w:customStyle="1" w:styleId="Superscript">
    <w:name w:val="Superscript"/>
    <w:basedOn w:val="DefaultParagraphFont"/>
    <w:rsid w:val="00311005"/>
    <w:rPr>
      <w:sz w:val="16"/>
      <w:vertAlign w:val="superscript"/>
    </w:rPr>
  </w:style>
  <w:style w:type="character" w:customStyle="1" w:styleId="Symbols">
    <w:name w:val="Symbols"/>
    <w:basedOn w:val="DefaultParagraphFont"/>
    <w:rsid w:val="00311005"/>
    <w:rPr>
      <w:rFonts w:ascii="Symbol" w:hAnsi="Symbol"/>
    </w:rPr>
  </w:style>
  <w:style w:type="character" w:customStyle="1" w:styleId="MenuOptions">
    <w:name w:val="Menu Options"/>
    <w:basedOn w:val="DefaultParagraphFont"/>
    <w:rsid w:val="00311005"/>
    <w:rPr>
      <w:rFonts w:ascii="Arial Narrow" w:hAnsi="Arial Narrow"/>
      <w:smallCaps/>
    </w:rPr>
  </w:style>
  <w:style w:type="character" w:customStyle="1" w:styleId="Buttons">
    <w:name w:val="Buttons"/>
    <w:basedOn w:val="DefaultParagraphFont"/>
    <w:rsid w:val="00311005"/>
    <w:rPr>
      <w:b/>
    </w:rPr>
  </w:style>
  <w:style w:type="character" w:customStyle="1" w:styleId="Underlined">
    <w:name w:val="Underlined"/>
    <w:basedOn w:val="DefaultParagraphFont"/>
    <w:rsid w:val="00311005"/>
    <w:rPr>
      <w:u w:val="single"/>
    </w:rPr>
  </w:style>
  <w:style w:type="paragraph" w:customStyle="1" w:styleId="TableBodyTextRight">
    <w:name w:val="Table Body Text Right"/>
    <w:basedOn w:val="TableBodyText"/>
    <w:rsid w:val="00311005"/>
    <w:pPr>
      <w:widowControl w:val="0"/>
      <w:autoSpaceDE w:val="0"/>
      <w:autoSpaceDN w:val="0"/>
      <w:adjustRightInd w:val="0"/>
      <w:jc w:val="right"/>
    </w:pPr>
    <w:rPr>
      <w:rFonts w:cs="Arial"/>
      <w:szCs w:val="18"/>
    </w:rPr>
  </w:style>
  <w:style w:type="paragraph" w:customStyle="1" w:styleId="CopyrightText">
    <w:name w:val="Copyright Text"/>
    <w:basedOn w:val="BodyText"/>
    <w:rsid w:val="00311005"/>
    <w:rPr>
      <w:sz w:val="18"/>
    </w:rPr>
  </w:style>
  <w:style w:type="paragraph" w:customStyle="1" w:styleId="BodySmallRight">
    <w:name w:val="Body Small Right"/>
    <w:basedOn w:val="BodyTextRight"/>
    <w:rsid w:val="00311005"/>
    <w:rPr>
      <w:sz w:val="18"/>
      <w:szCs w:val="18"/>
    </w:rPr>
  </w:style>
  <w:style w:type="paragraph" w:customStyle="1" w:styleId="MarginEdition">
    <w:name w:val="Margin Edition"/>
    <w:basedOn w:val="MarginNote"/>
    <w:rsid w:val="00311005"/>
    <w:pPr>
      <w:spacing w:before="0" w:after="0"/>
    </w:pPr>
    <w:rPr>
      <w:rFonts w:ascii="Times New Roman" w:hAnsi="Times New Roman"/>
      <w:color w:val="999999"/>
    </w:rPr>
  </w:style>
  <w:style w:type="paragraph" w:customStyle="1" w:styleId="Spacer">
    <w:name w:val="Spacer"/>
    <w:basedOn w:val="Normal"/>
    <w:rsid w:val="00311005"/>
    <w:rPr>
      <w:sz w:val="2"/>
      <w:szCs w:val="2"/>
    </w:rPr>
  </w:style>
  <w:style w:type="character" w:customStyle="1" w:styleId="Small">
    <w:name w:val="Small"/>
    <w:basedOn w:val="DefaultParagraphFont"/>
    <w:rsid w:val="00311005"/>
    <w:rPr>
      <w:sz w:val="16"/>
    </w:rPr>
  </w:style>
  <w:style w:type="paragraph" w:customStyle="1" w:styleId="WideTable">
    <w:name w:val="Wide Table"/>
    <w:basedOn w:val="Normal"/>
    <w:rsid w:val="00311005"/>
    <w:pPr>
      <w:ind w:left="-1418"/>
    </w:pPr>
    <w:rPr>
      <w:sz w:val="2"/>
      <w:szCs w:val="2"/>
    </w:rPr>
  </w:style>
  <w:style w:type="character" w:styleId="PageNumber">
    <w:name w:val="page number"/>
    <w:basedOn w:val="DefaultParagraphFont"/>
    <w:rsid w:val="00311005"/>
  </w:style>
  <w:style w:type="paragraph" w:styleId="Quote">
    <w:name w:val="Quote"/>
    <w:basedOn w:val="Heading1"/>
    <w:link w:val="QuoteChar"/>
    <w:qFormat/>
    <w:rsid w:val="00311005"/>
    <w:rPr>
      <w:b w:val="0"/>
      <w:sz w:val="72"/>
      <w:szCs w:val="72"/>
      <w:lang w:val="en-NZ"/>
    </w:rPr>
  </w:style>
  <w:style w:type="character" w:customStyle="1" w:styleId="QuoteChar">
    <w:name w:val="Quote Char"/>
    <w:basedOn w:val="DefaultParagraphFont"/>
    <w:link w:val="Quote"/>
    <w:rsid w:val="003110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005"/>
    <w:pPr>
      <w:pageBreakBefore/>
    </w:pPr>
  </w:style>
  <w:style w:type="paragraph" w:customStyle="1" w:styleId="Border">
    <w:name w:val="Border"/>
    <w:basedOn w:val="Normal"/>
    <w:qFormat/>
    <w:rsid w:val="003110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005"/>
    <w:rPr>
      <w:b/>
      <w:bCs/>
      <w:i/>
      <w:iCs/>
      <w:color w:val="auto"/>
    </w:rPr>
  </w:style>
  <w:style w:type="paragraph" w:styleId="IntenseQuote">
    <w:name w:val="Intense Quote"/>
    <w:basedOn w:val="Normal"/>
    <w:next w:val="Normal"/>
    <w:link w:val="IntenseQuoteChar"/>
    <w:uiPriority w:val="30"/>
    <w:qFormat/>
    <w:rsid w:val="003110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0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1005"/>
    <w:rPr>
      <w:smallCaps/>
      <w:color w:val="auto"/>
      <w:u w:val="single"/>
    </w:rPr>
  </w:style>
  <w:style w:type="character" w:styleId="IntenseReference">
    <w:name w:val="Intense Reference"/>
    <w:basedOn w:val="DefaultParagraphFont"/>
    <w:uiPriority w:val="32"/>
    <w:qFormat/>
    <w:rsid w:val="00311005"/>
    <w:rPr>
      <w:b/>
      <w:bCs/>
      <w:smallCaps/>
      <w:color w:val="auto"/>
      <w:spacing w:val="5"/>
      <w:u w:val="single"/>
    </w:rPr>
  </w:style>
  <w:style w:type="paragraph" w:customStyle="1" w:styleId="2ColumnHeading">
    <w:name w:val="2Column Heading"/>
    <w:basedOn w:val="BodyText"/>
    <w:qFormat/>
    <w:rsid w:val="00311005"/>
    <w:pPr>
      <w:spacing w:after="60"/>
      <w:ind w:left="-2268"/>
    </w:pPr>
    <w:rPr>
      <w:b/>
    </w:rPr>
  </w:style>
  <w:style w:type="paragraph" w:customStyle="1" w:styleId="Heading1TOC">
    <w:name w:val="Heading1 TOC"/>
    <w:basedOn w:val="Normal"/>
    <w:qFormat/>
    <w:rsid w:val="00311005"/>
    <w:pPr>
      <w:spacing w:before="240" w:after="120"/>
    </w:pPr>
    <w:rPr>
      <w:rFonts w:ascii="Times New Roman" w:hAnsi="Times New Roman"/>
      <w:b/>
      <w:sz w:val="32"/>
    </w:rPr>
  </w:style>
  <w:style w:type="paragraph" w:customStyle="1" w:styleId="Heading2TOC">
    <w:name w:val="Heading2 TOC"/>
    <w:basedOn w:val="Normal"/>
    <w:qFormat/>
    <w:rsid w:val="00311005"/>
    <w:pPr>
      <w:spacing w:before="240" w:after="60"/>
    </w:pPr>
    <w:rPr>
      <w:rFonts w:ascii="Times New Roman" w:hAnsi="Times New Roman"/>
      <w:b/>
      <w:sz w:val="28"/>
    </w:rPr>
  </w:style>
  <w:style w:type="character" w:customStyle="1" w:styleId="Underline">
    <w:name w:val="Underline"/>
    <w:basedOn w:val="DefaultParagraphFont"/>
    <w:qFormat/>
    <w:rsid w:val="00311005"/>
    <w:rPr>
      <w:u w:val="single"/>
    </w:rPr>
  </w:style>
  <w:style w:type="character" w:customStyle="1" w:styleId="BoldandItalics">
    <w:name w:val="Bold and Italics"/>
    <w:qFormat/>
    <w:rsid w:val="00311005"/>
    <w:rPr>
      <w:b/>
      <w:i/>
      <w:u w:val="none"/>
    </w:rPr>
  </w:style>
  <w:style w:type="paragraph" w:styleId="BalloonText">
    <w:name w:val="Balloon Text"/>
    <w:basedOn w:val="Normal"/>
    <w:link w:val="BalloonTextChar"/>
    <w:rsid w:val="00311005"/>
    <w:rPr>
      <w:rFonts w:ascii="Tahoma" w:hAnsi="Tahoma" w:cs="Tahoma"/>
      <w:sz w:val="16"/>
      <w:szCs w:val="16"/>
    </w:rPr>
  </w:style>
  <w:style w:type="character" w:customStyle="1" w:styleId="BalloonTextChar">
    <w:name w:val="Balloon Text Char"/>
    <w:basedOn w:val="DefaultParagraphFont"/>
    <w:link w:val="BalloonText"/>
    <w:rsid w:val="003110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10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10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1005"/>
    <w:rPr>
      <w:b/>
      <w:color w:val="660033"/>
      <w:spacing w:val="0"/>
    </w:rPr>
  </w:style>
  <w:style w:type="paragraph" w:customStyle="1" w:styleId="Nameditemlist">
    <w:name w:val="Named item list"/>
    <w:basedOn w:val="BodyText"/>
    <w:qFormat/>
    <w:rsid w:val="003110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3127</Words>
  <Characters>19569</Characters>
  <Application>Microsoft Office Word</Application>
  <DocSecurity>0</DocSecurity>
  <Lines>811</Lines>
  <Paragraphs>363</Paragraphs>
  <ScaleCrop>false</ScaleCrop>
  <Company>Author-it Software Corporation Ltd.</Company>
  <LinksUpToDate>false</LinksUpToDate>
  <CharactersWithSpaces>22537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UEPOPS442A Monitor and Coordinate the Operation of a Combined Cycle Gas Turbine Unit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2012-10-11T20:58:00Z</dcterms:created>
  <dcterms:modified xsi:type="dcterms:W3CDTF">2012-10-11T20:58:00Z</dcterms:modified>
</cp:coreProperties>
</file>