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4F29" w:rsidP="00794F29">
      <w:pPr>
        <w:pStyle w:val="Title"/>
      </w:pPr>
      <w:r>
        <w:fldChar w:fldCharType="begin"/>
      </w:r>
      <w:r>
        <w:instrText xml:space="preserve"> TITLE   \* MERGEFORMAT </w:instrText>
      </w:r>
      <w:r>
        <w:fldChar w:fldCharType="separate"/>
      </w:r>
      <w:r>
        <w:t>UEPOPS435A Operate and Monitor Flue Gas Nox Mitigation Systems</w:t>
      </w:r>
      <w:r>
        <w:fldChar w:fldCharType="end"/>
      </w:r>
    </w:p>
    <w:p w:rsidR="00794F29" w:rsidP="00794F29">
      <w:pPr>
        <w:pStyle w:val="Version"/>
        <w:sectPr w:rsidSect="00B57B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7B26" w:rsidP="00B57B26">
      <w:pPr>
        <w:pStyle w:val="SuperHeading"/>
      </w:pPr>
      <w:r w:rsidRPr="00B57B26">
        <w:t>UEPOPS435A Operate and Monitor Flue Gas Nox Mitigation Systems</w:t>
      </w:r>
    </w:p>
    <w:p w:rsidR="00000000" w:rsidRPr="00B57B26" w:rsidP="00B57B26">
      <w:pPr>
        <w:pStyle w:val="Heading1"/>
      </w:pPr>
      <w:bookmarkStart w:id="1" w:name="O_275388"/>
      <w:bookmarkEnd w:id="1"/>
      <w:r w:rsidRPr="00B57B26">
        <w:t>Modification History</w:t>
      </w:r>
    </w:p>
    <w:p w:rsidR="00000000" w:rsidRPr="00B57B26" w:rsidP="00B57B26">
      <w:pPr>
        <w:pStyle w:val="BodyText"/>
      </w:pPr>
      <w:r w:rsidRPr="00B57B26">
        <w:t>Not Applicable</w:t>
      </w:r>
    </w:p>
    <w:p w:rsidR="00000000" w:rsidRPr="00B57B26" w:rsidP="00B57B26">
      <w:pPr>
        <w:pStyle w:val="AllowPageBreak"/>
      </w:pPr>
    </w:p>
    <w:p w:rsidR="00000000" w:rsidRPr="00B57B26" w:rsidP="00B57B26">
      <w:pPr>
        <w:pStyle w:val="Heading1"/>
      </w:pPr>
      <w:bookmarkStart w:id="2" w:name="O_230910"/>
      <w:bookmarkEnd w:id="2"/>
      <w:r w:rsidRPr="00B57B26">
        <w:t>Unit Descriptor</w:t>
      </w:r>
    </w:p>
    <w:tbl>
      <w:tblPr>
        <w:tblW w:w="0" w:type="auto"/>
        <w:tblLayout w:type="fixed"/>
        <w:tblCellMar>
          <w:left w:w="62" w:type="dxa"/>
          <w:right w:w="62" w:type="dxa"/>
        </w:tblCellMar>
        <w:tblLook w:val="0000"/>
      </w:tblPr>
      <w:tblGrid>
        <w:gridCol w:w="2700"/>
        <w:gridCol w:w="5760"/>
      </w:tblGrid>
      <w:tr w:rsidTr="00794F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7B26" w:rsidP="00B57B26">
            <w:pPr>
              <w:pStyle w:val="BodyText"/>
            </w:pPr>
            <w:r w:rsidRPr="00B57B2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rPr>
                <w:rStyle w:val="SpecialBold"/>
              </w:rPr>
              <w:t>1</w:t>
            </w:r>
            <w:r w:rsidRPr="00B57B26">
              <w:t xml:space="preserve">) </w:t>
            </w:r>
          </w:p>
        </w:tc>
      </w:tr>
      <w:tr w:rsidTr="00794F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7B26" w:rsidP="00B57B26">
            <w:pPr>
              <w:pStyle w:val="BodyText"/>
            </w:pPr>
            <w:r w:rsidRPr="00B57B26">
              <w:t xml:space="preserve">This unit deals with the skills and knowledge required for the operation, inspection and monitoring of flue gas Nox mitigation systems. </w:t>
            </w:r>
          </w:p>
          <w:p w:rsidR="00000000" w:rsidRPr="00B57B26" w:rsidP="00B57B26">
            <w:pPr>
              <w:pStyle w:val="BodyText"/>
            </w:pPr>
            <w:r w:rsidRPr="00B57B26">
              <w:t>Flue gas (Nox) mitigation systems are those associated with coal, gas, oil and biomass fired thermal power stations, an</w:t>
            </w:r>
            <w:r w:rsidRPr="00B57B26">
              <w:t>d oil and/or gas fired gas turbine power stations and combined cycle power stations</w:t>
            </w:r>
          </w:p>
        </w:tc>
      </w:tr>
    </w:tbl>
    <w:p w:rsidR="00794F29" w:rsidP="00B57B26">
      <w:pPr>
        <w:pStyle w:val="BodyText"/>
      </w:pPr>
    </w:p>
    <w:p w:rsidR="00794F29" w:rsidP="00B57B26">
      <w:pPr>
        <w:pStyle w:val="BodyText"/>
      </w:pPr>
    </w:p>
    <w:p w:rsidR="00000000" w:rsidRPr="00B57B26" w:rsidP="00B57B26">
      <w:pPr>
        <w:pStyle w:val="Heading1"/>
      </w:pPr>
      <w:bookmarkStart w:id="3" w:name="O_230913"/>
      <w:bookmarkEnd w:id="3"/>
      <w:r w:rsidRPr="00B57B26">
        <w:t>Application of the Unit</w:t>
      </w:r>
    </w:p>
    <w:tbl>
      <w:tblPr>
        <w:tblW w:w="0" w:type="auto"/>
        <w:tblLayout w:type="fixed"/>
        <w:tblCellMar>
          <w:left w:w="62" w:type="dxa"/>
          <w:right w:w="62" w:type="dxa"/>
        </w:tblCellMar>
        <w:tblLook w:val="0000"/>
      </w:tblPr>
      <w:tblGrid>
        <w:gridCol w:w="2700"/>
        <w:gridCol w:w="5760"/>
      </w:tblGrid>
      <w:tr w:rsidTr="00794F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7B26" w:rsidP="00B57B26">
            <w:pPr>
              <w:pStyle w:val="BodyText"/>
            </w:pPr>
            <w:r w:rsidRPr="00B57B2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rPr>
                <w:rStyle w:val="SpecialBold"/>
              </w:rPr>
              <w:t>3</w:t>
            </w:r>
            <w:r w:rsidRPr="00B57B26">
              <w:t xml:space="preserve">) </w:t>
            </w:r>
          </w:p>
        </w:tc>
      </w:tr>
      <w:tr w:rsidTr="00794F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This unit is intended to augment formally acquired competencies.</w:t>
            </w:r>
          </w:p>
        </w:tc>
      </w:tr>
      <w:tr w:rsidTr="00794F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57B26" w:rsidP="00B57B26">
            <w:pPr>
              <w:pStyle w:val="BodyText"/>
            </w:pPr>
            <w:r w:rsidRPr="00B57B26">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rPr>
                <w:rStyle w:val="SpecialBold"/>
              </w:rPr>
              <w:t>3</w:t>
            </w:r>
            <w:r w:rsidRPr="00B57B26">
              <w:t>.</w:t>
            </w:r>
            <w:r w:rsidRPr="00B57B26">
              <w:rPr>
                <w:rStyle w:val="SpecialBold"/>
              </w:rPr>
              <w:t>1</w:t>
            </w:r>
            <w:r w:rsidRPr="00B57B26">
              <w:t xml:space="preserve">) </w:t>
            </w:r>
          </w:p>
        </w:tc>
      </w:tr>
      <w:tr w:rsidTr="00794F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7B26" w:rsidP="00B57B26">
            <w:pPr>
              <w:pStyle w:val="BodyText"/>
            </w:pPr>
            <w:r w:rsidRPr="00B57B26">
              <w:t>The skills and knowledge described in this unit do not require a licence to practise in the workplace. However, practice in this unit is subject to regulations directly related to Occupational Health and Safety.</w:t>
            </w:r>
          </w:p>
        </w:tc>
      </w:tr>
    </w:tbl>
    <w:p w:rsidR="00794F29" w:rsidP="00B57B26">
      <w:pPr>
        <w:pStyle w:val="BodyText"/>
      </w:pPr>
    </w:p>
    <w:p w:rsidR="00794F29" w:rsidP="00B57B26">
      <w:pPr>
        <w:pStyle w:val="BodyText"/>
      </w:pPr>
    </w:p>
    <w:p w:rsidR="00000000" w:rsidRPr="00B57B26" w:rsidP="00B57B26">
      <w:pPr>
        <w:pStyle w:val="Heading1"/>
      </w:pPr>
      <w:bookmarkStart w:id="4" w:name="O_282922"/>
      <w:bookmarkEnd w:id="4"/>
      <w:r w:rsidRPr="00B57B26">
        <w:t>Licensing/Regulatory Inf</w:t>
      </w:r>
      <w:r w:rsidRPr="00B57B26">
        <w:t>ormation</w:t>
      </w:r>
    </w:p>
    <w:p w:rsidR="00000000" w:rsidRPr="00B57B26" w:rsidP="00B57B26">
      <w:pPr>
        <w:pStyle w:val="BodyText"/>
      </w:pPr>
      <w:r w:rsidRPr="00B57B26">
        <w:t>Not Applicable</w:t>
      </w:r>
    </w:p>
    <w:p w:rsidR="00000000" w:rsidRPr="00B57B26" w:rsidP="00B57B26">
      <w:pPr>
        <w:pStyle w:val="AllowPageBreak"/>
      </w:pPr>
    </w:p>
    <w:p w:rsidR="00000000" w:rsidRPr="00B57B26" w:rsidP="00B57B26">
      <w:pPr>
        <w:pStyle w:val="Heading1"/>
      </w:pPr>
      <w:bookmarkStart w:id="5" w:name="O_230911"/>
      <w:bookmarkEnd w:id="5"/>
      <w:r w:rsidRPr="00B57B26">
        <w:t>Pre-Requisites</w:t>
      </w:r>
    </w:p>
    <w:tbl>
      <w:tblPr>
        <w:tblW w:w="0" w:type="auto"/>
        <w:tblLayout w:type="fixed"/>
        <w:tblCellMar>
          <w:left w:w="62" w:type="dxa"/>
          <w:right w:w="62" w:type="dxa"/>
        </w:tblCellMar>
        <w:tblLook w:val="0000"/>
      </w:tblPr>
      <w:tblGrid>
        <w:gridCol w:w="2700"/>
        <w:gridCol w:w="5760"/>
      </w:tblGrid>
      <w:tr w:rsidTr="00794F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7B26" w:rsidP="00B57B26">
            <w:pPr>
              <w:pStyle w:val="BodyText"/>
            </w:pPr>
            <w:r w:rsidRPr="00B57B26">
              <w:rPr>
                <w:rStyle w:val="SpecialBold"/>
              </w:rPr>
              <w:t>Prerequisite Unit</w:t>
            </w:r>
            <w:r w:rsidRPr="00B57B26">
              <w:t>(</w:t>
            </w:r>
            <w:r w:rsidRPr="00B57B26">
              <w:rPr>
                <w:rStyle w:val="SpecialBold"/>
              </w:rPr>
              <w:t>s</w:t>
            </w:r>
            <w:r w:rsidRPr="00B57B26">
              <w:t>)</w:t>
            </w:r>
          </w:p>
        </w:tc>
        <w:tc>
          <w:tcPr>
            <w:tcW w:w="576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rPr>
                <w:rStyle w:val="SpecialBold"/>
              </w:rPr>
              <w:t>2</w:t>
            </w:r>
            <w:r w:rsidRPr="00B57B26">
              <w:t xml:space="preserve">) </w:t>
            </w:r>
          </w:p>
        </w:tc>
      </w:tr>
      <w:tr w:rsidTr="00794F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57B26" w:rsidP="00B57B26">
            <w:pPr>
              <w:pStyle w:val="BodyText"/>
            </w:pPr>
            <w:r w:rsidRPr="00B57B26">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rPr>
                <w:rStyle w:val="SpecialBold"/>
              </w:rPr>
              <w:t>2</w:t>
            </w:r>
            <w:r w:rsidRPr="00B57B26">
              <w:t>.</w:t>
            </w:r>
            <w:r w:rsidRPr="00B57B26">
              <w:rPr>
                <w:rStyle w:val="SpecialBold"/>
              </w:rPr>
              <w:t>1</w:t>
            </w:r>
            <w:r w:rsidRPr="00B57B26">
              <w:t xml:space="preserve">) </w:t>
            </w:r>
          </w:p>
        </w:tc>
      </w:tr>
      <w:tr w:rsidTr="00794F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7B26" w:rsidP="00B57B26">
            <w:pPr>
              <w:pStyle w:val="BodyText"/>
            </w:pPr>
            <w:r w:rsidRPr="00B57B26">
              <w:t>There are no prerequisite units.</w:t>
            </w:r>
          </w:p>
        </w:tc>
      </w:tr>
    </w:tbl>
    <w:p w:rsidR="00794F29" w:rsidP="00B57B26">
      <w:pPr>
        <w:pStyle w:val="BodyText"/>
      </w:pPr>
    </w:p>
    <w:p w:rsidR="00794F29" w:rsidP="00B57B26">
      <w:pPr>
        <w:pStyle w:val="BodyText"/>
      </w:pPr>
    </w:p>
    <w:p w:rsidR="00000000" w:rsidRPr="00B57B26" w:rsidP="00B57B26">
      <w:pPr>
        <w:pStyle w:val="Heading1"/>
      </w:pPr>
      <w:bookmarkStart w:id="6" w:name="O_285637"/>
      <w:bookmarkEnd w:id="6"/>
      <w:r w:rsidRPr="00B57B26">
        <w:t>Employability Skills Information</w:t>
      </w:r>
    </w:p>
    <w:p w:rsidR="00000000" w:rsidRPr="00B57B26" w:rsidP="00B57B26">
      <w:pPr>
        <w:pStyle w:val="BodyText"/>
      </w:pPr>
      <w:r w:rsidRPr="00B57B26">
        <w:t>Refer to the Evidence Guide</w:t>
      </w:r>
    </w:p>
    <w:p w:rsidR="00000000" w:rsidRPr="00B57B26" w:rsidP="00B57B26">
      <w:pPr>
        <w:pStyle w:val="AllowPageBreak"/>
      </w:pPr>
    </w:p>
    <w:p w:rsidR="00000000" w:rsidRPr="00B57B26" w:rsidP="00B57B26">
      <w:pPr>
        <w:pStyle w:val="Heading1"/>
      </w:pPr>
      <w:bookmarkStart w:id="7" w:name="O_293434"/>
      <w:bookmarkEnd w:id="7"/>
      <w:r w:rsidRPr="00B57B26">
        <w:t>Elements and Performance Criteria Pre-Content</w:t>
      </w:r>
    </w:p>
    <w:tbl>
      <w:tblPr>
        <w:tblW w:w="0" w:type="auto"/>
        <w:tblLayout w:type="fixed"/>
        <w:tblCellMar>
          <w:left w:w="62" w:type="dxa"/>
          <w:right w:w="62" w:type="dxa"/>
        </w:tblCellMar>
        <w:tblLook w:val="0000"/>
      </w:tblPr>
      <w:tblGrid>
        <w:gridCol w:w="2700"/>
        <w:gridCol w:w="5760"/>
      </w:tblGrid>
      <w:tr w:rsidTr="00794F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rPr>
                <w:rStyle w:val="SpecialBold"/>
              </w:rPr>
              <w:t>5</w:t>
            </w:r>
            <w:r w:rsidRPr="00B57B26">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57B26" w:rsidP="00B57B26">
            <w:pPr>
              <w:pStyle w:val="BodyText"/>
            </w:pPr>
            <w:r w:rsidRPr="00B57B26">
              <w:t>Performance Criteria describe the required performance needed to demonstrate achievement of the element. Assessment of performance is to be co</w:t>
            </w:r>
            <w:r w:rsidRPr="00B57B26">
              <w:t>nsistent with the Evidence Guide.</w:t>
            </w:r>
          </w:p>
        </w:tc>
      </w:tr>
    </w:tbl>
    <w:p w:rsidR="00000000" w:rsidRPr="00B57B26" w:rsidP="00B57B26">
      <w:pPr>
        <w:pStyle w:val="BodyText"/>
      </w:pPr>
    </w:p>
    <w:p w:rsidR="00000000" w:rsidRPr="00B57B26" w:rsidP="00B57B26">
      <w:pPr>
        <w:pStyle w:val="AllowPageBreak"/>
      </w:pPr>
    </w:p>
    <w:p w:rsidR="00000000" w:rsidRPr="00B57B26" w:rsidP="00B57B26">
      <w:pPr>
        <w:pStyle w:val="Heading1"/>
      </w:pPr>
      <w:bookmarkStart w:id="8" w:name="O_240102"/>
      <w:bookmarkEnd w:id="8"/>
      <w:r w:rsidRPr="00B57B2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94F2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57B26" w:rsidP="00B57B26">
            <w:pPr>
              <w:pStyle w:val="BodyText"/>
            </w:pPr>
            <w:r w:rsidRPr="00B57B2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rPr>
                <w:rStyle w:val="SpecialBold"/>
              </w:rPr>
              <w:t>PERFORMANCE CRITERIA</w:t>
            </w:r>
          </w:p>
        </w:tc>
      </w:tr>
      <w:tr w:rsidTr="00794F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1</w:t>
            </w:r>
          </w:p>
        </w:tc>
        <w:tc>
          <w:tcPr>
            <w:tcW w:w="2296" w:type="dxa"/>
            <w:vMerge w:val="restart"/>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Plan and prepare work</w:t>
            </w:r>
          </w:p>
        </w:tc>
        <w:tc>
          <w:tcPr>
            <w:tcW w:w="90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1.1</w:t>
            </w:r>
          </w:p>
        </w:tc>
        <w:tc>
          <w:tcPr>
            <w:tcW w:w="486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Safety issues are identified to comply with enterprise/site and legislative requirements</w:t>
            </w:r>
          </w:p>
        </w:tc>
      </w:tr>
      <w:tr w:rsidTr="00794F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1.2</w:t>
            </w:r>
          </w:p>
        </w:tc>
        <w:tc>
          <w:tcPr>
            <w:tcW w:w="486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Work requirements are identified from relevant personnel and documentation</w:t>
            </w:r>
          </w:p>
        </w:tc>
      </w:tr>
      <w:tr w:rsidTr="00794F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1.3</w:t>
            </w:r>
          </w:p>
        </w:tc>
        <w:tc>
          <w:tcPr>
            <w:tcW w:w="486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Localised plant inspection, pre-operational checks and field preparations for service are carried out in accordance with manufacturer's and enterprise/site procedures</w:t>
            </w:r>
          </w:p>
        </w:tc>
      </w:tr>
      <w:tr w:rsidTr="00794F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1.4</w:t>
            </w:r>
          </w:p>
        </w:tc>
        <w:tc>
          <w:tcPr>
            <w:tcW w:w="486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Plant operational prerequisites are established in accordance with manufacturer's and enterprise/site procedures</w:t>
            </w:r>
          </w:p>
        </w:tc>
      </w:tr>
      <w:tr w:rsidTr="00794F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1.5</w:t>
            </w:r>
          </w:p>
        </w:tc>
        <w:tc>
          <w:tcPr>
            <w:tcW w:w="486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Sequence for recommissioning of plant is determined to suit existing circumstances in accordance with enterprise/site requirements</w:t>
            </w:r>
          </w:p>
        </w:tc>
      </w:tr>
      <w:tr w:rsidTr="00794F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1.6</w:t>
            </w:r>
          </w:p>
        </w:tc>
        <w:tc>
          <w:tcPr>
            <w:tcW w:w="486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 xml:space="preserve">Where appropriate, the teams and individuals roles and responsibilities within the team are identified and, where required, assist in the provision of the on-the-job training </w:t>
            </w:r>
          </w:p>
        </w:tc>
      </w:tr>
      <w:tr w:rsidTr="00794F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2</w:t>
            </w:r>
          </w:p>
        </w:tc>
        <w:tc>
          <w:tcPr>
            <w:tcW w:w="2296" w:type="dxa"/>
            <w:vMerge w:val="restart"/>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Operate plant</w:t>
            </w:r>
          </w:p>
        </w:tc>
        <w:tc>
          <w:tcPr>
            <w:tcW w:w="90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2.1</w:t>
            </w:r>
          </w:p>
        </w:tc>
        <w:tc>
          <w:tcPr>
            <w:tcW w:w="486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Plant is operated in accordance with enterprise and man</w:t>
            </w:r>
            <w:r w:rsidRPr="00B57B26">
              <w:t>ufacturer's operating procedures</w:t>
            </w:r>
          </w:p>
        </w:tc>
      </w:tr>
      <w:tr w:rsidTr="00794F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2.2</w:t>
            </w:r>
          </w:p>
        </w:tc>
        <w:tc>
          <w:tcPr>
            <w:tcW w:w="486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Plant is monitored and observed to detect deviations from normal operating conditions</w:t>
            </w:r>
          </w:p>
        </w:tc>
      </w:tr>
      <w:tr w:rsidTr="00794F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2.3</w:t>
            </w:r>
          </w:p>
        </w:tc>
        <w:tc>
          <w:tcPr>
            <w:tcW w:w="486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Corrective actions taken or reported, to rectify abnormalities, are in accordance with industry standards and site requirements</w:t>
            </w:r>
          </w:p>
        </w:tc>
      </w:tr>
      <w:tr w:rsidTr="00794F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3</w:t>
            </w:r>
          </w:p>
        </w:tc>
        <w:tc>
          <w:tcPr>
            <w:tcW w:w="2296" w:type="dxa"/>
            <w:vMerge w:val="restart"/>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Test plant operation</w:t>
            </w:r>
          </w:p>
        </w:tc>
        <w:tc>
          <w:tcPr>
            <w:tcW w:w="90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3.1</w:t>
            </w:r>
          </w:p>
        </w:tc>
        <w:tc>
          <w:tcPr>
            <w:tcW w:w="486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Tests are performed in accordance with defined procedures applicable to the operational test</w:t>
            </w:r>
          </w:p>
        </w:tc>
      </w:tr>
      <w:tr w:rsidTr="00794F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3.2</w:t>
            </w:r>
          </w:p>
        </w:tc>
        <w:tc>
          <w:tcPr>
            <w:tcW w:w="486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Plant is observed for correct operational response</w:t>
            </w:r>
          </w:p>
        </w:tc>
      </w:tr>
      <w:tr w:rsidTr="00794F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3.3</w:t>
            </w:r>
          </w:p>
        </w:tc>
        <w:tc>
          <w:tcPr>
            <w:tcW w:w="486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Corrective action is taken when response is not in accordance with documentation, plant integrity or personnel safety requirements</w:t>
            </w:r>
          </w:p>
        </w:tc>
      </w:tr>
      <w:tr w:rsidTr="00794F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3.4</w:t>
            </w:r>
          </w:p>
        </w:tc>
        <w:tc>
          <w:tcPr>
            <w:tcW w:w="486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Plant is returned to required operational status upon comple</w:t>
            </w:r>
            <w:r w:rsidRPr="00B57B26">
              <w:t>tion of test</w:t>
            </w:r>
          </w:p>
        </w:tc>
      </w:tr>
      <w:tr w:rsidTr="00794F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4</w:t>
            </w:r>
          </w:p>
        </w:tc>
        <w:tc>
          <w:tcPr>
            <w:tcW w:w="2296"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Analyse plant faults</w:t>
            </w:r>
          </w:p>
        </w:tc>
        <w:tc>
          <w:tcPr>
            <w:tcW w:w="90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4.1</w:t>
            </w:r>
          </w:p>
        </w:tc>
        <w:tc>
          <w:tcPr>
            <w:tcW w:w="486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Causes of abnormal plant operating conditions are identified by analysing the technical and operational information in a logical and sequential manner</w:t>
            </w:r>
          </w:p>
        </w:tc>
      </w:tr>
      <w:tr w:rsidTr="00794F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4.2</w:t>
            </w:r>
          </w:p>
        </w:tc>
        <w:tc>
          <w:tcPr>
            <w:tcW w:w="486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Corrective action taken is in accordance with enterprise/site procedures</w:t>
            </w:r>
          </w:p>
        </w:tc>
      </w:tr>
      <w:tr w:rsidTr="00794F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4.3</w:t>
            </w:r>
          </w:p>
        </w:tc>
        <w:tc>
          <w:tcPr>
            <w:tcW w:w="486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Plant integrity and personnel safety is maintained through consultation with appropriate personnel, and with reference to plant, technical and operational documentation</w:t>
            </w:r>
          </w:p>
        </w:tc>
      </w:tr>
      <w:tr w:rsidTr="00794F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5</w:t>
            </w:r>
          </w:p>
        </w:tc>
        <w:tc>
          <w:tcPr>
            <w:tcW w:w="2296" w:type="dxa"/>
            <w:vMerge w:val="restart"/>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Monitor and inspect plant</w:t>
            </w:r>
          </w:p>
        </w:tc>
        <w:tc>
          <w:tcPr>
            <w:tcW w:w="90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5.1</w:t>
            </w:r>
          </w:p>
        </w:tc>
        <w:tc>
          <w:tcPr>
            <w:tcW w:w="486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Plant to be monitored/inspected is physically identified</w:t>
            </w:r>
          </w:p>
        </w:tc>
      </w:tr>
      <w:tr w:rsidTr="00794F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5.2</w:t>
            </w:r>
          </w:p>
        </w:tc>
        <w:tc>
          <w:tcPr>
            <w:tcW w:w="486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Plant is monitored/inspected for normal operation or to detect deviations</w:t>
            </w:r>
          </w:p>
        </w:tc>
      </w:tr>
      <w:tr w:rsidTr="00794F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5.3</w:t>
            </w:r>
          </w:p>
        </w:tc>
        <w:tc>
          <w:tcPr>
            <w:tcW w:w="486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Corrective action taken is in accordance with enterprise/site procedures</w:t>
            </w:r>
          </w:p>
        </w:tc>
      </w:tr>
      <w:tr w:rsidTr="00794F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5.4</w:t>
            </w:r>
          </w:p>
        </w:tc>
        <w:tc>
          <w:tcPr>
            <w:tcW w:w="486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Appropriate personnel are notified when defects are detected</w:t>
            </w:r>
          </w:p>
        </w:tc>
      </w:tr>
      <w:tr w:rsidTr="00794F2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6</w:t>
            </w:r>
          </w:p>
        </w:tc>
        <w:tc>
          <w:tcPr>
            <w:tcW w:w="2296"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Complete documentation</w:t>
            </w:r>
          </w:p>
        </w:tc>
        <w:tc>
          <w:tcPr>
            <w:tcW w:w="90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6.1</w:t>
            </w:r>
          </w:p>
        </w:tc>
        <w:tc>
          <w:tcPr>
            <w:tcW w:w="4860" w:type="dxa"/>
            <w:tcBorders>
              <w:top w:val="nil"/>
              <w:left w:val="nil"/>
              <w:bottom w:val="nil"/>
              <w:right w:val="nil"/>
            </w:tcBorders>
            <w:tcMar>
              <w:top w:w="0" w:type="dxa"/>
              <w:left w:w="62" w:type="dxa"/>
              <w:bottom w:w="0" w:type="dxa"/>
              <w:right w:w="62" w:type="dxa"/>
            </w:tcMar>
          </w:tcPr>
          <w:p w:rsidR="00000000" w:rsidRPr="00B57B26" w:rsidP="00B57B26">
            <w:pPr>
              <w:pStyle w:val="BodyText"/>
            </w:pPr>
            <w:r w:rsidRPr="00B57B26">
              <w:t>Documentation is updated and plant problems, movements and abnormalities and status are reported and logged in accordance with enterprise/site procedures</w:t>
            </w:r>
          </w:p>
        </w:tc>
      </w:tr>
    </w:tbl>
    <w:p w:rsidR="00794F29" w:rsidP="00B57B26">
      <w:pPr>
        <w:pStyle w:val="BodyText"/>
      </w:pPr>
    </w:p>
    <w:p w:rsidR="00794F29" w:rsidP="00B57B26">
      <w:pPr>
        <w:pStyle w:val="BodyText"/>
      </w:pPr>
    </w:p>
    <w:p w:rsidR="00000000" w:rsidRPr="00B57B26" w:rsidP="00B57B26">
      <w:pPr>
        <w:pStyle w:val="Heading1"/>
      </w:pPr>
      <w:bookmarkStart w:id="9" w:name="O_263893"/>
      <w:bookmarkEnd w:id="9"/>
      <w:r w:rsidRPr="00B57B26">
        <w:t>Required Skills and Knowledge</w:t>
      </w:r>
    </w:p>
    <w:tbl>
      <w:tblPr>
        <w:tblW w:w="0" w:type="auto"/>
        <w:tblLayout w:type="fixed"/>
        <w:tblCellMar>
          <w:left w:w="62" w:type="dxa"/>
          <w:right w:w="62" w:type="dxa"/>
        </w:tblCellMar>
        <w:tblLook w:val="0000"/>
      </w:tblPr>
      <w:tblGrid>
        <w:gridCol w:w="2700"/>
        <w:gridCol w:w="5760"/>
      </w:tblGrid>
      <w:tr w:rsidTr="00794F2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rPr>
                <w:rStyle w:val="SpecialBold"/>
              </w:rPr>
              <w:t>REQUIRED SKILLS AND KNOWLEDGE</w:t>
            </w:r>
          </w:p>
        </w:tc>
      </w:tr>
      <w:tr w:rsidTr="00794F2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rPr>
                <w:rStyle w:val="SpecialBold"/>
              </w:rPr>
              <w:t>6</w:t>
            </w:r>
            <w:r w:rsidRPr="00B57B26">
              <w:t>) This describes the essential skills and knowledge and their level, required for this unit.</w:t>
            </w:r>
          </w:p>
        </w:tc>
      </w:tr>
      <w:tr w:rsidTr="00794F2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57B26" w:rsidP="00B57B26">
            <w:pPr>
              <w:pStyle w:val="BodyText"/>
            </w:pPr>
            <w:r w:rsidRPr="00B57B26">
              <w:t>Evidence shall show that knowledge has been acquired operating and monito</w:t>
            </w:r>
            <w:r w:rsidRPr="00B57B26">
              <w:t>ring flue gas (Nox) mitigation systems.</w:t>
            </w:r>
          </w:p>
          <w:p w:rsidR="00000000" w:rsidP="00B57B26">
            <w:pPr>
              <w:pStyle w:val="BodyText"/>
              <w:rPr>
                <w:lang w:val="en-NZ"/>
              </w:rPr>
            </w:pPr>
            <w:r w:rsidRPr="00B57B26">
              <w:t>The extent of the Essential Knowledge and Associated Skills required follows:</w:t>
            </w:r>
          </w:p>
        </w:tc>
      </w:tr>
      <w:tr w:rsidTr="00794F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7B26" w:rsidP="00B57B26">
            <w:pPr>
              <w:pStyle w:val="BodyText"/>
            </w:pPr>
            <w:r w:rsidRPr="00B57B26">
              <w:t>Evidence shall show that knowledge has been acquired for safe working practices of:</w:t>
            </w:r>
          </w:p>
          <w:p w:rsidR="00000000" w:rsidRPr="00B57B26" w:rsidP="00B57B26">
            <w:pPr>
              <w:pStyle w:val="ListBullet3"/>
            </w:pPr>
            <w:r w:rsidRPr="00B57B26">
              <w:t>Relevant Occupational Health and Safety regulation</w:t>
            </w:r>
            <w:r w:rsidRPr="00B57B26">
              <w:t xml:space="preserve">s </w:t>
            </w:r>
          </w:p>
          <w:p w:rsidR="00000000" w:rsidRPr="00B57B26" w:rsidP="00B57B26">
            <w:pPr>
              <w:pStyle w:val="ListBullet3"/>
            </w:pPr>
            <w:r w:rsidRPr="00B57B26">
              <w:t xml:space="preserve">Relevant statutory legislation </w:t>
            </w:r>
          </w:p>
          <w:p w:rsidR="00000000" w:rsidRPr="00B57B26" w:rsidP="00B57B26">
            <w:pPr>
              <w:pStyle w:val="ListBullet3"/>
            </w:pPr>
            <w:r w:rsidRPr="00B57B26">
              <w:t xml:space="preserve">Environmental legislation </w:t>
            </w:r>
          </w:p>
          <w:p w:rsidR="00000000" w:rsidRPr="00B57B26" w:rsidP="00B57B26">
            <w:pPr>
              <w:pStyle w:val="ListBullet3"/>
            </w:pPr>
            <w:r w:rsidRPr="00B57B26">
              <w:t xml:space="preserve">Relevant enterprise/site safety procedures </w:t>
            </w:r>
          </w:p>
          <w:p w:rsidR="00000000" w:rsidRPr="00B57B26" w:rsidP="00B57B26">
            <w:pPr>
              <w:pStyle w:val="ListBullet3"/>
            </w:pPr>
            <w:r w:rsidRPr="00B57B26">
              <w:t xml:space="preserve">Enterprise/site emergency procedures and techniques </w:t>
            </w:r>
          </w:p>
          <w:p w:rsidR="00000000" w:rsidRPr="00B57B26" w:rsidP="00B57B26">
            <w:pPr>
              <w:pStyle w:val="ListBullet3"/>
            </w:pPr>
            <w:r w:rsidRPr="00B57B26">
              <w:t xml:space="preserve">Enterprise recording procedures </w:t>
            </w:r>
          </w:p>
          <w:p w:rsidR="00000000" w:rsidRPr="00B57B26" w:rsidP="00B57B26">
            <w:pPr>
              <w:pStyle w:val="ListBullet3"/>
            </w:pPr>
            <w:r w:rsidRPr="00B57B26">
              <w:t xml:space="preserve">Communication principles </w:t>
            </w:r>
          </w:p>
          <w:p w:rsidR="00000000" w:rsidRPr="00B57B26" w:rsidP="00B57B26">
            <w:pPr>
              <w:pStyle w:val="ListBullet3"/>
            </w:pPr>
            <w:r w:rsidRPr="00B57B26">
              <w:t xml:space="preserve">Control and data acquisition systems </w:t>
            </w:r>
          </w:p>
          <w:p w:rsidR="00000000" w:rsidRPr="00B57B26" w:rsidP="00B57B26">
            <w:pPr>
              <w:pStyle w:val="ListBullet3"/>
            </w:pPr>
            <w:r w:rsidRPr="00B57B26">
              <w:t xml:space="preserve">Computers and software </w:t>
            </w:r>
          </w:p>
          <w:p w:rsidR="00000000" w:rsidRPr="00B57B26" w:rsidP="00B57B26">
            <w:pPr>
              <w:pStyle w:val="ListBullet3"/>
            </w:pPr>
            <w:r w:rsidRPr="00B57B26">
              <w:t xml:space="preserve">Mechanical and electrical supervisory, </w:t>
            </w:r>
          </w:p>
          <w:p w:rsidR="00000000" w:rsidRPr="00B57B26" w:rsidP="00B57B26">
            <w:pPr>
              <w:pStyle w:val="ListBullet3"/>
            </w:pPr>
            <w:r w:rsidRPr="00B57B26">
              <w:t xml:space="preserve">Alarm, protection and control equipment </w:t>
            </w:r>
          </w:p>
          <w:p w:rsidR="00000000" w:rsidRPr="00B57B26" w:rsidP="00B57B26">
            <w:pPr>
              <w:pStyle w:val="ListBullet3"/>
            </w:pPr>
            <w:r w:rsidRPr="00B57B26">
              <w:t>Enterprise/site standard operating procedures; safe operating principles</w:t>
            </w:r>
          </w:p>
          <w:p w:rsidR="00000000" w:rsidRPr="00B57B26" w:rsidP="00B57B26">
            <w:pPr>
              <w:pStyle w:val="ListBullet3"/>
            </w:pPr>
            <w:r w:rsidRPr="00B57B26">
              <w:t>Mathematics, mechanics, physics, chemistry and electrical principles</w:t>
            </w:r>
          </w:p>
          <w:p w:rsidR="00000000" w:rsidRPr="00B57B26" w:rsidP="00B57B26">
            <w:pPr>
              <w:pStyle w:val="ListBullet3"/>
            </w:pPr>
            <w:r w:rsidRPr="00B57B26">
              <w:t>Motor per</w:t>
            </w:r>
            <w:r w:rsidRPr="00B57B26">
              <w:t xml:space="preserve">formance characteristics </w:t>
            </w:r>
          </w:p>
          <w:p w:rsidR="00000000" w:rsidRPr="00B57B26" w:rsidP="00B57B26">
            <w:pPr>
              <w:pStyle w:val="ListBullet3"/>
            </w:pPr>
            <w:r w:rsidRPr="00B57B26">
              <w:t xml:space="preserve">Pump and compressor performance characteristics </w:t>
            </w:r>
          </w:p>
          <w:p w:rsidR="00000000" w:rsidRPr="00B57B26" w:rsidP="00B57B26">
            <w:pPr>
              <w:pStyle w:val="ListBullet3"/>
            </w:pPr>
            <w:r w:rsidRPr="00B57B26">
              <w:t>Valve, damper and actuator types and performance characteristics.</w:t>
            </w:r>
          </w:p>
          <w:p w:rsidR="00000000" w:rsidRPr="00B57B26" w:rsidP="00B57B26">
            <w:pPr>
              <w:pStyle w:val="ListBullet3"/>
            </w:pPr>
            <w:r w:rsidRPr="00B57B26">
              <w:t xml:space="preserve">The principles of Nox generation during the combustion process within fossil fuelled boilers and gas turbines </w:t>
            </w:r>
          </w:p>
          <w:p w:rsidR="00000000" w:rsidRPr="00B57B26" w:rsidP="00B57B26">
            <w:pPr>
              <w:pStyle w:val="ListBullet3"/>
            </w:pPr>
            <w:r w:rsidRPr="00B57B26">
              <w:t xml:space="preserve">The </w:t>
            </w:r>
            <w:r w:rsidRPr="00B57B26">
              <w:t xml:space="preserve">principles of Nox emission control using technologies such as: water or steam injection, boosted over-fire air, ammonia injection, selective catalytic reduction, selective non-catalytic reduction or rich reagent injection </w:t>
            </w:r>
          </w:p>
          <w:p w:rsidR="00000000" w:rsidRPr="00B57B26" w:rsidP="00B57B26">
            <w:pPr>
              <w:pStyle w:val="ListBullet3"/>
            </w:pPr>
            <w:r w:rsidRPr="00B57B26">
              <w:t xml:space="preserve">The arrangement of heat recovery </w:t>
            </w:r>
            <w:r w:rsidRPr="00B57B26">
              <w:t xml:space="preserve">steam generator and conventional boiler gas paths </w:t>
            </w:r>
          </w:p>
          <w:p w:rsidR="00000000" w:rsidRPr="00B57B26" w:rsidP="00B57B26">
            <w:pPr>
              <w:pStyle w:val="ListBullet3"/>
            </w:pPr>
            <w:r w:rsidRPr="00B57B26">
              <w:t>Nox emission control system components and their interaction with other plant and equipment external to that covered by this competency</w:t>
            </w:r>
          </w:p>
          <w:p w:rsidR="00000000" w:rsidRPr="00B57B26" w:rsidP="00B57B26">
            <w:pPr>
              <w:pStyle w:val="ListBullet3"/>
            </w:pPr>
            <w:r w:rsidRPr="00B57B26">
              <w:t xml:space="preserve">AC and DC electrical distribution systems </w:t>
            </w:r>
          </w:p>
          <w:p w:rsidR="00000000" w:rsidRPr="00B57B26" w:rsidP="00B57B26">
            <w:pPr>
              <w:pStyle w:val="ListBullet3"/>
            </w:pPr>
            <w:r w:rsidRPr="00B57B26">
              <w:t>Electric motors; switchgea</w:t>
            </w:r>
            <w:r w:rsidRPr="00B57B26">
              <w:t>r</w:t>
            </w:r>
          </w:p>
          <w:p w:rsidR="00000000" w:rsidRPr="00B57B26" w:rsidP="00B57B26">
            <w:pPr>
              <w:pStyle w:val="ListBullet3"/>
            </w:pPr>
            <w:r w:rsidRPr="00B57B26">
              <w:t xml:space="preserve">Station water distribution systems </w:t>
            </w:r>
          </w:p>
          <w:p w:rsidR="00000000" w:rsidRPr="00B57B26" w:rsidP="00B57B26">
            <w:pPr>
              <w:pStyle w:val="ListBullet3"/>
            </w:pPr>
            <w:r w:rsidRPr="00B57B26">
              <w:t xml:space="preserve">Fire protection control systems </w:t>
            </w:r>
          </w:p>
          <w:p w:rsidR="00000000" w:rsidRPr="00B57B26" w:rsidP="00B57B26">
            <w:pPr>
              <w:pStyle w:val="ListBullet3"/>
            </w:pPr>
            <w:r w:rsidRPr="00B57B26">
              <w:t xml:space="preserve">Compressed air systems </w:t>
            </w:r>
          </w:p>
          <w:p w:rsidR="00000000" w:rsidP="00B57B26">
            <w:pPr>
              <w:pStyle w:val="ListBullet3"/>
              <w:rPr>
                <w:lang w:val="en-NZ"/>
              </w:rPr>
            </w:pPr>
            <w:r w:rsidRPr="00B57B26">
              <w:t>Auxiliary supply systems.</w:t>
            </w:r>
          </w:p>
        </w:tc>
      </w:tr>
      <w:tr w:rsidTr="00794F29">
        <w:tblPrEx>
          <w:tblW w:w="0" w:type="auto"/>
          <w:tblLayout w:type="fixed"/>
          <w:tblCellMar>
            <w:left w:w="62" w:type="dxa"/>
            <w:right w:w="62" w:type="dxa"/>
          </w:tblCellMar>
          <w:tblLook w:val="0000"/>
        </w:tblPrEx>
        <w:tc>
          <w:tcPr>
            <w:tcW w:w="270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single" w:sz="6" w:space="0" w:color="auto"/>
              <w:right w:val="nil"/>
            </w:tcBorders>
            <w:tcMar>
              <w:top w:w="0" w:type="dxa"/>
              <w:left w:w="62" w:type="dxa"/>
              <w:bottom w:w="0" w:type="dxa"/>
              <w:right w:w="62" w:type="dxa"/>
            </w:tcMar>
          </w:tcPr>
          <w:p w:rsidR="00000000" w:rsidRPr="00B57B26" w:rsidP="00B57B26">
            <w:pPr>
              <w:pStyle w:val="BodyText"/>
            </w:pPr>
            <w:r w:rsidRPr="00B57B26">
              <w:t>Specific skills needed to achieve the Performance Criteria:</w:t>
            </w:r>
          </w:p>
          <w:p w:rsidR="00000000" w:rsidRPr="00B57B26" w:rsidP="00B57B26">
            <w:pPr>
              <w:pStyle w:val="ListBullet3"/>
            </w:pPr>
            <w:r w:rsidRPr="00B57B26">
              <w:t>Apply relevant Occupational Health and Safety regulations</w:t>
            </w:r>
          </w:p>
          <w:p w:rsidR="00000000" w:rsidRPr="00B57B26" w:rsidP="00B57B26">
            <w:pPr>
              <w:pStyle w:val="ListBullet3"/>
            </w:pPr>
            <w:r w:rsidRPr="00B57B26">
              <w:t>Apply relevant statutory legislation;</w:t>
            </w:r>
          </w:p>
          <w:p w:rsidR="00000000" w:rsidRPr="00B57B26" w:rsidP="00B57B26">
            <w:pPr>
              <w:pStyle w:val="ListBullet3"/>
            </w:pPr>
            <w:r w:rsidRPr="00B57B26">
              <w:t xml:space="preserve">Apply relevant enterprise/site safety procedures; </w:t>
            </w:r>
          </w:p>
          <w:p w:rsidR="00000000" w:rsidRPr="00B57B26" w:rsidP="00B57B26">
            <w:pPr>
              <w:pStyle w:val="ListBullet3"/>
            </w:pPr>
            <w:r w:rsidRPr="00B57B26">
              <w:t xml:space="preserve">Apply enterprise/site emergency procedures and techniques </w:t>
            </w:r>
          </w:p>
          <w:p w:rsidR="00000000" w:rsidRPr="00B57B26" w:rsidP="00B57B26">
            <w:pPr>
              <w:pStyle w:val="ListBullet3"/>
            </w:pPr>
            <w:r w:rsidRPr="00B57B26">
              <w:t xml:space="preserve">Apply enterprise/site standard operating procedures and safe operating principles </w:t>
            </w:r>
          </w:p>
          <w:p w:rsidR="00000000" w:rsidRPr="00B57B26" w:rsidP="00B57B26">
            <w:pPr>
              <w:pStyle w:val="ListBullet3"/>
            </w:pPr>
            <w:r w:rsidRPr="00B57B26">
              <w:t>Apply enterprise recordin</w:t>
            </w:r>
            <w:r w:rsidRPr="00B57B26">
              <w:t xml:space="preserve">g procedures </w:t>
            </w:r>
          </w:p>
          <w:p w:rsidR="00000000" w:rsidRPr="00B57B26" w:rsidP="00B57B26">
            <w:pPr>
              <w:pStyle w:val="ListBullet3"/>
            </w:pPr>
            <w:r w:rsidRPr="00B57B26">
              <w:t xml:space="preserve">Use and interpret diagrams, drawings and symbols </w:t>
            </w:r>
          </w:p>
          <w:p w:rsidR="00000000" w:rsidRPr="00B57B26" w:rsidP="00B57B26">
            <w:pPr>
              <w:pStyle w:val="ListBullet3"/>
            </w:pPr>
            <w:r w:rsidRPr="00B57B26">
              <w:t xml:space="preserve">Communicate effectively </w:t>
            </w:r>
          </w:p>
          <w:p w:rsidR="00000000" w:rsidRPr="00B57B26" w:rsidP="00B57B26">
            <w:pPr>
              <w:pStyle w:val="ListBullet3"/>
            </w:pPr>
            <w:r w:rsidRPr="00B57B26">
              <w:t xml:space="preserve">Plan and prioritise work </w:t>
            </w:r>
          </w:p>
          <w:p w:rsidR="00000000" w:rsidRPr="00B57B26" w:rsidP="00B57B26">
            <w:pPr>
              <w:pStyle w:val="ListBullet3"/>
            </w:pPr>
            <w:r w:rsidRPr="00B57B26">
              <w:t xml:space="preserve">Organise resources </w:t>
            </w:r>
          </w:p>
          <w:p w:rsidR="00000000" w:rsidRPr="00B57B26" w:rsidP="00B57B26">
            <w:pPr>
              <w:pStyle w:val="ListBullet3"/>
            </w:pPr>
            <w:r w:rsidRPr="00B57B26">
              <w:t xml:space="preserve">Identify plant status </w:t>
            </w:r>
          </w:p>
          <w:p w:rsidR="00000000" w:rsidRPr="00B57B26" w:rsidP="00B57B26">
            <w:pPr>
              <w:pStyle w:val="ListBullet3"/>
            </w:pPr>
            <w:r w:rsidRPr="00B57B26">
              <w:t xml:space="preserve">Prepare plant/equipment for operation </w:t>
            </w:r>
          </w:p>
          <w:p w:rsidR="00000000" w:rsidRPr="00B57B26" w:rsidP="00B57B26">
            <w:pPr>
              <w:pStyle w:val="ListBullet3"/>
            </w:pPr>
            <w:r w:rsidRPr="00B57B26">
              <w:t xml:space="preserve">Use relevant hand tools </w:t>
            </w:r>
          </w:p>
          <w:p w:rsidR="00000000" w:rsidRPr="00B57B26" w:rsidP="00B57B26">
            <w:pPr>
              <w:pStyle w:val="ListBullet3"/>
            </w:pPr>
            <w:r w:rsidRPr="00B57B26">
              <w:t xml:space="preserve">Operate Nox emission control plant and equipment </w:t>
            </w:r>
          </w:p>
          <w:p w:rsidR="00000000" w:rsidRPr="00B57B26" w:rsidP="00B57B26">
            <w:pPr>
              <w:pStyle w:val="ListBullet3"/>
            </w:pPr>
            <w:r w:rsidRPr="00B57B26">
              <w:t xml:space="preserve">Apply diagnostic and testing techniques </w:t>
            </w:r>
          </w:p>
          <w:p w:rsidR="00000000" w:rsidRPr="00B57B26" w:rsidP="00B57B26">
            <w:pPr>
              <w:pStyle w:val="ListBullet3"/>
            </w:pPr>
            <w:r w:rsidRPr="00B57B26">
              <w:t xml:space="preserve">Identify and respond to abnormal plant operating conditions </w:t>
            </w:r>
          </w:p>
          <w:p w:rsidR="00000000" w:rsidRPr="00B57B26" w:rsidP="00B57B26">
            <w:pPr>
              <w:pStyle w:val="ListBullet3"/>
            </w:pPr>
            <w:r w:rsidRPr="00B57B26">
              <w:t xml:space="preserve">Apply data analysis techniques and tools </w:t>
            </w:r>
          </w:p>
          <w:p w:rsidR="00000000" w:rsidRPr="00B57B26" w:rsidP="00B57B26">
            <w:pPr>
              <w:pStyle w:val="ListBullet3"/>
            </w:pPr>
            <w:r w:rsidRPr="00B57B26">
              <w:t>Coordinate the operation of equipment in such a manner as to m</w:t>
            </w:r>
            <w:r w:rsidRPr="00B57B26">
              <w:t>aintain plant integrity, personnel safety, continuity of supply and optimum efficiency.</w:t>
            </w:r>
          </w:p>
        </w:tc>
      </w:tr>
    </w:tbl>
    <w:p w:rsidR="00794F29" w:rsidP="00B57B26">
      <w:pPr>
        <w:pStyle w:val="BodyText"/>
      </w:pPr>
    </w:p>
    <w:p w:rsidR="00794F29" w:rsidP="00B57B26">
      <w:pPr>
        <w:pStyle w:val="BodyText"/>
      </w:pPr>
    </w:p>
    <w:p w:rsidR="00000000" w:rsidRPr="00B57B26" w:rsidP="00B57B26">
      <w:pPr>
        <w:pStyle w:val="Heading1"/>
      </w:pPr>
      <w:bookmarkStart w:id="10" w:name="O_248085"/>
      <w:bookmarkEnd w:id="10"/>
      <w:r w:rsidRPr="00B57B26">
        <w:t>Evidence Guide</w:t>
      </w:r>
    </w:p>
    <w:tbl>
      <w:tblPr>
        <w:tblW w:w="0" w:type="auto"/>
        <w:tblLayout w:type="fixed"/>
        <w:tblCellMar>
          <w:left w:w="62" w:type="dxa"/>
          <w:right w:w="62" w:type="dxa"/>
        </w:tblCellMar>
        <w:tblLook w:val="0000"/>
      </w:tblPr>
      <w:tblGrid>
        <w:gridCol w:w="2160"/>
        <w:gridCol w:w="1620"/>
        <w:gridCol w:w="4680"/>
      </w:tblGrid>
      <w:tr w:rsidTr="00794F2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rPr>
                <w:rStyle w:val="SpecialBold"/>
              </w:rPr>
              <w:t>EVIDENCE GUIDE</w:t>
            </w:r>
          </w:p>
        </w:tc>
      </w:tr>
      <w:tr w:rsidTr="00794F2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57B26" w:rsidP="00B57B26">
            <w:pPr>
              <w:pStyle w:val="BodyText"/>
            </w:pPr>
            <w:r w:rsidRPr="00B57B26">
              <w:rPr>
                <w:rStyle w:val="SpecialBold"/>
              </w:rPr>
              <w:t>8</w:t>
            </w:r>
            <w:r w:rsidRPr="00B57B26">
              <w:t xml:space="preserve">) This provides essential advice for assessment of the competency standard unit and  must be read </w:t>
            </w:r>
            <w:r w:rsidRPr="00B57B26">
              <w:t>in conjunction with the Performance Criteria and the Range Statement of the unit and  the Training Package Assessment Guidelines.</w:t>
            </w:r>
          </w:p>
          <w:p w:rsidR="00000000" w:rsidP="00B57B26">
            <w:pPr>
              <w:pStyle w:val="BodyText"/>
              <w:rPr>
                <w:lang w:val="en-NZ"/>
              </w:rPr>
            </w:pPr>
            <w:r w:rsidRPr="00B57B26">
              <w:t>The Evidence Guide forms an integral part of this competency standard unit and shall be used in conjunction with all component</w:t>
            </w:r>
            <w:r w:rsidRPr="00B57B26">
              <w:t>s parts of this unit and, performed in accordance with the Assessment Guidelines of this Training Package.</w:t>
            </w:r>
          </w:p>
        </w:tc>
      </w:tr>
      <w:tr w:rsidTr="00794F2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57B26" w:rsidP="00B57B26">
            <w:pPr>
              <w:pStyle w:val="BodyText"/>
            </w:pPr>
            <w:r w:rsidRPr="00B57B26">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B57B26" w:rsidP="00B57B26">
            <w:pPr>
              <w:pStyle w:val="BodyText"/>
            </w:pPr>
            <w:r w:rsidRPr="00B57B26">
              <w:rPr>
                <w:rStyle w:val="SpecialBold"/>
              </w:rPr>
              <w:t>8</w:t>
            </w:r>
            <w:r w:rsidRPr="00B57B26">
              <w:t>.</w:t>
            </w:r>
            <w:r w:rsidRPr="00B57B26">
              <w:rPr>
                <w:rStyle w:val="SpecialBold"/>
              </w:rPr>
              <w:t>1</w:t>
            </w:r>
            <w:r w:rsidRPr="00B57B26">
              <w:t xml:space="preserve">) </w:t>
            </w:r>
          </w:p>
          <w:p w:rsidR="00000000" w:rsidRPr="00B57B26" w:rsidP="00B57B26">
            <w:pPr>
              <w:pStyle w:val="BodyText"/>
            </w:pPr>
            <w:r w:rsidRPr="00B57B26">
              <w:t>Longitude competency development approaches to assessment, such as Profiling, require data to be reliably gathered in</w:t>
            </w:r>
            <w:r w:rsidRPr="00B57B26">
              <w:t xml:space="preserve"> a form that can be consistently interpreted over time. This approach is best utilised in Apprenticeship programs and reduces assessment intervention. It is the Industry preferred model for apprenticeships. However, where summative (or final) assessment is</w:t>
            </w:r>
            <w:r w:rsidRPr="00B57B26">
              <w:t xml:space="preserve"> used it is to include the application of the competency in the normal work environment or, at a minimum, the application of the competency in a realistically simulated work environment. It is recognised that, in some circumstances, assessment in part or f</w:t>
            </w:r>
            <w:r w:rsidRPr="00B57B26">
              <w:t>ull can occur outside the workplace. However, it must be in accord with Industry and regulatory policy.</w:t>
            </w:r>
          </w:p>
          <w:p w:rsidR="00000000" w:rsidRPr="00B57B26" w:rsidP="00B57B26">
            <w:pPr>
              <w:pStyle w:val="BodyText"/>
            </w:pPr>
            <w:r w:rsidRPr="00B57B26">
              <w:t>Methods chosen for a particular assessment will be influenced by various factors. These include the extent of the assessment, the most effective locatio</w:t>
            </w:r>
            <w:r w:rsidRPr="00B57B26">
              <w:t>ns for the assessment activities to take place, access to physical resources, additional safety measures that may be required and the critical nature of the competencies being assessed.</w:t>
            </w:r>
          </w:p>
          <w:p w:rsidR="00000000" w:rsidRPr="00B57B26" w:rsidP="00B57B26">
            <w:pPr>
              <w:pStyle w:val="BodyText"/>
            </w:pPr>
            <w:r w:rsidRPr="00B57B26">
              <w:t>The critical safety nature of working with electricity, electrical equ</w:t>
            </w:r>
            <w:r w:rsidRPr="00B57B26">
              <w:t>ipment, gas or any other hazardous substance/material carries risk in deeming a person competent. Hence, sources of evidence need to be 'rich' in nature so as to minimise error in judgment.</w:t>
            </w:r>
          </w:p>
          <w:p w:rsidR="00000000" w:rsidP="00B57B26">
            <w:pPr>
              <w:pStyle w:val="BodyText"/>
              <w:rPr>
                <w:lang w:val="en-NZ"/>
              </w:rPr>
            </w:pPr>
            <w:r w:rsidRPr="00B57B26">
              <w:t>Activities associated with normal every day work have a bearing on</w:t>
            </w:r>
            <w:r w:rsidRPr="00B57B26">
              <w:t xml:space="preserve"> the decision as to how much and how detailed the data gathered will contribute to its 'richness'. Some skills are more critical to safety and operational requirements while the same skills may be more or less frequently practised. These points are raised </w:t>
            </w:r>
            <w:r w:rsidRPr="00B57B26">
              <w:t>for the assessors to consider when choosing an assessment method and developing assessment instruments. Sample assessment instruments are included in the Assessment Guidelines of this Training Package.</w:t>
            </w:r>
          </w:p>
        </w:tc>
      </w:tr>
      <w:tr w:rsidTr="00794F2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57B26" w:rsidP="00B57B26">
            <w:pPr>
              <w:pStyle w:val="BodyText"/>
            </w:pPr>
            <w:r w:rsidRPr="00B57B26">
              <w:rPr>
                <w:rStyle w:val="SpecialBold"/>
              </w:rPr>
              <w:t>Critical aspects o</w:t>
            </w:r>
            <w:r w:rsidRPr="00B57B26">
              <w:rPr>
                <w:rStyle w:val="SpecialBold"/>
              </w:rPr>
              <w:t>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B57B26" w:rsidP="00B57B26">
            <w:pPr>
              <w:pStyle w:val="BodyText"/>
            </w:pPr>
            <w:r w:rsidRPr="00B57B26">
              <w:rPr>
                <w:rStyle w:val="SpecialBold"/>
              </w:rPr>
              <w:t>8</w:t>
            </w:r>
            <w:r w:rsidRPr="00B57B26">
              <w:t>.</w:t>
            </w:r>
            <w:r w:rsidRPr="00B57B26">
              <w:rPr>
                <w:rStyle w:val="SpecialBold"/>
              </w:rPr>
              <w:t>2</w:t>
            </w:r>
            <w:r w:rsidRPr="00B57B26">
              <w:t xml:space="preserve">) </w:t>
            </w:r>
          </w:p>
          <w:p w:rsidR="00000000" w:rsidP="00B57B26">
            <w:pPr>
              <w:pStyle w:val="BodyText"/>
              <w:rPr>
                <w:lang w:val="en-NZ"/>
              </w:rPr>
            </w:pPr>
            <w:r w:rsidRPr="00B57B26">
              <w:t>Before the critical aspects of evidence are considered all prerequisites shall be met.</w:t>
            </w:r>
          </w:p>
        </w:tc>
      </w:tr>
      <w:tr w:rsidTr="00794F2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B57B26" w:rsidP="00B57B26">
            <w:pPr>
              <w:pStyle w:val="BodyText"/>
            </w:pPr>
            <w:r w:rsidRPr="00B57B26">
              <w:t>Evidence for competence in this unit shall be considered holistically.  Each element and associated P</w:t>
            </w:r>
            <w:r w:rsidRPr="00B57B26">
              <w:t>erformance Criteria shall be demonstrated on at least two occasions in accordance with the "Assessment Guidelines - UEP06".  Evidence shall also comprise:</w:t>
            </w:r>
          </w:p>
          <w:p w:rsidR="00000000" w:rsidP="00B57B26">
            <w:pPr>
              <w:pStyle w:val="ListBullet"/>
              <w:rPr>
                <w:lang w:val="en-NZ"/>
              </w:rPr>
            </w:pPr>
            <w:r w:rsidRPr="00B57B26">
              <w:t xml:space="preserve">A representative body of Performance Criteria demonstrated within the timeframes typically expected </w:t>
            </w:r>
            <w:r w:rsidRPr="00B57B26">
              <w:t>of the discipline, work function and industrial environment. In particular this shall incorporate evidence that shows a candidate is able to:</w:t>
            </w:r>
          </w:p>
        </w:tc>
      </w:tr>
      <w:tr w:rsidTr="00794F2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B57B26" w:rsidP="00B57B26">
            <w:pPr>
              <w:pStyle w:val="ListBullet3"/>
            </w:pPr>
            <w:r w:rsidRPr="00B57B26">
              <w:t xml:space="preserve">Implement Occupational Health and Safety workplace procedures and practices including </w:t>
            </w:r>
            <w:r w:rsidRPr="00B57B26">
              <w:t>the use of risk control measures as specified in the Performance Criteria and Range Statement</w:t>
            </w:r>
          </w:p>
          <w:p w:rsidR="00000000" w:rsidRPr="00B57B26" w:rsidP="00B57B26">
            <w:pPr>
              <w:pStyle w:val="ListBullet3"/>
            </w:pPr>
            <w:r w:rsidRPr="00B57B26">
              <w:t>Apply sustainable energy principles and practices as specified in the Performance Criteria and Range Statement</w:t>
            </w:r>
          </w:p>
          <w:p w:rsidR="00000000" w:rsidRPr="00B57B26" w:rsidP="00B57B26">
            <w:pPr>
              <w:pStyle w:val="ListBullet3"/>
            </w:pPr>
            <w:r w:rsidRPr="00B57B26">
              <w:t>Demonstrate an understanding of the essential knowledge and associated skills as described in 6) Essential Knowledge and Associated Skills of this unit</w:t>
            </w:r>
          </w:p>
          <w:p w:rsidR="00000000" w:rsidRPr="00B57B26" w:rsidP="00B57B26">
            <w:pPr>
              <w:pStyle w:val="ListBullet3"/>
            </w:pPr>
            <w:r w:rsidRPr="00B57B26">
              <w:t>Demonstrate an appropriate level of skills enabling employment</w:t>
            </w:r>
          </w:p>
          <w:p w:rsidR="00000000" w:rsidP="00B57B26">
            <w:pPr>
              <w:pStyle w:val="ListBullet3"/>
              <w:rPr>
                <w:lang w:val="en-NZ"/>
              </w:rPr>
            </w:pPr>
            <w:r w:rsidRPr="00B57B26">
              <w:t xml:space="preserve">Conduct work observing the relevant Anti </w:t>
            </w:r>
            <w:r w:rsidRPr="00B57B26">
              <w:t>Discrimination legislation, regulations, polices and workplace procedure</w:t>
            </w:r>
          </w:p>
        </w:tc>
      </w:tr>
      <w:tr w:rsidTr="00794F2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57B26">
            <w:pPr>
              <w:pStyle w:val="ListBullet"/>
              <w:rPr>
                <w:lang w:val="en-NZ"/>
              </w:rPr>
            </w:pPr>
            <w:r w:rsidRPr="00B57B26">
              <w:t>Demonstrated performance across a representative range of contexts from the prescribed items below:</w:t>
            </w:r>
          </w:p>
        </w:tc>
      </w:tr>
      <w:tr w:rsidTr="00794F2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B57B26" w:rsidP="00B57B26">
            <w:pPr>
              <w:pStyle w:val="ListBullet3"/>
            </w:pPr>
            <w:r w:rsidRPr="00B57B26">
              <w:t>The knowledge and application of relevant sections of occupational, health and safety legislation; statutory legislation; enterprise/site safety procedures; enterprise/site standard operating procedures and safe operating principles; enterprise/site emerge</w:t>
            </w:r>
            <w:r w:rsidRPr="00B57B26">
              <w:t>ncy procedures</w:t>
            </w:r>
          </w:p>
          <w:p w:rsidR="00000000" w:rsidRPr="00B57B26" w:rsidP="00B57B26">
            <w:pPr>
              <w:pStyle w:val="ListBullet3"/>
            </w:pPr>
            <w:r w:rsidRPr="00B57B26">
              <w:t xml:space="preserve">The knowledge of the principles of Nox generation during the combustion process within fossil fuelled boilers and gas turbines </w:t>
            </w:r>
          </w:p>
          <w:p w:rsidR="00000000" w:rsidRPr="00B57B26" w:rsidP="00B57B26">
            <w:pPr>
              <w:pStyle w:val="ListBullet3"/>
            </w:pPr>
            <w:r w:rsidRPr="00B57B26">
              <w:t>The knowledge of principles and techniques of operation of Nox emission control plant and equipment</w:t>
            </w:r>
          </w:p>
          <w:p w:rsidR="00000000" w:rsidRPr="00B57B26" w:rsidP="00B57B26">
            <w:pPr>
              <w:pStyle w:val="ListBullet3"/>
            </w:pPr>
            <w:r w:rsidRPr="00B57B26">
              <w:t>The knowledge of system components and the manner in which these components interact with other plant and equipment</w:t>
            </w:r>
          </w:p>
          <w:p w:rsidR="00000000" w:rsidRPr="00B57B26" w:rsidP="00B57B26">
            <w:pPr>
              <w:pStyle w:val="ListBullet3"/>
            </w:pPr>
            <w:r w:rsidRPr="00B57B26">
              <w:t>The knowledge of operational testing of plant</w:t>
            </w:r>
          </w:p>
          <w:p w:rsidR="00000000" w:rsidRPr="00B57B26" w:rsidP="00B57B26">
            <w:pPr>
              <w:pStyle w:val="ListBullet3"/>
            </w:pPr>
            <w:r w:rsidRPr="00B57B26">
              <w:t>The ability to prepare and plan work</w:t>
            </w:r>
          </w:p>
          <w:p w:rsidR="00000000" w:rsidRPr="00B57B26" w:rsidP="00B57B26">
            <w:pPr>
              <w:pStyle w:val="ListBullet3"/>
            </w:pPr>
            <w:r w:rsidRPr="00B57B26">
              <w:t>The ability to prepare plant/equipment for operation</w:t>
            </w:r>
          </w:p>
          <w:p w:rsidR="00000000" w:rsidRPr="00B57B26" w:rsidP="00B57B26">
            <w:pPr>
              <w:pStyle w:val="ListBullet3"/>
            </w:pPr>
            <w:r w:rsidRPr="00B57B26">
              <w:t xml:space="preserve">The </w:t>
            </w:r>
            <w:r w:rsidRPr="00B57B26">
              <w:t>ability to operate and monitor plant/equipment in accordance with enterprise/site standard operating procedures and safe operating principles</w:t>
            </w:r>
          </w:p>
          <w:p w:rsidR="00000000" w:rsidRPr="00B57B26" w:rsidP="00B57B26">
            <w:pPr>
              <w:pStyle w:val="ListBullet3"/>
            </w:pPr>
            <w:r w:rsidRPr="00B57B26">
              <w:t>The ability to analyse plant faults</w:t>
            </w:r>
          </w:p>
          <w:p w:rsidR="00000000" w:rsidP="00B57B26">
            <w:pPr>
              <w:pStyle w:val="ListBullet3"/>
              <w:rPr>
                <w:lang w:val="en-NZ"/>
              </w:rPr>
            </w:pPr>
            <w:r w:rsidRPr="00B57B26">
              <w:t>Dealing with an unplanned event by drawing on essential knowledge and skills t</w:t>
            </w:r>
            <w:r w:rsidRPr="00B57B26">
              <w:t>o provide appropriate solutions incorporated in the holistic assessment with the above listed items.</w:t>
            </w:r>
          </w:p>
        </w:tc>
      </w:tr>
      <w:tr w:rsidTr="00794F2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57B26" w:rsidP="00B57B26">
            <w:pPr>
              <w:pStyle w:val="BodyText"/>
            </w:pPr>
            <w:r w:rsidRPr="00B57B26">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B57B26" w:rsidP="00B57B26">
            <w:pPr>
              <w:pStyle w:val="BodyText"/>
            </w:pPr>
            <w:r w:rsidRPr="00B57B26">
              <w:rPr>
                <w:rStyle w:val="SpecialBold"/>
              </w:rPr>
              <w:t>8</w:t>
            </w:r>
            <w:r w:rsidRPr="00B57B26">
              <w:t>.</w:t>
            </w:r>
            <w:r w:rsidRPr="00B57B26">
              <w:rPr>
                <w:rStyle w:val="SpecialBold"/>
              </w:rPr>
              <w:t>3</w:t>
            </w:r>
            <w:r w:rsidRPr="00B57B26">
              <w:t xml:space="preserve">) </w:t>
            </w:r>
          </w:p>
          <w:p w:rsidR="00000000" w:rsidRPr="00B57B26" w:rsidP="00B57B26">
            <w:pPr>
              <w:pStyle w:val="BodyText"/>
            </w:pPr>
            <w:r w:rsidRPr="00B57B26">
              <w:t>This unit should be assessed as it relates to normal work practice using procedures, information and resources typical of a workplace. This should include:</w:t>
            </w:r>
          </w:p>
          <w:p w:rsidR="00000000" w:rsidRPr="00B57B26" w:rsidP="00B57B26">
            <w:pPr>
              <w:pStyle w:val="ListBullet"/>
            </w:pPr>
            <w:r w:rsidRPr="00B57B26">
              <w:t>OHS policy and work procedures and instructions.</w:t>
            </w:r>
          </w:p>
          <w:p w:rsidR="00000000" w:rsidRPr="00B57B26" w:rsidP="00B57B26">
            <w:pPr>
              <w:pStyle w:val="ListBullet"/>
            </w:pPr>
            <w:r w:rsidRPr="00B57B26">
              <w:t>Suitable work environment, facilities, equipment and materials to undertake actual work as prescribed by this unit.</w:t>
            </w:r>
          </w:p>
          <w:p w:rsidR="00000000" w:rsidRPr="00B57B26" w:rsidP="00B57B26">
            <w:pPr>
              <w:pStyle w:val="BodyText"/>
            </w:pPr>
            <w:r w:rsidRPr="00B57B26">
              <w:t>Competency Standards should be assessed in the workplace or simulated workplace and under the normal range of workplace conditions.</w:t>
            </w:r>
          </w:p>
          <w:p w:rsidR="00000000" w:rsidP="00B57B26">
            <w:pPr>
              <w:pStyle w:val="BodyText"/>
              <w:rPr>
                <w:lang w:val="en-NZ"/>
              </w:rPr>
            </w:pPr>
            <w:r w:rsidRPr="00B57B26">
              <w:t>Assessme</w:t>
            </w:r>
            <w:r w:rsidRPr="00B57B26">
              <w:t>nt of this unit will be supported with documentary evidence, by means of endorsement stating type and application of work.</w:t>
            </w:r>
          </w:p>
        </w:tc>
      </w:tr>
      <w:tr w:rsidTr="00794F2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In addition to the resources listed above in Context of assessment', evidence should show competency working in limited spaces wit</w:t>
            </w:r>
            <w:r w:rsidRPr="00B57B26">
              <w:t>h different types of plant and equipment as well as different structural/construction types and methods and in a variety of environments.</w:t>
            </w:r>
          </w:p>
        </w:tc>
      </w:tr>
      <w:tr w:rsidTr="00794F2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57B26" w:rsidP="00B57B26">
            <w:pPr>
              <w:pStyle w:val="BodyText"/>
            </w:pPr>
            <w:r w:rsidRPr="00B57B26">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B57B26" w:rsidP="00B57B26">
            <w:pPr>
              <w:pStyle w:val="BodyText"/>
            </w:pPr>
            <w:r w:rsidRPr="00B57B26">
              <w:rPr>
                <w:rStyle w:val="SpecialBold"/>
              </w:rPr>
              <w:t>8</w:t>
            </w:r>
            <w:r w:rsidRPr="00B57B26">
              <w:t>.</w:t>
            </w:r>
            <w:r w:rsidRPr="00B57B26">
              <w:rPr>
                <w:rStyle w:val="SpecialBold"/>
              </w:rPr>
              <w:t>4</w:t>
            </w:r>
            <w:r w:rsidRPr="00B57B26">
              <w:t xml:space="preserve">) </w:t>
            </w:r>
          </w:p>
          <w:p w:rsidR="00000000" w:rsidRPr="00B57B26" w:rsidP="00B57B26">
            <w:pPr>
              <w:pStyle w:val="BodyText"/>
            </w:pPr>
            <w:r w:rsidRPr="00B57B26">
              <w:t>This unit shall be assessed by methods given in Volume 1, Part 3 "Assessment Guidelines".</w:t>
            </w:r>
          </w:p>
          <w:p w:rsidR="00000000" w:rsidP="00B57B26">
            <w:pPr>
              <w:pStyle w:val="BodyText"/>
              <w:rPr>
                <w:lang w:val="en-NZ"/>
              </w:rPr>
            </w:pPr>
            <w:r w:rsidRPr="00B57B26">
              <w:t>Note:</w:t>
            </w:r>
            <w:r w:rsidRPr="00B57B26">
              <w:br/>
              <w:t>Competent performance with inherent safe working practices is expected in the Industry to which this unit applies. This requires that the specified essential knowledge and associated skills are assessed in a structured environment which is primarily</w:t>
            </w:r>
            <w:r w:rsidRPr="00B57B26">
              <w:t xml:space="preserve"> intended for learning/assessment and incorporates all necessary equipment and facilities for learners to develop and demonstrate the essential knowledge and skills described in this unit.</w:t>
            </w:r>
          </w:p>
        </w:tc>
      </w:tr>
      <w:tr w:rsidTr="00794F2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57B26" w:rsidP="00B57B26">
            <w:pPr>
              <w:pStyle w:val="BodyText"/>
            </w:pPr>
            <w:r w:rsidRPr="00B57B26">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rPr>
                <w:rStyle w:val="SpecialBold"/>
              </w:rPr>
              <w:t>8</w:t>
            </w:r>
            <w:r w:rsidRPr="00B57B26">
              <w:t>.</w:t>
            </w:r>
            <w:r w:rsidRPr="00B57B26">
              <w:rPr>
                <w:rStyle w:val="SpecialBold"/>
              </w:rPr>
              <w:t>5</w:t>
            </w:r>
            <w:r w:rsidRPr="00B57B26">
              <w:t xml:space="preserve">) </w:t>
            </w:r>
          </w:p>
        </w:tc>
      </w:tr>
      <w:tr w:rsidTr="00794F2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There are no recommended concurrent assessments with this unit, however in some cases efficiencies may be gained in terms of learning and assessment effort being concurrently managed with allied competency standard units where listed.</w:t>
            </w:r>
          </w:p>
        </w:tc>
      </w:tr>
      <w:tr w:rsidTr="00794F2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UEPOPS407A</w:t>
            </w:r>
          </w:p>
        </w:tc>
        <w:tc>
          <w:tcPr>
            <w:tcW w:w="468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Start and Run up a Gas Turbine</w:t>
            </w:r>
          </w:p>
        </w:tc>
      </w:tr>
      <w:tr w:rsidTr="00794F2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UEPOPS409A</w:t>
            </w:r>
          </w:p>
        </w:tc>
        <w:tc>
          <w:tcPr>
            <w:tcW w:w="468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Start Up a Boiler Unit</w:t>
            </w:r>
          </w:p>
        </w:tc>
      </w:tr>
      <w:tr w:rsidTr="00794F2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UEPOPS336A</w:t>
            </w:r>
          </w:p>
        </w:tc>
        <w:tc>
          <w:tcPr>
            <w:tcW w:w="468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Operate and Monitor a Gas Turbine</w:t>
            </w:r>
          </w:p>
        </w:tc>
      </w:tr>
      <w:tr w:rsidTr="00794F2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UEPOPS339A</w:t>
            </w:r>
          </w:p>
        </w:tc>
        <w:tc>
          <w:tcPr>
            <w:tcW w:w="468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Operate and Monitor a Gas Turbine</w:t>
            </w:r>
          </w:p>
        </w:tc>
      </w:tr>
      <w:tr w:rsidTr="00794F2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57B26" w:rsidP="00B57B26">
            <w:pPr>
              <w:pStyle w:val="BodyText"/>
            </w:pPr>
            <w:r w:rsidRPr="00B57B26">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B57B26" w:rsidP="00B57B26">
            <w:pPr>
              <w:pStyle w:val="BodyText"/>
            </w:pPr>
            <w:r w:rsidRPr="00B57B26">
              <w:rPr>
                <w:rStyle w:val="SpecialBold"/>
              </w:rPr>
              <w:t>8</w:t>
            </w:r>
            <w:r w:rsidRPr="00B57B26">
              <w:t>.</w:t>
            </w:r>
            <w:r w:rsidRPr="00B57B26">
              <w:rPr>
                <w:rStyle w:val="SpecialBold"/>
              </w:rPr>
              <w:t>6</w:t>
            </w:r>
            <w:r w:rsidRPr="00B57B26">
              <w:t xml:space="preserve">) </w:t>
            </w:r>
          </w:p>
          <w:p w:rsidR="00000000" w:rsidRPr="00B57B26" w:rsidP="00B57B26">
            <w:pPr>
              <w:pStyle w:val="BodyText"/>
            </w:pPr>
            <w:r w:rsidRPr="00B57B26">
              <w:t>Evidence that particular key competencies have been achieved within this unit is in the context of the following Performance Criteria of evidence. See Volume 2, Part 4 for an explanation of Key competencies and levels of this Training Package.</w:t>
            </w:r>
          </w:p>
        </w:tc>
      </w:tr>
    </w:tbl>
    <w:p w:rsidR="00000000" w:rsidRPr="00B57B26" w:rsidP="00B57B26">
      <w:pPr>
        <w:pStyle w:val="BodyText"/>
      </w:pPr>
    </w:p>
    <w:tbl>
      <w:tblPr>
        <w:tblW w:w="0" w:type="auto"/>
        <w:tblLayout w:type="fixed"/>
        <w:tblCellMar>
          <w:left w:w="62" w:type="dxa"/>
          <w:right w:w="62" w:type="dxa"/>
        </w:tblCellMar>
        <w:tblLook w:val="0000"/>
      </w:tblPr>
      <w:tblGrid>
        <w:gridCol w:w="2160"/>
        <w:gridCol w:w="4737"/>
        <w:gridCol w:w="1563"/>
      </w:tblGrid>
      <w:tr w:rsidTr="00794F29">
        <w:tblPrEx>
          <w:tblW w:w="0" w:type="auto"/>
          <w:tblLayout w:type="fixed"/>
          <w:tblCellMar>
            <w:left w:w="62" w:type="dxa"/>
            <w:right w:w="62" w:type="dxa"/>
          </w:tblCellMar>
          <w:tblLook w:val="0000"/>
        </w:tblPrEx>
        <w:trPr>
          <w:tblHeader/>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B26" w:rsidP="00B57B26">
            <w:pPr>
              <w:pStyle w:val="BodyText"/>
            </w:pPr>
            <w:r w:rsidRPr="00B57B26">
              <w:rPr>
                <w:rStyle w:val="SpecialBold"/>
              </w:rPr>
              <w:t>Key compe</w:t>
            </w:r>
            <w:r w:rsidRPr="00B57B26">
              <w:rPr>
                <w:rStyle w:val="SpecialBold"/>
              </w:rPr>
              <w:t>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B26" w:rsidP="00B57B26">
            <w:pPr>
              <w:pStyle w:val="BodyText"/>
            </w:pPr>
            <w:r w:rsidRPr="00B57B26">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r w:rsidRPr="00B57B26">
              <w:rPr>
                <w:rStyle w:val="SpecialBold"/>
              </w:rPr>
              <w:t>Performance Level</w:t>
            </w:r>
          </w:p>
        </w:tc>
      </w:tr>
      <w:tr w:rsidTr="00794F2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r w:rsidRPr="00B57B26">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7B26">
            <w:pPr>
              <w:pStyle w:val="BodyText"/>
              <w:rPr>
                <w:lang w:val="en-NZ"/>
              </w:rPr>
            </w:pPr>
            <w:r w:rsidRPr="00B57B2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B26" w:rsidP="00B57B26">
            <w:pPr>
              <w:pStyle w:val="BodyText"/>
            </w:pPr>
          </w:p>
          <w:p w:rsidR="00000000" w:rsidP="00B57B26">
            <w:pPr>
              <w:pStyle w:val="BodyText"/>
              <w:rPr>
                <w:lang w:val="en-NZ"/>
              </w:rPr>
            </w:pPr>
            <w:r w:rsidRPr="00B57B26">
              <w:t>2</w:t>
            </w:r>
          </w:p>
        </w:tc>
      </w:tr>
      <w:tr w:rsidTr="00794F2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r w:rsidRPr="00B57B26">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p>
        </w:tc>
      </w:tr>
      <w:tr w:rsidTr="00794F2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r w:rsidRPr="00B57B26">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7B26">
            <w:pPr>
              <w:pStyle w:val="BodyText"/>
              <w:rPr>
                <w:lang w:val="en-NZ"/>
              </w:rPr>
            </w:pPr>
            <w:r w:rsidRPr="00B57B2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B26" w:rsidP="00B57B26">
            <w:pPr>
              <w:pStyle w:val="BodyText"/>
            </w:pPr>
          </w:p>
          <w:p w:rsidR="00000000" w:rsidP="00B57B26">
            <w:pPr>
              <w:pStyle w:val="BodyText"/>
              <w:rPr>
                <w:lang w:val="en-NZ"/>
              </w:rPr>
            </w:pPr>
            <w:r w:rsidRPr="00B57B26">
              <w:t>2</w:t>
            </w:r>
          </w:p>
        </w:tc>
      </w:tr>
      <w:tr w:rsidTr="00794F2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r w:rsidRPr="00B57B26">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p>
        </w:tc>
      </w:tr>
      <w:tr w:rsidTr="00794F2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r w:rsidRPr="00B57B26">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7B26">
            <w:pPr>
              <w:pStyle w:val="BodyText"/>
              <w:rPr>
                <w:lang w:val="en-NZ"/>
              </w:rPr>
            </w:pPr>
            <w:r w:rsidRPr="00B57B2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B26" w:rsidP="00B57B26">
            <w:pPr>
              <w:pStyle w:val="BodyText"/>
            </w:pPr>
          </w:p>
          <w:p w:rsidR="00000000" w:rsidP="00B57B26">
            <w:pPr>
              <w:pStyle w:val="BodyText"/>
              <w:rPr>
                <w:lang w:val="en-NZ"/>
              </w:rPr>
            </w:pPr>
            <w:r w:rsidRPr="00B57B26">
              <w:t>2</w:t>
            </w:r>
          </w:p>
        </w:tc>
      </w:tr>
      <w:tr w:rsidTr="00794F2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r w:rsidRPr="00B57B26">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p>
        </w:tc>
      </w:tr>
      <w:tr w:rsidTr="00794F2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r w:rsidRPr="00B57B26">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7B26">
            <w:pPr>
              <w:pStyle w:val="BodyText"/>
              <w:rPr>
                <w:lang w:val="en-NZ"/>
              </w:rPr>
            </w:pPr>
            <w:r w:rsidRPr="00B57B2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B26" w:rsidP="00B57B26">
            <w:pPr>
              <w:pStyle w:val="BodyText"/>
            </w:pPr>
          </w:p>
          <w:p w:rsidR="00000000" w:rsidP="00B57B26">
            <w:pPr>
              <w:pStyle w:val="BodyText"/>
              <w:rPr>
                <w:lang w:val="en-NZ"/>
              </w:rPr>
            </w:pPr>
            <w:r w:rsidRPr="00B57B26">
              <w:t>2</w:t>
            </w:r>
          </w:p>
        </w:tc>
      </w:tr>
      <w:tr w:rsidTr="00794F2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r w:rsidRPr="00B57B26">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p>
        </w:tc>
      </w:tr>
      <w:tr w:rsidTr="00794F2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r w:rsidRPr="00B57B26">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7B26">
            <w:pPr>
              <w:pStyle w:val="BodyText"/>
              <w:rPr>
                <w:lang w:val="en-NZ"/>
              </w:rPr>
            </w:pPr>
            <w:r w:rsidRPr="00B57B2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B26" w:rsidP="00B57B26">
            <w:pPr>
              <w:pStyle w:val="BodyText"/>
            </w:pPr>
          </w:p>
          <w:p w:rsidR="00000000" w:rsidP="00B57B26">
            <w:pPr>
              <w:pStyle w:val="BodyText"/>
              <w:rPr>
                <w:lang w:val="en-NZ"/>
              </w:rPr>
            </w:pPr>
            <w:r w:rsidRPr="00B57B26">
              <w:t>2</w:t>
            </w:r>
          </w:p>
        </w:tc>
      </w:tr>
      <w:tr w:rsidTr="00794F2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r w:rsidRPr="00B57B26">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p>
        </w:tc>
      </w:tr>
      <w:tr w:rsidTr="00794F2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r w:rsidRPr="00B57B26">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7B26">
            <w:pPr>
              <w:pStyle w:val="BodyText"/>
              <w:rPr>
                <w:lang w:val="en-NZ"/>
              </w:rPr>
            </w:pPr>
            <w:r w:rsidRPr="00B57B2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B26" w:rsidP="00B57B26">
            <w:pPr>
              <w:pStyle w:val="BodyText"/>
            </w:pPr>
          </w:p>
          <w:p w:rsidR="00000000" w:rsidP="00B57B26">
            <w:pPr>
              <w:pStyle w:val="BodyText"/>
              <w:rPr>
                <w:lang w:val="en-NZ"/>
              </w:rPr>
            </w:pPr>
            <w:r w:rsidRPr="00B57B26">
              <w:t>2</w:t>
            </w:r>
          </w:p>
        </w:tc>
      </w:tr>
      <w:tr w:rsidTr="00794F2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r w:rsidRPr="00B57B26">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p>
        </w:tc>
      </w:tr>
      <w:tr w:rsidTr="00794F29">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r w:rsidRPr="00B57B26">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7B26">
            <w:pPr>
              <w:pStyle w:val="BodyText"/>
              <w:rPr>
                <w:lang w:val="en-NZ"/>
              </w:rPr>
            </w:pPr>
            <w:r w:rsidRPr="00B57B2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B26" w:rsidP="00B57B26">
            <w:pPr>
              <w:pStyle w:val="BodyText"/>
            </w:pPr>
          </w:p>
          <w:p w:rsidR="00000000" w:rsidP="00B57B26">
            <w:pPr>
              <w:pStyle w:val="BodyText"/>
              <w:rPr>
                <w:lang w:val="en-NZ"/>
              </w:rPr>
            </w:pPr>
            <w:r w:rsidRPr="00B57B26">
              <w:t>2</w:t>
            </w:r>
          </w:p>
        </w:tc>
      </w:tr>
      <w:tr w:rsidTr="00794F29">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r w:rsidRPr="00B57B26">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B26" w:rsidP="00B57B26">
            <w:pPr>
              <w:pStyle w:val="BodyText"/>
            </w:pPr>
          </w:p>
        </w:tc>
      </w:tr>
    </w:tbl>
    <w:p w:rsidR="00000000" w:rsidRPr="00B57B26" w:rsidP="00B57B26">
      <w:pPr>
        <w:pStyle w:val="BodyText"/>
      </w:pPr>
    </w:p>
    <w:tbl>
      <w:tblPr>
        <w:tblW w:w="0" w:type="auto"/>
        <w:tblLayout w:type="fixed"/>
        <w:tblCellMar>
          <w:left w:w="62" w:type="dxa"/>
          <w:right w:w="62" w:type="dxa"/>
        </w:tblCellMar>
        <w:tblLook w:val="0000"/>
      </w:tblPr>
      <w:tblGrid>
        <w:gridCol w:w="326"/>
        <w:gridCol w:w="1834"/>
        <w:gridCol w:w="6300"/>
      </w:tblGrid>
      <w:tr w:rsidTr="00794F29">
        <w:tblPrEx>
          <w:tblW w:w="0" w:type="auto"/>
          <w:tblLayout w:type="fixed"/>
          <w:tblCellMar>
            <w:left w:w="62" w:type="dxa"/>
            <w:right w:w="62" w:type="dxa"/>
          </w:tblCellMar>
          <w:tblLook w:val="0000"/>
        </w:tblPrEx>
        <w:trPr>
          <w:tblHeader/>
        </w:trPr>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p>
        </w:tc>
      </w:tr>
      <w:tr w:rsidTr="00794F29">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57B26" w:rsidP="00B57B26">
            <w:pPr>
              <w:pStyle w:val="BodyText"/>
            </w:pPr>
            <w:r w:rsidRPr="00B57B26">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B57B26" w:rsidP="00B57B26">
            <w:pPr>
              <w:pStyle w:val="BodyText"/>
            </w:pPr>
            <w:r w:rsidRPr="00B57B26">
              <w:rPr>
                <w:rStyle w:val="SpecialBold"/>
              </w:rPr>
              <w:t>8</w:t>
            </w:r>
            <w:r w:rsidRPr="00B57B26">
              <w:t>.</w:t>
            </w:r>
            <w:r w:rsidRPr="00B57B26">
              <w:rPr>
                <w:rStyle w:val="SpecialBold"/>
              </w:rPr>
              <w:t>7</w:t>
            </w:r>
            <w:r w:rsidRPr="00B57B26">
              <w:t xml:space="preserve">) </w:t>
            </w:r>
          </w:p>
          <w:p w:rsidR="00000000" w:rsidP="00B57B26">
            <w:pPr>
              <w:pStyle w:val="BodyText"/>
              <w:rPr>
                <w:lang w:val="en-NZ"/>
              </w:rPr>
            </w:pPr>
            <w:r w:rsidRPr="00B57B26">
              <w:t xml:space="preserve">Evidence that competency in this unit incorporates skills enabling employment is in the context of the following performance. See Volume 2, Part 5 for definitions and an explanation of skills enabling employment. </w:t>
            </w:r>
          </w:p>
        </w:tc>
      </w:tr>
      <w:tr w:rsidTr="00794F29">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B26" w:rsidP="00B57B26">
            <w:pPr>
              <w:pStyle w:val="BodyText"/>
            </w:pPr>
            <w:r w:rsidRPr="00B57B26">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r w:rsidRPr="00B57B26">
              <w:rPr>
                <w:rStyle w:val="SpecialBold"/>
              </w:rPr>
              <w:t>Example of Applica</w:t>
            </w:r>
            <w:r w:rsidRPr="00B57B26">
              <w:rPr>
                <w:rStyle w:val="SpecialBold"/>
              </w:rPr>
              <w:t>tion</w:t>
            </w:r>
          </w:p>
        </w:tc>
      </w:tr>
      <w:tr w:rsidTr="00794F2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r w:rsidRPr="00B57B26">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r w:rsidRPr="00B57B26">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7B26">
            <w:pPr>
              <w:pStyle w:val="BodyText"/>
              <w:rPr>
                <w:lang w:val="en-NZ"/>
              </w:rPr>
            </w:pPr>
            <w:r w:rsidRPr="00B57B26">
              <w:t>Refer to the following example of application:</w:t>
            </w:r>
          </w:p>
        </w:tc>
      </w:tr>
      <w:tr w:rsidTr="00794F2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r w:rsidRPr="00B57B26">
              <w:t>Completion of tasks within an acceptable timeframe and performance with some supervision.</w:t>
            </w:r>
          </w:p>
        </w:tc>
      </w:tr>
      <w:tr w:rsidTr="00794F2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r w:rsidRPr="00B57B26">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r w:rsidRPr="00B57B26">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7B26">
            <w:pPr>
              <w:pStyle w:val="BodyText"/>
              <w:rPr>
                <w:lang w:val="en-NZ"/>
              </w:rPr>
            </w:pPr>
            <w:r w:rsidRPr="00B57B26">
              <w:t>Refer to the following example of application:</w:t>
            </w:r>
          </w:p>
        </w:tc>
      </w:tr>
      <w:tr w:rsidTr="00794F2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r w:rsidRPr="00B57B26">
              <w:t>Comprehension and application of theoretical knowledge to well-developed skills.</w:t>
            </w:r>
          </w:p>
        </w:tc>
      </w:tr>
      <w:tr w:rsidTr="00794F2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r w:rsidRPr="00B57B26">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r w:rsidRPr="00B57B26">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7B26">
            <w:pPr>
              <w:pStyle w:val="BodyText"/>
              <w:rPr>
                <w:lang w:val="en-NZ"/>
              </w:rPr>
            </w:pPr>
            <w:r w:rsidRPr="00B57B26">
              <w:t>Refer to the following example of application:</w:t>
            </w:r>
          </w:p>
        </w:tc>
      </w:tr>
      <w:tr w:rsidTr="00794F2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r w:rsidRPr="00B57B26">
              <w:t>Focused on improvement in own and other team member's performance in the workplace.</w:t>
            </w:r>
          </w:p>
        </w:tc>
      </w:tr>
      <w:tr w:rsidTr="00794F2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r w:rsidRPr="00B57B26">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r w:rsidRPr="00B57B26">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7B26">
            <w:pPr>
              <w:pStyle w:val="BodyText"/>
              <w:rPr>
                <w:lang w:val="en-NZ"/>
              </w:rPr>
            </w:pPr>
            <w:r w:rsidRPr="00B57B26">
              <w:t>Refer to the following example of application:</w:t>
            </w:r>
          </w:p>
        </w:tc>
      </w:tr>
      <w:tr w:rsidTr="00794F2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r w:rsidRPr="00B57B26">
              <w:t xml:space="preserve">Working understanding of the processes and systems which </w:t>
            </w:r>
            <w:r w:rsidRPr="00B57B26">
              <w:t>apply to the workplace.</w:t>
            </w:r>
          </w:p>
        </w:tc>
      </w:tr>
      <w:tr w:rsidTr="00794F2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r w:rsidRPr="00B57B26">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r w:rsidRPr="00B57B26">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7B26">
            <w:pPr>
              <w:pStyle w:val="BodyText"/>
              <w:rPr>
                <w:lang w:val="en-NZ"/>
              </w:rPr>
            </w:pPr>
            <w:r w:rsidRPr="00B57B26">
              <w:t>Refer to the following example of application:</w:t>
            </w:r>
          </w:p>
        </w:tc>
      </w:tr>
      <w:tr w:rsidTr="00794F2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r w:rsidRPr="00B57B26">
              <w:t>Achieving work tasks in a timely manner and ensuring that the work team achieves its stated work goals.</w:t>
            </w:r>
          </w:p>
        </w:tc>
      </w:tr>
      <w:tr w:rsidTr="00794F29">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r w:rsidRPr="00B57B26">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B26">
            <w:pPr>
              <w:pStyle w:val="BodyText"/>
              <w:rPr>
                <w:lang w:val="en-NZ"/>
              </w:rPr>
            </w:pPr>
            <w:r w:rsidRPr="00B57B26">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7B26">
            <w:pPr>
              <w:pStyle w:val="BodyText"/>
              <w:rPr>
                <w:lang w:val="en-NZ"/>
              </w:rPr>
            </w:pPr>
            <w:r w:rsidRPr="00B57B26">
              <w:t>Refer to the following example of application:</w:t>
            </w:r>
          </w:p>
        </w:tc>
      </w:tr>
      <w:tr w:rsidTr="00794F29">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57B26" w:rsidP="00B57B26">
            <w:pPr>
              <w:pStyle w:val="BodyText"/>
            </w:pPr>
            <w:r w:rsidRPr="00B57B26">
              <w:t>Seek advice and apply solutions to problems relevant to the workplace environment.</w:t>
            </w:r>
          </w:p>
        </w:tc>
      </w:tr>
    </w:tbl>
    <w:p w:rsidR="00794F29" w:rsidP="00B57B26">
      <w:pPr>
        <w:pStyle w:val="BodyText"/>
      </w:pPr>
    </w:p>
    <w:p w:rsidR="00794F29" w:rsidP="00B57B26">
      <w:pPr>
        <w:pStyle w:val="BodyText"/>
      </w:pPr>
    </w:p>
    <w:p w:rsidR="00000000" w:rsidRPr="00B57B26" w:rsidP="00B57B26">
      <w:pPr>
        <w:pStyle w:val="Heading1"/>
      </w:pPr>
      <w:bookmarkStart w:id="11" w:name="O_256069"/>
      <w:bookmarkEnd w:id="11"/>
      <w:r w:rsidRPr="00B57B26">
        <w:t>Range Statement</w:t>
      </w:r>
    </w:p>
    <w:tbl>
      <w:tblPr>
        <w:tblW w:w="0" w:type="auto"/>
        <w:tblLayout w:type="fixed"/>
        <w:tblCellMar>
          <w:left w:w="62" w:type="dxa"/>
          <w:right w:w="62" w:type="dxa"/>
        </w:tblCellMar>
        <w:tblLook w:val="0000"/>
      </w:tblPr>
      <w:tblGrid>
        <w:gridCol w:w="8460"/>
      </w:tblGrid>
      <w:tr w:rsidTr="00794F2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rPr>
                <w:rStyle w:val="SpecialBold"/>
              </w:rPr>
              <w:t>RANGE STATEMENT</w:t>
            </w:r>
          </w:p>
        </w:tc>
      </w:tr>
      <w:tr w:rsidTr="00794F2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rPr>
                <w:rStyle w:val="SpecialBold"/>
              </w:rPr>
              <w:t>7</w:t>
            </w:r>
            <w:r w:rsidRPr="00B57B26">
              <w:t>) This relates to the competency standard unit as a whole, providing the range of contexts and conditions to which the Performance Criteria apply. It allows for different work environments and situations that will affect performance.</w:t>
            </w:r>
          </w:p>
        </w:tc>
      </w:tr>
      <w:tr w:rsidTr="00794F2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57B26" w:rsidP="00B57B26">
            <w:pPr>
              <w:pStyle w:val="BodyText"/>
            </w:pPr>
            <w:r w:rsidRPr="00B57B26">
              <w:t>Plant and equipment m</w:t>
            </w:r>
            <w:r w:rsidRPr="00B57B26">
              <w:t>ay include: flue gas emission control systems associated with coal, gas, oil and biomass fired thermal power stations and oil and gas fired gas turbine and combined cycle power stations; AC and DC electrical distribution systems; electrical switchgear; ele</w:t>
            </w:r>
            <w:r w:rsidRPr="00B57B26">
              <w:t>ctric motors; electric motor driven pumps and fans; valves, dampers and actuators (manual, electric, hydraulic and pneumatic); flue and/or exhaust gas temperature control equipment; storage hoppers and material conveying equipment; lubrication systems; sta</w:t>
            </w:r>
            <w:r w:rsidRPr="00B57B26">
              <w:t>tion water distribution systems; hydraulic power oil systems; compressed air systems; distributed control systems; supervisory, protection, alarm and control equipment.</w:t>
            </w:r>
          </w:p>
          <w:p w:rsidR="00000000" w:rsidRPr="00B57B26" w:rsidP="00B57B26">
            <w:pPr>
              <w:pStyle w:val="BodyText"/>
            </w:pPr>
            <w:r w:rsidRPr="00B57B26">
              <w:t>Safety standards may include relevant sections of Occupational Health and Safety legisl</w:t>
            </w:r>
            <w:r w:rsidRPr="00B57B26">
              <w:t>ation, enterprise safety rules, relevant State and federal legislation, national standards for plant and Australian standards.</w:t>
            </w:r>
          </w:p>
          <w:p w:rsidR="00000000" w:rsidRPr="00B57B26" w:rsidP="00B57B26">
            <w:pPr>
              <w:pStyle w:val="BodyText"/>
            </w:pPr>
            <w:r w:rsidRPr="00B57B26">
              <w:t>Information and documentation sources may include verbal or written communications; enterprise safety rules documentation; enterp</w:t>
            </w:r>
            <w:r w:rsidRPr="00B57B26">
              <w:t>rise operating instructions; computer-based and computer accessed documentation; enterprise/site standing and operating instructions; enterprise log books; manufacturer's operation and maintenance manuals; and equipment and alarm manuals.</w:t>
            </w:r>
          </w:p>
          <w:p w:rsidR="00000000" w:rsidRPr="00B57B26" w:rsidP="00B57B26">
            <w:pPr>
              <w:pStyle w:val="BodyText"/>
            </w:pPr>
            <w:r w:rsidRPr="00B57B26">
              <w:t>Technical and ope</w:t>
            </w:r>
            <w:r w:rsidRPr="00B57B26">
              <w:t>rational indicators may include stimuli (auditory, olfactory, tactile, visual), local indicators and recorders, computers and alarms (visible and/or audible).</w:t>
            </w:r>
          </w:p>
          <w:p w:rsidR="00000000" w:rsidRPr="00B57B26" w:rsidP="00B57B26">
            <w:pPr>
              <w:pStyle w:val="BodyText"/>
            </w:pPr>
            <w:r w:rsidRPr="00B57B26">
              <w:t>Communications may be by direct personal interaction or by means of telephone, verbal or text-bas</w:t>
            </w:r>
            <w:r w:rsidRPr="00B57B26">
              <w:t>ed telephone messaging, two way radio, pager, computer (electronic mail) and/or operating logs (written or verbal).</w:t>
            </w:r>
          </w:p>
          <w:p w:rsidR="00000000" w:rsidRPr="00B57B26" w:rsidP="00B57B26">
            <w:pPr>
              <w:pStyle w:val="BodyText"/>
            </w:pPr>
            <w:r w:rsidRPr="00B57B26">
              <w:t>Appropriate personnel for consultation, giving or receiving direction may include: supervisor/team leader or equivalent, power plant operati</w:t>
            </w:r>
            <w:r w:rsidRPr="00B57B26">
              <w:t>ons personnel or equivalent, technical and engineering officers or equivalent, maintenance staff, other operating staff or equivalent, system controller/network controller, field operator, restricted H.V. operators, independent generators and customers and</w:t>
            </w:r>
            <w:r w:rsidRPr="00B57B26">
              <w:t xml:space="preserve"> contractor staff.</w:t>
            </w:r>
          </w:p>
          <w:p w:rsidR="00000000" w:rsidRPr="00B57B26" w:rsidP="00B57B26">
            <w:pPr>
              <w:pStyle w:val="BodyText"/>
            </w:pPr>
            <w:r w:rsidRPr="00B57B26">
              <w:t>Operating environment may be remote from the plant and equipment being operated, (in cases where operation is assisted by remote indication of operating parameters and plant status), during inclement or otherwise harsh weather conditions</w:t>
            </w:r>
            <w:r w:rsidRPr="00B57B26">
              <w:t>, in hot, wet, noisy, dusty, elevated, confined or enclosed areas or during night periods.</w:t>
            </w:r>
          </w:p>
          <w:p w:rsidR="00000000" w:rsidRPr="00B57B26" w:rsidP="00B57B26">
            <w:pPr>
              <w:pStyle w:val="BodyText"/>
            </w:pPr>
            <w:r w:rsidRPr="00B57B26">
              <w:t>Plant operations (systems requirements) may include:</w:t>
            </w:r>
          </w:p>
          <w:p w:rsidR="00000000" w:rsidRPr="00B57B26" w:rsidP="00B57B26">
            <w:pPr>
              <w:pStyle w:val="BodyText"/>
            </w:pPr>
            <w:r w:rsidRPr="00B57B26">
              <w:t xml:space="preserve">Returns to service with the heat recovery steam generator in a cold, warm or hot condition; heat recovery steam </w:t>
            </w:r>
            <w:r w:rsidRPr="00B57B26">
              <w:t>generator internal chemical clean; raising pressure to allow steam main blow-out; raising pressure to allow safety valve setting, operational testing.</w:t>
            </w:r>
          </w:p>
          <w:p w:rsidR="00000000" w:rsidRPr="00B57B26" w:rsidP="00B57B26">
            <w:pPr>
              <w:pStyle w:val="BodyText"/>
            </w:pPr>
            <w:r w:rsidRPr="00B57B26">
              <w:t xml:space="preserve">Operational tests may include: </w:t>
            </w:r>
          </w:p>
          <w:p w:rsidR="00000000" w:rsidRPr="00B57B26" w:rsidP="00B57B26">
            <w:pPr>
              <w:pStyle w:val="BodyText"/>
            </w:pPr>
            <w:r w:rsidRPr="00B57B26">
              <w:t>System calibration tests, stand-by plant "cut-in" tests; dampers/valves o</w:t>
            </w:r>
            <w:r w:rsidRPr="00B57B26">
              <w:t>perating checks and pre and post start tests; performance tests and alarm initiation tests</w:t>
            </w:r>
          </w:p>
          <w:p w:rsidR="00000000" w:rsidRPr="00B57B26" w:rsidP="00B57B26">
            <w:pPr>
              <w:pStyle w:val="BodyText"/>
            </w:pPr>
            <w:r w:rsidRPr="00B57B26">
              <w:t xml:space="preserve">Faults and abnormal operating conditions may include: </w:t>
            </w:r>
          </w:p>
          <w:p w:rsidR="00000000" w:rsidRPr="00B57B26" w:rsidP="00B57B26">
            <w:pPr>
              <w:pStyle w:val="BodyText"/>
            </w:pPr>
            <w:r w:rsidRPr="00B57B26">
              <w:t>Loss of electrical supply to switchboards, drive motors or valve actuators; controlled emissions limits exceed</w:t>
            </w:r>
            <w:r w:rsidRPr="00B57B26">
              <w:t>ed; automatic control loop(s) malfunctions; high flue gas or exhaust gas temperatures; high temperatures on/in: motor and/or pump bearings, lubricating oil or motor windings; high differential pressures on oil/air filters and strainers; failed field device</w:t>
            </w:r>
            <w:r w:rsidRPr="00B57B26">
              <w:t>s; failed/malfunctioning actuators/dampers/valves; emission control system protection operation.</w:t>
            </w:r>
          </w:p>
          <w:p w:rsidR="00000000" w:rsidRPr="00B57B26" w:rsidP="00B57B26">
            <w:pPr>
              <w:pStyle w:val="BodyText"/>
            </w:pPr>
            <w:r w:rsidRPr="00B57B26">
              <w:t>Generic terms are used throughout this Training Package for vocational standard shall be regarded as part of the Range Statement in which competency is demonstrated. The definition of these and other terms are given in Volume 2, Part 1.</w:t>
            </w:r>
          </w:p>
        </w:tc>
      </w:tr>
    </w:tbl>
    <w:p w:rsidR="00794F29" w:rsidP="00B57B26">
      <w:pPr>
        <w:pStyle w:val="BodyText"/>
      </w:pPr>
    </w:p>
    <w:p w:rsidR="00794F29" w:rsidP="00B57B26">
      <w:pPr>
        <w:pStyle w:val="BodyText"/>
      </w:pPr>
    </w:p>
    <w:p w:rsidR="00000000" w:rsidRPr="00B57B26" w:rsidP="00B57B26">
      <w:pPr>
        <w:pStyle w:val="Heading1"/>
      </w:pPr>
      <w:bookmarkStart w:id="12" w:name="O_297082"/>
      <w:bookmarkEnd w:id="12"/>
      <w:r w:rsidRPr="00B57B26">
        <w:t>Unit Sector(s)</w:t>
      </w:r>
    </w:p>
    <w:p w:rsidR="00000000" w:rsidRPr="00B57B26" w:rsidP="00B57B26">
      <w:pPr>
        <w:pStyle w:val="BodyText"/>
      </w:pPr>
      <w:r w:rsidRPr="00B57B26">
        <w:t>Not Applicable</w:t>
      </w:r>
    </w:p>
    <w:p w:rsidR="00000000" w:rsidRPr="00B57B26" w:rsidP="00B57B26">
      <w:pPr>
        <w:pStyle w:val="AllowPageBreak"/>
      </w:pPr>
    </w:p>
    <w:p w:rsidR="00000000" w:rsidRPr="00B57B26" w:rsidP="00B57B26">
      <w:pPr>
        <w:pStyle w:val="Heading1"/>
      </w:pPr>
      <w:bookmarkStart w:id="13" w:name="O_230912"/>
      <w:bookmarkEnd w:id="13"/>
      <w:r w:rsidRPr="00B57B26">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794F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7B26" w:rsidP="00B57B26">
            <w:pPr>
              <w:pStyle w:val="BodyText"/>
            </w:pPr>
            <w:r w:rsidRPr="00B57B2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B57B26" w:rsidP="00B57B26">
            <w:pPr>
              <w:pStyle w:val="BodyText"/>
            </w:pPr>
            <w:r w:rsidRPr="00B57B26">
              <w:rPr>
                <w:rStyle w:val="SpecialBold"/>
              </w:rPr>
              <w:t>2</w:t>
            </w:r>
            <w:r w:rsidRPr="00B57B26">
              <w:t>.</w:t>
            </w:r>
            <w:r w:rsidRPr="00B57B26">
              <w:rPr>
                <w:rStyle w:val="SpecialBold"/>
              </w:rPr>
              <w:t>2</w:t>
            </w:r>
            <w:r w:rsidRPr="00B57B26">
              <w:t xml:space="preserve">) </w:t>
            </w:r>
          </w:p>
          <w:p w:rsidR="00000000" w:rsidP="00B57B26">
            <w:pPr>
              <w:pStyle w:val="BodyText"/>
              <w:rPr>
                <w:lang w:val="en-NZ"/>
              </w:rPr>
            </w:pPr>
            <w:r w:rsidRPr="00B57B26">
              <w:t>Participants are best equipped to achieve this unit if they have reading, writing and numeracy skills indicated by the following scales. Descri</w:t>
            </w:r>
            <w:r w:rsidRPr="00B57B26">
              <w:t>ption of each scale is given in Volume 2, Part 3 Literacy and Numeracy</w:t>
            </w:r>
          </w:p>
        </w:tc>
      </w:tr>
      <w:tr w:rsidTr="00794F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Reading</w:t>
            </w:r>
          </w:p>
        </w:tc>
        <w:tc>
          <w:tcPr>
            <w:tcW w:w="805"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4</w:t>
            </w:r>
          </w:p>
        </w:tc>
        <w:tc>
          <w:tcPr>
            <w:tcW w:w="1184"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Writing</w:t>
            </w:r>
          </w:p>
        </w:tc>
        <w:tc>
          <w:tcPr>
            <w:tcW w:w="805"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4</w:t>
            </w:r>
          </w:p>
        </w:tc>
        <w:tc>
          <w:tcPr>
            <w:tcW w:w="1172"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t>Numeracy</w:t>
            </w:r>
          </w:p>
        </w:tc>
        <w:tc>
          <w:tcPr>
            <w:tcW w:w="805" w:type="dxa"/>
            <w:tcBorders>
              <w:top w:val="nil"/>
              <w:left w:val="nil"/>
              <w:bottom w:val="nil"/>
              <w:right w:val="nil"/>
            </w:tcBorders>
            <w:tcMar>
              <w:top w:w="0" w:type="dxa"/>
              <w:left w:w="62" w:type="dxa"/>
              <w:bottom w:w="0" w:type="dxa"/>
              <w:right w:w="62" w:type="dxa"/>
            </w:tcMar>
          </w:tcPr>
          <w:p w:rsidR="00000000" w:rsidRPr="00B57B26" w:rsidP="00B57B26">
            <w:pPr>
              <w:pStyle w:val="BodyText"/>
            </w:pPr>
            <w:r w:rsidRPr="00B57B26">
              <w:t>4</w:t>
            </w:r>
          </w:p>
        </w:tc>
      </w:tr>
    </w:tbl>
    <w:p w:rsidR="00794F29" w:rsidP="00B57B26">
      <w:pPr>
        <w:pStyle w:val="BodyText"/>
      </w:pPr>
    </w:p>
    <w:p w:rsidR="00794F29" w:rsidP="00B57B26">
      <w:pPr>
        <w:pStyle w:val="BodyText"/>
      </w:pPr>
    </w:p>
    <w:p w:rsidR="00000000" w:rsidRPr="00B57B26" w:rsidP="00B57B26">
      <w:pPr>
        <w:pStyle w:val="Heading1"/>
      </w:pPr>
      <w:bookmarkStart w:id="14" w:name="O_230914"/>
      <w:bookmarkEnd w:id="14"/>
      <w:r w:rsidRPr="00B57B26">
        <w:t>Competency Field</w:t>
      </w:r>
    </w:p>
    <w:tbl>
      <w:tblPr>
        <w:tblW w:w="0" w:type="auto"/>
        <w:tblLayout w:type="fixed"/>
        <w:tblCellMar>
          <w:left w:w="62" w:type="dxa"/>
          <w:right w:w="62" w:type="dxa"/>
        </w:tblCellMar>
        <w:tblLook w:val="0000"/>
      </w:tblPr>
      <w:tblGrid>
        <w:gridCol w:w="2700"/>
        <w:gridCol w:w="5760"/>
      </w:tblGrid>
      <w:tr w:rsidTr="00794F2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7B26" w:rsidP="00B57B26">
            <w:pPr>
              <w:pStyle w:val="BodyText"/>
            </w:pPr>
            <w:r w:rsidRPr="00B57B2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57B26">
            <w:pPr>
              <w:pStyle w:val="BodyText"/>
              <w:rPr>
                <w:lang w:val="en-NZ"/>
              </w:rPr>
            </w:pPr>
            <w:r w:rsidRPr="00B57B26">
              <w:rPr>
                <w:rStyle w:val="SpecialBold"/>
              </w:rPr>
              <w:t>4</w:t>
            </w:r>
            <w:r w:rsidRPr="00B57B26">
              <w:t xml:space="preserve">) </w:t>
            </w:r>
          </w:p>
        </w:tc>
      </w:tr>
      <w:tr w:rsidTr="00794F2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7B26" w:rsidP="00B57B26">
            <w:pPr>
              <w:pStyle w:val="BodyText"/>
            </w:pPr>
            <w:r w:rsidRPr="00B57B26">
              <w:t>Operations</w:t>
            </w:r>
          </w:p>
        </w:tc>
      </w:tr>
    </w:tbl>
    <w:p w:rsidR="00794F29" w:rsidP="00B57B26">
      <w:pPr>
        <w:pStyle w:val="BodyText"/>
      </w:pPr>
    </w:p>
    <w:p w:rsidR="00794F29" w:rsidP="00B57B26">
      <w:pPr>
        <w:pStyle w:val="BodyText"/>
      </w:pPr>
    </w:p>
    <w:p w:rsidR="00000000" w:rsidRPr="00B57B26" w:rsidP="00B57B26"/>
    <w:sectPr w:rsidSect="00B57B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B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4F29" w:rsidP="00794F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B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F29" w:rsidP="00B57B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94F29" w:rsidP="00B57B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94F29" w:rsidP="00B57B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B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4F29" w:rsidP="00794F2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B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F29" w:rsidP="00B57B26">
    <w:pPr>
      <w:pStyle w:val="Header"/>
      <w:framePr w:wrap="around"/>
    </w:pPr>
    <w:r>
      <w:fldChar w:fldCharType="begin"/>
    </w:r>
    <w:r>
      <w:instrText xml:space="preserve"> TITLE   \* MERGEFORMAT </w:instrText>
    </w:r>
    <w:r>
      <w:fldChar w:fldCharType="separate"/>
    </w:r>
    <w:r>
      <w:t>UEPOPS435A Operate and Monitor Flue Gas Nox Mitigation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4F29" w:rsidP="00B57B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0A27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2EFB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B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7B26"/>
    <w:pPr>
      <w:spacing w:before="360" w:after="60"/>
      <w:outlineLvl w:val="0"/>
    </w:pPr>
    <w:rPr>
      <w:sz w:val="32"/>
    </w:rPr>
  </w:style>
  <w:style w:type="paragraph" w:styleId="Heading2">
    <w:name w:val="heading 2"/>
    <w:basedOn w:val="HeadingBase"/>
    <w:next w:val="BodyText"/>
    <w:link w:val="Heading2Char"/>
    <w:qFormat/>
    <w:rsid w:val="00B57B26"/>
    <w:pPr>
      <w:keepLines/>
      <w:spacing w:before="240" w:after="120"/>
      <w:outlineLvl w:val="1"/>
    </w:pPr>
    <w:rPr>
      <w:sz w:val="28"/>
      <w:szCs w:val="40"/>
    </w:rPr>
  </w:style>
  <w:style w:type="paragraph" w:styleId="Heading3">
    <w:name w:val="heading 3"/>
    <w:basedOn w:val="HeadingBase"/>
    <w:next w:val="BodyText"/>
    <w:link w:val="Heading3Char"/>
    <w:qFormat/>
    <w:rsid w:val="00B57B26"/>
    <w:pPr>
      <w:spacing w:before="180" w:after="120"/>
      <w:outlineLvl w:val="2"/>
    </w:pPr>
    <w:rPr>
      <w:spacing w:val="-10"/>
      <w:kern w:val="32"/>
    </w:rPr>
  </w:style>
  <w:style w:type="paragraph" w:styleId="Heading4">
    <w:name w:val="heading 4"/>
    <w:basedOn w:val="HeadingBase"/>
    <w:next w:val="BodyText"/>
    <w:link w:val="Heading4Char"/>
    <w:qFormat/>
    <w:rsid w:val="00B57B26"/>
    <w:pPr>
      <w:spacing w:before="160" w:after="120"/>
      <w:outlineLvl w:val="3"/>
    </w:pPr>
    <w:rPr>
      <w:sz w:val="22"/>
    </w:rPr>
  </w:style>
  <w:style w:type="paragraph" w:styleId="Heading5">
    <w:name w:val="heading 5"/>
    <w:basedOn w:val="HeadingBase"/>
    <w:next w:val="Normal"/>
    <w:link w:val="Heading5Char"/>
    <w:qFormat/>
    <w:rsid w:val="00B57B26"/>
    <w:pPr>
      <w:spacing w:before="80"/>
      <w:outlineLvl w:val="4"/>
    </w:pPr>
    <w:rPr>
      <w:color w:val="918585"/>
      <w:sz w:val="20"/>
    </w:rPr>
  </w:style>
  <w:style w:type="paragraph" w:styleId="Heading6">
    <w:name w:val="heading 6"/>
    <w:basedOn w:val="HeadingBase"/>
    <w:next w:val="Normal"/>
    <w:link w:val="Heading6Char"/>
    <w:qFormat/>
    <w:rsid w:val="00B57B26"/>
    <w:pPr>
      <w:spacing w:before="60"/>
      <w:outlineLvl w:val="5"/>
    </w:pPr>
    <w:rPr>
      <w:color w:val="918585"/>
      <w:sz w:val="20"/>
    </w:rPr>
  </w:style>
  <w:style w:type="paragraph" w:styleId="Heading7">
    <w:name w:val="heading 7"/>
    <w:basedOn w:val="Normal"/>
    <w:next w:val="Normal"/>
    <w:link w:val="Heading7Char"/>
    <w:qFormat/>
    <w:rsid w:val="00B57B26"/>
    <w:pPr>
      <w:ind w:left="720"/>
      <w:outlineLvl w:val="6"/>
    </w:pPr>
    <w:rPr>
      <w:i/>
    </w:rPr>
  </w:style>
  <w:style w:type="paragraph" w:styleId="Heading8">
    <w:name w:val="heading 8"/>
    <w:basedOn w:val="Normal"/>
    <w:next w:val="Normal"/>
    <w:link w:val="Heading8Char"/>
    <w:qFormat/>
    <w:rsid w:val="00B57B26"/>
    <w:pPr>
      <w:ind w:left="720"/>
      <w:outlineLvl w:val="7"/>
    </w:pPr>
    <w:rPr>
      <w:i/>
    </w:rPr>
  </w:style>
  <w:style w:type="paragraph" w:styleId="Heading9">
    <w:name w:val="heading 9"/>
    <w:basedOn w:val="Normal"/>
    <w:next w:val="Normal"/>
    <w:link w:val="Heading9Char"/>
    <w:qFormat/>
    <w:rsid w:val="00B57B26"/>
    <w:pPr>
      <w:ind w:left="720"/>
      <w:outlineLvl w:val="8"/>
    </w:pPr>
    <w:rPr>
      <w:i/>
    </w:rPr>
  </w:style>
  <w:style w:type="character" w:default="1" w:styleId="DefaultParagraphFont">
    <w:name w:val="Default Paragraph Font"/>
    <w:uiPriority w:val="1"/>
    <w:unhideWhenUsed/>
    <w:rsid w:val="00B57B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7B26"/>
  </w:style>
  <w:style w:type="character" w:customStyle="1" w:styleId="Heading1Char">
    <w:name w:val="Heading 1 Char"/>
    <w:basedOn w:val="DefaultParagraphFont"/>
    <w:link w:val="Heading1"/>
    <w:rsid w:val="00B57B26"/>
    <w:rPr>
      <w:rFonts w:ascii="Times New Roman" w:eastAsia="Times New Roman" w:hAnsi="Times New Roman" w:cs="Times New Roman"/>
      <w:b/>
      <w:sz w:val="32"/>
      <w:szCs w:val="20"/>
      <w:lang w:eastAsia="en-US"/>
    </w:rPr>
  </w:style>
  <w:style w:type="paragraph" w:styleId="BodyText">
    <w:name w:val="Body Text"/>
    <w:basedOn w:val="Normal"/>
    <w:link w:val="BodyTextChar"/>
    <w:rsid w:val="00B57B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7B26"/>
    <w:rPr>
      <w:rFonts w:ascii="Times New Roman" w:eastAsia="Times New Roman" w:hAnsi="Times New Roman" w:cs="Times New Roman"/>
      <w:sz w:val="24"/>
      <w:lang w:val="en-US" w:eastAsia="en-US"/>
    </w:rPr>
  </w:style>
  <w:style w:type="paragraph" w:styleId="Footer">
    <w:name w:val="footer"/>
    <w:basedOn w:val="Normal"/>
    <w:link w:val="FooterChar"/>
    <w:rsid w:val="00B57B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7B26"/>
    <w:rPr>
      <w:rFonts w:ascii="Times New Roman" w:eastAsia="Times New Roman" w:hAnsi="Times New Roman" w:cs="Times New Roman"/>
      <w:sz w:val="16"/>
      <w:lang w:val="en-US" w:eastAsia="en-US"/>
    </w:rPr>
  </w:style>
  <w:style w:type="paragraph" w:styleId="ListBullet">
    <w:name w:val="List Bullet"/>
    <w:basedOn w:val="List"/>
    <w:rsid w:val="00B57B26"/>
    <w:pPr>
      <w:numPr>
        <w:numId w:val="13"/>
      </w:numPr>
      <w:tabs>
        <w:tab w:val="clear" w:pos="340"/>
      </w:tabs>
      <w:spacing w:before="40" w:after="40"/>
    </w:pPr>
  </w:style>
  <w:style w:type="character" w:customStyle="1" w:styleId="SpecialBold">
    <w:name w:val="Special Bold"/>
    <w:basedOn w:val="DefaultParagraphFont"/>
    <w:rsid w:val="00B57B26"/>
    <w:rPr>
      <w:b/>
      <w:spacing w:val="0"/>
    </w:rPr>
  </w:style>
  <w:style w:type="paragraph" w:styleId="Header">
    <w:name w:val="header"/>
    <w:basedOn w:val="Normal"/>
    <w:link w:val="HeaderChar"/>
    <w:rsid w:val="00B57B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7B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7B26"/>
    <w:pPr>
      <w:spacing w:before="240" w:after="120"/>
      <w:outlineLvl w:val="0"/>
    </w:pPr>
    <w:rPr>
      <w:rFonts w:ascii="Times New Roman" w:hAnsi="Times New Roman"/>
      <w:b/>
      <w:sz w:val="28"/>
    </w:rPr>
  </w:style>
  <w:style w:type="paragraph" w:customStyle="1" w:styleId="AllowPageBreak">
    <w:name w:val="AllowPageBreak"/>
    <w:rsid w:val="00B57B2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57B26"/>
    <w:pPr>
      <w:numPr>
        <w:numId w:val="2"/>
      </w:numPr>
      <w:tabs>
        <w:tab w:val="clear" w:pos="1021"/>
      </w:tabs>
      <w:ind w:left="1037" w:hanging="357"/>
    </w:pPr>
  </w:style>
  <w:style w:type="character" w:customStyle="1" w:styleId="Heading2Char">
    <w:name w:val="Heading 2 Char"/>
    <w:basedOn w:val="DefaultParagraphFont"/>
    <w:link w:val="Heading2"/>
    <w:rsid w:val="00B57B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7B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7B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7B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7B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7B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7B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7B26"/>
    <w:rPr>
      <w:rFonts w:ascii="Courier New" w:eastAsia="Times New Roman" w:hAnsi="Courier New" w:cs="Times New Roman"/>
      <w:i/>
      <w:szCs w:val="20"/>
      <w:lang w:val="en-US" w:eastAsia="en-US"/>
    </w:rPr>
  </w:style>
  <w:style w:type="paragraph" w:customStyle="1" w:styleId="HeadingBase">
    <w:name w:val="Heading Base"/>
    <w:rsid w:val="00B57B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7B26"/>
    <w:pPr>
      <w:tabs>
        <w:tab w:val="right" w:leader="dot" w:pos="9072"/>
      </w:tabs>
      <w:ind w:left="567"/>
    </w:pPr>
    <w:rPr>
      <w:szCs w:val="22"/>
    </w:rPr>
  </w:style>
  <w:style w:type="paragraph" w:customStyle="1" w:styleId="TOCBase">
    <w:name w:val="TOC Base"/>
    <w:rsid w:val="00B57B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7B26"/>
    <w:pPr>
      <w:tabs>
        <w:tab w:val="right" w:leader="dot" w:pos="9072"/>
      </w:tabs>
      <w:spacing w:before="40" w:after="40"/>
      <w:ind w:left="284"/>
    </w:pPr>
    <w:rPr>
      <w:rFonts w:ascii="Times New Roman" w:hAnsi="Times New Roman"/>
    </w:rPr>
  </w:style>
  <w:style w:type="paragraph" w:styleId="TOC1">
    <w:name w:val="toc 1"/>
    <w:basedOn w:val="TOCBase"/>
    <w:next w:val="Normal"/>
    <w:rsid w:val="00B57B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7B26"/>
    <w:pPr>
      <w:spacing w:before="5040"/>
      <w:jc w:val="center"/>
    </w:pPr>
    <w:rPr>
      <w:sz w:val="48"/>
      <w:szCs w:val="72"/>
      <w:lang w:val="en-US"/>
    </w:rPr>
  </w:style>
  <w:style w:type="character" w:customStyle="1" w:styleId="TitleChar">
    <w:name w:val="Title Char"/>
    <w:basedOn w:val="DefaultParagraphFont"/>
    <w:link w:val="Title"/>
    <w:rsid w:val="00B57B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7B26"/>
    <w:pPr>
      <w:tabs>
        <w:tab w:val="left" w:pos="3600"/>
        <w:tab w:val="left" w:pos="3958"/>
      </w:tabs>
    </w:pPr>
  </w:style>
  <w:style w:type="paragraph" w:styleId="List">
    <w:name w:val="List"/>
    <w:basedOn w:val="BodyText"/>
    <w:next w:val="BodyText"/>
    <w:rsid w:val="00B57B26"/>
    <w:pPr>
      <w:tabs>
        <w:tab w:val="left" w:pos="340"/>
      </w:tabs>
      <w:spacing w:before="60" w:after="60"/>
      <w:ind w:left="340" w:hanging="340"/>
    </w:pPr>
  </w:style>
  <w:style w:type="paragraph" w:customStyle="1" w:styleId="Note">
    <w:name w:val="Note"/>
    <w:basedOn w:val="BodyText"/>
    <w:rsid w:val="00B57B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7B26"/>
    <w:pPr>
      <w:framePr w:wrap="auto" w:hAnchor="text" w:y="6049"/>
    </w:pPr>
    <w:rPr>
      <w:color w:val="000000"/>
      <w:sz w:val="40"/>
    </w:rPr>
  </w:style>
  <w:style w:type="paragraph" w:customStyle="1" w:styleId="TOCTitle">
    <w:name w:val="TOCTitle"/>
    <w:basedOn w:val="Heading1"/>
    <w:rsid w:val="00B57B26"/>
    <w:pPr>
      <w:spacing w:after="240"/>
      <w:jc w:val="center"/>
      <w:outlineLvl w:val="9"/>
    </w:pPr>
    <w:rPr>
      <w:caps/>
    </w:rPr>
  </w:style>
  <w:style w:type="paragraph" w:customStyle="1" w:styleId="Version">
    <w:name w:val="Version"/>
    <w:rsid w:val="00B57B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7B26"/>
    <w:pPr>
      <w:numPr>
        <w:numId w:val="14"/>
      </w:numPr>
      <w:tabs>
        <w:tab w:val="clear" w:pos="680"/>
      </w:tabs>
    </w:pPr>
  </w:style>
  <w:style w:type="paragraph" w:styleId="Index1">
    <w:name w:val="index 1"/>
    <w:basedOn w:val="Normal"/>
    <w:next w:val="Normal"/>
    <w:semiHidden/>
    <w:rsid w:val="00B57B26"/>
    <w:pPr>
      <w:keepNext w:val="0"/>
      <w:tabs>
        <w:tab w:val="right" w:pos="4176"/>
      </w:tabs>
      <w:ind w:left="198" w:hanging="198"/>
    </w:pPr>
    <w:rPr>
      <w:rFonts w:ascii="Garamond" w:hAnsi="Garamond"/>
    </w:rPr>
  </w:style>
  <w:style w:type="paragraph" w:styleId="IndexHeading">
    <w:name w:val="index heading"/>
    <w:basedOn w:val="Normal"/>
    <w:next w:val="Index1"/>
    <w:semiHidden/>
    <w:rsid w:val="00B57B26"/>
    <w:pPr>
      <w:spacing w:before="120" w:after="120"/>
    </w:pPr>
    <w:rPr>
      <w:rFonts w:ascii="Arial" w:hAnsi="Arial"/>
      <w:b/>
      <w:color w:val="918585"/>
      <w:sz w:val="24"/>
    </w:rPr>
  </w:style>
  <w:style w:type="paragraph" w:customStyle="1" w:styleId="Chapter">
    <w:name w:val="Chapter"/>
    <w:basedOn w:val="Normal"/>
    <w:rsid w:val="00B57B26"/>
    <w:pPr>
      <w:spacing w:before="240"/>
    </w:pPr>
    <w:rPr>
      <w:rFonts w:ascii="Times New Roman" w:hAnsi="Times New Roman"/>
      <w:smallCaps/>
      <w:spacing w:val="80"/>
      <w:sz w:val="28"/>
    </w:rPr>
  </w:style>
  <w:style w:type="paragraph" w:customStyle="1" w:styleId="InChapter">
    <w:name w:val="InChapter"/>
    <w:basedOn w:val="Heading3"/>
    <w:rsid w:val="00B57B26"/>
    <w:pPr>
      <w:spacing w:after="240"/>
      <w:outlineLvl w:val="9"/>
    </w:pPr>
    <w:rPr>
      <w:noProof/>
    </w:rPr>
  </w:style>
  <w:style w:type="paragraph" w:styleId="Index2">
    <w:name w:val="index 2"/>
    <w:basedOn w:val="Normal"/>
    <w:next w:val="Normal"/>
    <w:semiHidden/>
    <w:rsid w:val="00B57B26"/>
    <w:pPr>
      <w:tabs>
        <w:tab w:val="right" w:pos="4176"/>
      </w:tabs>
      <w:ind w:left="568" w:hanging="284"/>
    </w:pPr>
    <w:rPr>
      <w:rFonts w:ascii="Garamond" w:hAnsi="Garamond"/>
    </w:rPr>
  </w:style>
  <w:style w:type="paragraph" w:customStyle="1" w:styleId="Byline">
    <w:name w:val="Byline"/>
    <w:rsid w:val="00B57B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7B26"/>
    <w:pPr>
      <w:tabs>
        <w:tab w:val="clear" w:pos="3600"/>
        <w:tab w:val="clear" w:pos="3958"/>
      </w:tabs>
      <w:jc w:val="right"/>
    </w:pPr>
  </w:style>
  <w:style w:type="character" w:styleId="Emphasis">
    <w:name w:val="Emphasis"/>
    <w:basedOn w:val="DefaultParagraphFont"/>
    <w:qFormat/>
    <w:rsid w:val="00B57B26"/>
    <w:rPr>
      <w:i/>
    </w:rPr>
  </w:style>
  <w:style w:type="paragraph" w:styleId="Caption">
    <w:name w:val="caption"/>
    <w:basedOn w:val="BodyText"/>
    <w:next w:val="Normal"/>
    <w:qFormat/>
    <w:rsid w:val="00B57B26"/>
    <w:pPr>
      <w:framePr w:w="2268" w:hSpace="181" w:vSpace="181" w:wrap="around" w:vAnchor="text" w:hAnchor="page" w:x="1135" w:y="285" w:anchorLock="1"/>
    </w:pPr>
    <w:rPr>
      <w:i/>
    </w:rPr>
  </w:style>
  <w:style w:type="paragraph" w:customStyle="1" w:styleId="MiniTOCTitle">
    <w:name w:val="MiniTOCTitle"/>
    <w:basedOn w:val="Heading4"/>
    <w:rsid w:val="00B57B26"/>
    <w:pPr>
      <w:spacing w:before="240"/>
      <w:outlineLvl w:val="9"/>
    </w:pPr>
    <w:rPr>
      <w:noProof/>
      <w:sz w:val="24"/>
    </w:rPr>
  </w:style>
  <w:style w:type="paragraph" w:customStyle="1" w:styleId="MiniTOCItem">
    <w:name w:val="MiniTOCItem"/>
    <w:basedOn w:val="ListBullet"/>
    <w:rsid w:val="00B57B26"/>
    <w:pPr>
      <w:numPr>
        <w:numId w:val="0"/>
      </w:numPr>
      <w:tabs>
        <w:tab w:val="right" w:leader="dot" w:pos="6521"/>
      </w:tabs>
      <w:spacing w:before="0" w:after="0"/>
    </w:pPr>
  </w:style>
  <w:style w:type="paragraph" w:customStyle="1" w:styleId="TOFTitle">
    <w:name w:val="TOFTitle"/>
    <w:basedOn w:val="TOCTitle"/>
    <w:rsid w:val="00B57B26"/>
  </w:style>
  <w:style w:type="paragraph" w:styleId="TableofFigures">
    <w:name w:val="table of figures"/>
    <w:basedOn w:val="Normal"/>
    <w:next w:val="Normal"/>
    <w:semiHidden/>
    <w:rsid w:val="00B57B26"/>
    <w:pPr>
      <w:tabs>
        <w:tab w:val="right" w:leader="dot" w:pos="9072"/>
      </w:tabs>
      <w:ind w:left="970" w:hanging="403"/>
    </w:pPr>
    <w:rPr>
      <w:rFonts w:ascii="Times New Roman" w:hAnsi="Times New Roman"/>
      <w:b/>
    </w:rPr>
  </w:style>
  <w:style w:type="paragraph" w:styleId="ListNumber">
    <w:name w:val="List Number"/>
    <w:basedOn w:val="List"/>
    <w:rsid w:val="00B57B26"/>
    <w:pPr>
      <w:numPr>
        <w:numId w:val="11"/>
      </w:numPr>
    </w:pPr>
  </w:style>
  <w:style w:type="character" w:customStyle="1" w:styleId="WingdingSymbols">
    <w:name w:val="Wingding Symbols"/>
    <w:rsid w:val="00B57B26"/>
    <w:rPr>
      <w:rFonts w:ascii="Wingdings" w:hAnsi="Wingdings"/>
    </w:rPr>
  </w:style>
  <w:style w:type="paragraph" w:customStyle="1" w:styleId="TableHeading">
    <w:name w:val="Table Heading"/>
    <w:basedOn w:val="HeadingBase"/>
    <w:rsid w:val="00B57B26"/>
    <w:pPr>
      <w:keepLines/>
      <w:pBdr>
        <w:bottom w:val="single" w:sz="6" w:space="1" w:color="918585"/>
      </w:pBdr>
      <w:spacing w:before="240"/>
    </w:pPr>
  </w:style>
  <w:style w:type="character" w:customStyle="1" w:styleId="HotSpot">
    <w:name w:val="HotSpot"/>
    <w:rsid w:val="00B57B26"/>
    <w:rPr>
      <w:color w:val="0033CC"/>
      <w:u w:val="none"/>
    </w:rPr>
  </w:style>
  <w:style w:type="paragraph" w:customStyle="1" w:styleId="BodyTextRight">
    <w:name w:val="Body Text Right"/>
    <w:basedOn w:val="BodyText"/>
    <w:rsid w:val="00B57B26"/>
    <w:pPr>
      <w:spacing w:before="0" w:after="0"/>
      <w:jc w:val="right"/>
    </w:pPr>
  </w:style>
  <w:style w:type="paragraph" w:styleId="Index3">
    <w:name w:val="index 3"/>
    <w:basedOn w:val="ListNumber2"/>
    <w:next w:val="Normal"/>
    <w:semiHidden/>
    <w:rsid w:val="00B57B26"/>
    <w:pPr>
      <w:numPr>
        <w:numId w:val="0"/>
      </w:numPr>
      <w:tabs>
        <w:tab w:val="right" w:leader="dot" w:pos="4176"/>
      </w:tabs>
    </w:pPr>
  </w:style>
  <w:style w:type="paragraph" w:styleId="ListNumber2">
    <w:name w:val="List Number 2"/>
    <w:basedOn w:val="List2"/>
    <w:rsid w:val="00B57B26"/>
    <w:pPr>
      <w:numPr>
        <w:numId w:val="10"/>
      </w:numPr>
      <w:tabs>
        <w:tab w:val="clear" w:pos="1060"/>
      </w:tabs>
    </w:pPr>
  </w:style>
  <w:style w:type="paragraph" w:customStyle="1" w:styleId="MarginNote">
    <w:name w:val="Margin Note"/>
    <w:basedOn w:val="BodyText"/>
    <w:rsid w:val="00B57B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7B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7B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7B26"/>
    <w:rPr>
      <w:sz w:val="32"/>
    </w:rPr>
  </w:style>
  <w:style w:type="paragraph" w:customStyle="1" w:styleId="HeadingProcedure">
    <w:name w:val="Heading Procedure"/>
    <w:basedOn w:val="HeadingBase"/>
    <w:next w:val="Normal"/>
    <w:rsid w:val="00B57B26"/>
    <w:pPr>
      <w:tabs>
        <w:tab w:val="left" w:pos="0"/>
      </w:tabs>
      <w:spacing w:before="120" w:after="60"/>
    </w:pPr>
    <w:rPr>
      <w:i/>
      <w:color w:val="918585"/>
      <w:sz w:val="22"/>
    </w:rPr>
  </w:style>
  <w:style w:type="paragraph" w:customStyle="1" w:styleId="TableBodyText">
    <w:name w:val="Table Body Text"/>
    <w:basedOn w:val="BodyText"/>
    <w:rsid w:val="00B57B26"/>
    <w:pPr>
      <w:spacing w:before="60" w:after="60"/>
    </w:pPr>
  </w:style>
  <w:style w:type="paragraph" w:styleId="ListContinue">
    <w:name w:val="List Continue"/>
    <w:basedOn w:val="List"/>
    <w:rsid w:val="00B57B26"/>
    <w:pPr>
      <w:ind w:firstLine="0"/>
    </w:pPr>
  </w:style>
  <w:style w:type="paragraph" w:customStyle="1" w:styleId="ListNote">
    <w:name w:val="List Note"/>
    <w:basedOn w:val="List"/>
    <w:rsid w:val="00B57B26"/>
    <w:pPr>
      <w:pBdr>
        <w:top w:val="single" w:sz="6" w:space="2" w:color="918585"/>
        <w:bottom w:val="single" w:sz="6" w:space="2" w:color="918585"/>
      </w:pBdr>
      <w:tabs>
        <w:tab w:val="left" w:pos="1021"/>
      </w:tabs>
      <w:ind w:firstLine="0"/>
    </w:pPr>
  </w:style>
  <w:style w:type="paragraph" w:customStyle="1" w:styleId="Warning">
    <w:name w:val="Warning"/>
    <w:basedOn w:val="BodyText"/>
    <w:rsid w:val="00B57B26"/>
    <w:pPr>
      <w:shd w:val="clear" w:color="auto" w:fill="D9D9D9"/>
      <w:tabs>
        <w:tab w:val="left" w:pos="992"/>
      </w:tabs>
      <w:ind w:left="119" w:right="119"/>
    </w:pPr>
    <w:rPr>
      <w:sz w:val="20"/>
    </w:rPr>
  </w:style>
  <w:style w:type="paragraph" w:customStyle="1" w:styleId="MarginIcons">
    <w:name w:val="Margin Icons"/>
    <w:basedOn w:val="BodyText"/>
    <w:rsid w:val="00B57B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7B26"/>
    <w:rPr>
      <w:rFonts w:ascii="Courier New" w:hAnsi="Courier New"/>
    </w:rPr>
  </w:style>
  <w:style w:type="paragraph" w:customStyle="1" w:styleId="NoteBullet">
    <w:name w:val="Note Bullet"/>
    <w:basedOn w:val="Note"/>
    <w:rsid w:val="00B57B26"/>
    <w:pPr>
      <w:tabs>
        <w:tab w:val="clear" w:pos="680"/>
      </w:tabs>
      <w:spacing w:before="60" w:after="60"/>
    </w:pPr>
  </w:style>
  <w:style w:type="paragraph" w:customStyle="1" w:styleId="SubHeading2">
    <w:name w:val="SubHeading2"/>
    <w:basedOn w:val="HeadingBase"/>
    <w:rsid w:val="00B57B26"/>
    <w:pPr>
      <w:spacing w:before="240" w:after="60"/>
    </w:pPr>
    <w:rPr>
      <w:sz w:val="20"/>
    </w:rPr>
  </w:style>
  <w:style w:type="paragraph" w:customStyle="1" w:styleId="SubHeading1">
    <w:name w:val="SubHeading1"/>
    <w:basedOn w:val="HeadingBase"/>
    <w:rsid w:val="00B57B26"/>
    <w:pPr>
      <w:spacing w:before="240" w:after="60"/>
    </w:pPr>
    <w:rPr>
      <w:color w:val="918585"/>
      <w:sz w:val="22"/>
    </w:rPr>
  </w:style>
  <w:style w:type="paragraph" w:customStyle="1" w:styleId="SideHeading">
    <w:name w:val="Side Heading"/>
    <w:basedOn w:val="HeadingBase"/>
    <w:rsid w:val="00B57B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7B26"/>
    <w:pPr>
      <w:numPr>
        <w:numId w:val="12"/>
      </w:numPr>
    </w:pPr>
  </w:style>
  <w:style w:type="paragraph" w:styleId="PlainText">
    <w:name w:val="Plain Text"/>
    <w:basedOn w:val="Normal"/>
    <w:link w:val="PlainTextChar"/>
    <w:rsid w:val="00B57B26"/>
    <w:rPr>
      <w:sz w:val="20"/>
    </w:rPr>
  </w:style>
  <w:style w:type="character" w:customStyle="1" w:styleId="PlainTextChar">
    <w:name w:val="Plain Text Char"/>
    <w:basedOn w:val="DefaultParagraphFont"/>
    <w:link w:val="PlainText"/>
    <w:rsid w:val="00B57B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7B26"/>
    <w:rPr>
      <w:b/>
      <w:smallCaps/>
    </w:rPr>
  </w:style>
  <w:style w:type="paragraph" w:customStyle="1" w:styleId="TableListNumber">
    <w:name w:val="Table List Number"/>
    <w:basedOn w:val="ListNumber"/>
    <w:rsid w:val="00B57B26"/>
    <w:pPr>
      <w:numPr>
        <w:numId w:val="0"/>
      </w:numPr>
    </w:pPr>
  </w:style>
  <w:style w:type="paragraph" w:styleId="TOC4">
    <w:name w:val="toc 4"/>
    <w:basedOn w:val="TOCBase"/>
    <w:next w:val="Normal"/>
    <w:semiHidden/>
    <w:rsid w:val="00B57B26"/>
    <w:pPr>
      <w:tabs>
        <w:tab w:val="right" w:leader="dot" w:pos="9071"/>
      </w:tabs>
      <w:ind w:left="1701"/>
    </w:pPr>
  </w:style>
  <w:style w:type="paragraph" w:customStyle="1" w:styleId="ListAlpha">
    <w:name w:val="List Alpha"/>
    <w:basedOn w:val="List"/>
    <w:rsid w:val="00B57B26"/>
    <w:pPr>
      <w:numPr>
        <w:numId w:val="9"/>
      </w:numPr>
    </w:pPr>
  </w:style>
  <w:style w:type="paragraph" w:customStyle="1" w:styleId="ListAlpha2">
    <w:name w:val="List Alpha 2"/>
    <w:basedOn w:val="List2"/>
    <w:rsid w:val="00B57B26"/>
    <w:pPr>
      <w:numPr>
        <w:numId w:val="8"/>
      </w:numPr>
    </w:pPr>
  </w:style>
  <w:style w:type="paragraph" w:styleId="List2">
    <w:name w:val="List 2"/>
    <w:basedOn w:val="BodyText"/>
    <w:rsid w:val="00B57B26"/>
    <w:pPr>
      <w:tabs>
        <w:tab w:val="left" w:pos="680"/>
      </w:tabs>
      <w:spacing w:before="60" w:after="60"/>
      <w:ind w:left="680" w:hanging="340"/>
    </w:pPr>
  </w:style>
  <w:style w:type="paragraph" w:styleId="List3">
    <w:name w:val="List 3"/>
    <w:basedOn w:val="BodyText"/>
    <w:rsid w:val="00B57B26"/>
    <w:pPr>
      <w:tabs>
        <w:tab w:val="left" w:pos="1021"/>
      </w:tabs>
      <w:spacing w:before="60" w:after="60"/>
      <w:ind w:left="1020" w:hanging="340"/>
    </w:pPr>
  </w:style>
  <w:style w:type="paragraph" w:styleId="List4">
    <w:name w:val="List 4"/>
    <w:basedOn w:val="BodyText"/>
    <w:rsid w:val="00B57B26"/>
    <w:pPr>
      <w:tabs>
        <w:tab w:val="left" w:pos="1361"/>
      </w:tabs>
      <w:spacing w:before="60" w:after="60"/>
      <w:ind w:left="1361" w:hanging="340"/>
    </w:pPr>
  </w:style>
  <w:style w:type="paragraph" w:styleId="List5">
    <w:name w:val="List 5"/>
    <w:basedOn w:val="BodyText"/>
    <w:rsid w:val="00B57B26"/>
    <w:pPr>
      <w:tabs>
        <w:tab w:val="left" w:pos="1701"/>
      </w:tabs>
      <w:spacing w:before="60" w:after="60"/>
      <w:ind w:left="1701" w:hanging="340"/>
    </w:pPr>
  </w:style>
  <w:style w:type="paragraph" w:styleId="ListBullet4">
    <w:name w:val="List Bullet 4"/>
    <w:basedOn w:val="List4"/>
    <w:rsid w:val="00B57B26"/>
    <w:pPr>
      <w:numPr>
        <w:numId w:val="3"/>
      </w:numPr>
    </w:pPr>
  </w:style>
  <w:style w:type="paragraph" w:styleId="ListBullet5">
    <w:name w:val="List Bullet 5"/>
    <w:basedOn w:val="List5"/>
    <w:rsid w:val="00B57B26"/>
    <w:pPr>
      <w:numPr>
        <w:numId w:val="4"/>
      </w:numPr>
    </w:pPr>
  </w:style>
  <w:style w:type="paragraph" w:styleId="ListContinue2">
    <w:name w:val="List Continue 2"/>
    <w:basedOn w:val="List2"/>
    <w:rsid w:val="00B57B26"/>
    <w:pPr>
      <w:ind w:firstLine="0"/>
    </w:pPr>
  </w:style>
  <w:style w:type="paragraph" w:styleId="ListContinue3">
    <w:name w:val="List Continue 3"/>
    <w:basedOn w:val="List3"/>
    <w:rsid w:val="00B57B26"/>
    <w:pPr>
      <w:ind w:left="1021" w:firstLine="0"/>
    </w:pPr>
  </w:style>
  <w:style w:type="paragraph" w:styleId="ListContinue4">
    <w:name w:val="List Continue 4"/>
    <w:basedOn w:val="List4"/>
    <w:rsid w:val="00B57B26"/>
    <w:pPr>
      <w:ind w:firstLine="0"/>
    </w:pPr>
  </w:style>
  <w:style w:type="paragraph" w:styleId="ListContinue5">
    <w:name w:val="List Continue 5"/>
    <w:basedOn w:val="List5"/>
    <w:rsid w:val="00B57B26"/>
    <w:pPr>
      <w:ind w:firstLine="0"/>
    </w:pPr>
  </w:style>
  <w:style w:type="paragraph" w:styleId="ListNumber3">
    <w:name w:val="List Number 3"/>
    <w:basedOn w:val="List3"/>
    <w:rsid w:val="00B57B26"/>
    <w:pPr>
      <w:numPr>
        <w:numId w:val="5"/>
      </w:numPr>
    </w:pPr>
  </w:style>
  <w:style w:type="paragraph" w:styleId="ListNumber4">
    <w:name w:val="List Number 4"/>
    <w:basedOn w:val="List4"/>
    <w:rsid w:val="00B57B26"/>
    <w:pPr>
      <w:numPr>
        <w:numId w:val="6"/>
      </w:numPr>
    </w:pPr>
  </w:style>
  <w:style w:type="paragraph" w:styleId="ListNumber5">
    <w:name w:val="List Number 5"/>
    <w:basedOn w:val="List5"/>
    <w:rsid w:val="00B57B26"/>
    <w:pPr>
      <w:numPr>
        <w:numId w:val="7"/>
      </w:numPr>
    </w:pPr>
  </w:style>
  <w:style w:type="paragraph" w:styleId="BlockText">
    <w:name w:val="Block Text"/>
    <w:basedOn w:val="Normal"/>
    <w:rsid w:val="00B57B26"/>
    <w:pPr>
      <w:spacing w:after="120"/>
      <w:ind w:left="1440" w:right="1440"/>
    </w:pPr>
  </w:style>
  <w:style w:type="character" w:customStyle="1" w:styleId="Subscript">
    <w:name w:val="Subscript"/>
    <w:basedOn w:val="DefaultParagraphFont"/>
    <w:rsid w:val="00B57B26"/>
    <w:rPr>
      <w:sz w:val="16"/>
      <w:vertAlign w:val="subscript"/>
    </w:rPr>
  </w:style>
  <w:style w:type="character" w:customStyle="1" w:styleId="Superscript">
    <w:name w:val="Superscript"/>
    <w:basedOn w:val="DefaultParagraphFont"/>
    <w:rsid w:val="00B57B26"/>
    <w:rPr>
      <w:sz w:val="16"/>
      <w:vertAlign w:val="superscript"/>
    </w:rPr>
  </w:style>
  <w:style w:type="character" w:customStyle="1" w:styleId="Symbols">
    <w:name w:val="Symbols"/>
    <w:basedOn w:val="DefaultParagraphFont"/>
    <w:rsid w:val="00B57B26"/>
    <w:rPr>
      <w:rFonts w:ascii="Symbol" w:hAnsi="Symbol"/>
    </w:rPr>
  </w:style>
  <w:style w:type="character" w:customStyle="1" w:styleId="MenuOptions">
    <w:name w:val="Menu Options"/>
    <w:basedOn w:val="DefaultParagraphFont"/>
    <w:rsid w:val="00B57B26"/>
    <w:rPr>
      <w:rFonts w:ascii="Arial Narrow" w:hAnsi="Arial Narrow"/>
      <w:smallCaps/>
    </w:rPr>
  </w:style>
  <w:style w:type="character" w:customStyle="1" w:styleId="Buttons">
    <w:name w:val="Buttons"/>
    <w:basedOn w:val="DefaultParagraphFont"/>
    <w:rsid w:val="00B57B26"/>
    <w:rPr>
      <w:b/>
    </w:rPr>
  </w:style>
  <w:style w:type="character" w:customStyle="1" w:styleId="Underlined">
    <w:name w:val="Underlined"/>
    <w:basedOn w:val="DefaultParagraphFont"/>
    <w:rsid w:val="00B57B26"/>
    <w:rPr>
      <w:u w:val="single"/>
    </w:rPr>
  </w:style>
  <w:style w:type="paragraph" w:customStyle="1" w:styleId="TableBodyTextRight">
    <w:name w:val="Table Body Text Right"/>
    <w:basedOn w:val="TableBodyText"/>
    <w:rsid w:val="00B57B26"/>
    <w:pPr>
      <w:widowControl w:val="0"/>
      <w:autoSpaceDE w:val="0"/>
      <w:autoSpaceDN w:val="0"/>
      <w:adjustRightInd w:val="0"/>
      <w:jc w:val="right"/>
    </w:pPr>
    <w:rPr>
      <w:rFonts w:cs="Arial"/>
      <w:szCs w:val="18"/>
    </w:rPr>
  </w:style>
  <w:style w:type="paragraph" w:customStyle="1" w:styleId="CopyrightText">
    <w:name w:val="Copyright Text"/>
    <w:basedOn w:val="BodyText"/>
    <w:rsid w:val="00B57B26"/>
    <w:rPr>
      <w:sz w:val="18"/>
    </w:rPr>
  </w:style>
  <w:style w:type="paragraph" w:customStyle="1" w:styleId="BodySmallRight">
    <w:name w:val="Body Small Right"/>
    <w:basedOn w:val="BodyTextRight"/>
    <w:rsid w:val="00B57B26"/>
    <w:rPr>
      <w:sz w:val="18"/>
      <w:szCs w:val="18"/>
    </w:rPr>
  </w:style>
  <w:style w:type="paragraph" w:customStyle="1" w:styleId="MarginEdition">
    <w:name w:val="Margin Edition"/>
    <w:basedOn w:val="MarginNote"/>
    <w:rsid w:val="00B57B26"/>
    <w:pPr>
      <w:spacing w:before="0" w:after="0"/>
    </w:pPr>
    <w:rPr>
      <w:rFonts w:ascii="Times New Roman" w:hAnsi="Times New Roman"/>
      <w:color w:val="999999"/>
    </w:rPr>
  </w:style>
  <w:style w:type="paragraph" w:customStyle="1" w:styleId="Spacer">
    <w:name w:val="Spacer"/>
    <w:basedOn w:val="Normal"/>
    <w:rsid w:val="00B57B26"/>
    <w:rPr>
      <w:sz w:val="2"/>
      <w:szCs w:val="2"/>
    </w:rPr>
  </w:style>
  <w:style w:type="character" w:customStyle="1" w:styleId="Small">
    <w:name w:val="Small"/>
    <w:basedOn w:val="DefaultParagraphFont"/>
    <w:rsid w:val="00B57B26"/>
    <w:rPr>
      <w:sz w:val="16"/>
    </w:rPr>
  </w:style>
  <w:style w:type="paragraph" w:customStyle="1" w:styleId="WideTable">
    <w:name w:val="Wide Table"/>
    <w:basedOn w:val="Normal"/>
    <w:rsid w:val="00B57B26"/>
    <w:pPr>
      <w:ind w:left="-1418"/>
    </w:pPr>
    <w:rPr>
      <w:sz w:val="2"/>
      <w:szCs w:val="2"/>
    </w:rPr>
  </w:style>
  <w:style w:type="character" w:styleId="PageNumber">
    <w:name w:val="page number"/>
    <w:basedOn w:val="DefaultParagraphFont"/>
    <w:rsid w:val="00B57B26"/>
  </w:style>
  <w:style w:type="paragraph" w:styleId="Quote">
    <w:name w:val="Quote"/>
    <w:basedOn w:val="Heading1"/>
    <w:link w:val="QuoteChar"/>
    <w:qFormat/>
    <w:rsid w:val="00B57B26"/>
    <w:rPr>
      <w:b w:val="0"/>
      <w:sz w:val="72"/>
      <w:szCs w:val="72"/>
      <w:lang w:val="en-NZ"/>
    </w:rPr>
  </w:style>
  <w:style w:type="character" w:customStyle="1" w:styleId="QuoteChar">
    <w:name w:val="Quote Char"/>
    <w:basedOn w:val="DefaultParagraphFont"/>
    <w:link w:val="Quote"/>
    <w:rsid w:val="00B57B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7B26"/>
    <w:pPr>
      <w:pageBreakBefore/>
    </w:pPr>
  </w:style>
  <w:style w:type="paragraph" w:customStyle="1" w:styleId="Border">
    <w:name w:val="Border"/>
    <w:basedOn w:val="Normal"/>
    <w:qFormat/>
    <w:rsid w:val="00B57B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7B26"/>
    <w:rPr>
      <w:b/>
      <w:bCs/>
      <w:i/>
      <w:iCs/>
      <w:color w:val="auto"/>
    </w:rPr>
  </w:style>
  <w:style w:type="paragraph" w:styleId="IntenseQuote">
    <w:name w:val="Intense Quote"/>
    <w:basedOn w:val="Normal"/>
    <w:next w:val="Normal"/>
    <w:link w:val="IntenseQuoteChar"/>
    <w:uiPriority w:val="30"/>
    <w:qFormat/>
    <w:rsid w:val="00B57B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7B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7B26"/>
    <w:rPr>
      <w:smallCaps/>
      <w:color w:val="auto"/>
      <w:u w:val="single"/>
    </w:rPr>
  </w:style>
  <w:style w:type="character" w:styleId="IntenseReference">
    <w:name w:val="Intense Reference"/>
    <w:basedOn w:val="DefaultParagraphFont"/>
    <w:uiPriority w:val="32"/>
    <w:qFormat/>
    <w:rsid w:val="00B57B26"/>
    <w:rPr>
      <w:b/>
      <w:bCs/>
      <w:smallCaps/>
      <w:color w:val="auto"/>
      <w:spacing w:val="5"/>
      <w:u w:val="single"/>
    </w:rPr>
  </w:style>
  <w:style w:type="paragraph" w:customStyle="1" w:styleId="2ColumnHeading">
    <w:name w:val="2Column Heading"/>
    <w:basedOn w:val="BodyText"/>
    <w:qFormat/>
    <w:rsid w:val="00B57B26"/>
    <w:pPr>
      <w:spacing w:after="60"/>
      <w:ind w:left="-2268"/>
    </w:pPr>
    <w:rPr>
      <w:b/>
    </w:rPr>
  </w:style>
  <w:style w:type="paragraph" w:customStyle="1" w:styleId="Heading1TOC">
    <w:name w:val="Heading1 TOC"/>
    <w:basedOn w:val="Normal"/>
    <w:qFormat/>
    <w:rsid w:val="00B57B26"/>
    <w:pPr>
      <w:spacing w:before="240" w:after="120"/>
    </w:pPr>
    <w:rPr>
      <w:rFonts w:ascii="Times New Roman" w:hAnsi="Times New Roman"/>
      <w:b/>
      <w:sz w:val="32"/>
    </w:rPr>
  </w:style>
  <w:style w:type="paragraph" w:customStyle="1" w:styleId="Heading2TOC">
    <w:name w:val="Heading2 TOC"/>
    <w:basedOn w:val="Normal"/>
    <w:qFormat/>
    <w:rsid w:val="00B57B26"/>
    <w:pPr>
      <w:spacing w:before="240" w:after="60"/>
    </w:pPr>
    <w:rPr>
      <w:rFonts w:ascii="Times New Roman" w:hAnsi="Times New Roman"/>
      <w:b/>
      <w:sz w:val="28"/>
    </w:rPr>
  </w:style>
  <w:style w:type="character" w:customStyle="1" w:styleId="Underline">
    <w:name w:val="Underline"/>
    <w:basedOn w:val="DefaultParagraphFont"/>
    <w:qFormat/>
    <w:rsid w:val="00B57B26"/>
    <w:rPr>
      <w:u w:val="single"/>
    </w:rPr>
  </w:style>
  <w:style w:type="character" w:customStyle="1" w:styleId="BoldandItalics">
    <w:name w:val="Bold and Italics"/>
    <w:qFormat/>
    <w:rsid w:val="00B57B26"/>
    <w:rPr>
      <w:b/>
      <w:i/>
      <w:u w:val="none"/>
    </w:rPr>
  </w:style>
  <w:style w:type="paragraph" w:styleId="BalloonText">
    <w:name w:val="Balloon Text"/>
    <w:basedOn w:val="Normal"/>
    <w:link w:val="BalloonTextChar"/>
    <w:rsid w:val="00B57B26"/>
    <w:rPr>
      <w:rFonts w:ascii="Tahoma" w:hAnsi="Tahoma" w:cs="Tahoma"/>
      <w:sz w:val="16"/>
      <w:szCs w:val="16"/>
    </w:rPr>
  </w:style>
  <w:style w:type="character" w:customStyle="1" w:styleId="BalloonTextChar">
    <w:name w:val="Balloon Text Char"/>
    <w:basedOn w:val="DefaultParagraphFont"/>
    <w:link w:val="BalloonText"/>
    <w:rsid w:val="00B57B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7B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7B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2953</Words>
  <Characters>18219</Characters>
  <Application>Microsoft Office Word</Application>
  <DocSecurity>0</DocSecurity>
  <Lines>687</Lines>
  <Paragraphs>288</Paragraphs>
  <ScaleCrop>false</ScaleCrop>
  <Company>Author-it Software Corporation Ltd.</Company>
  <LinksUpToDate>false</LinksUpToDate>
  <CharactersWithSpaces>21005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UEPOPS435A Operate and Monitor Flue Gas Nox Mitigation Systems</dc:title>
  <dc:subject>Approved</dc:subject>
  <dc:creator>EE-Oz Training Standards</dc:creator>
  <cp:keywords>Release: 1</cp:keywords>
  <dc:description>Copyright © 1996-2007 Author-it Software Corporation Ltd., all rights reserved.</dc:description>
  <cp:lastModifiedBy>Peter Giorgilli</cp:lastModifiedBy>
  <cp:revision>3</cp:revision>
  <dcterms:created xsi:type="dcterms:W3CDTF">2012-05-26T22:29:00Z</dcterms:created>
  <dcterms:modified xsi:type="dcterms:W3CDTF">2012-05-26T22:29:00Z</dcterms:modified>
</cp:coreProperties>
</file>