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918" w:rsidP="00A00918">
      <w:pPr>
        <w:pStyle w:val="Title"/>
      </w:pPr>
      <w:r>
        <w:fldChar w:fldCharType="begin"/>
      </w:r>
      <w:r>
        <w:instrText xml:space="preserve"> TITLE   \* MERGEFORMAT </w:instrText>
      </w:r>
      <w:r>
        <w:fldChar w:fldCharType="separate"/>
      </w:r>
      <w:r>
        <w:t>UEPOPS434A Shut Down a Heat Recovery Steam Generator Unit</w:t>
      </w:r>
      <w:r>
        <w:fldChar w:fldCharType="end"/>
      </w:r>
    </w:p>
    <w:p w:rsidR="00A00918" w:rsidP="00A00918">
      <w:pPr>
        <w:pStyle w:val="Version"/>
        <w:sectPr w:rsidSect="00782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F71" w:rsidP="00782F71">
      <w:pPr>
        <w:pStyle w:val="SuperHeading"/>
      </w:pPr>
      <w:r w:rsidRPr="00782F71">
        <w:t>UEPOPS434A Shut Down a Heat Recovery Steam Generator Unit</w:t>
      </w:r>
    </w:p>
    <w:p w:rsidR="00000000" w:rsidRPr="00782F71" w:rsidP="00782F71">
      <w:pPr>
        <w:pStyle w:val="Heading1"/>
      </w:pPr>
      <w:bookmarkStart w:id="1" w:name="O_275387"/>
      <w:bookmarkEnd w:id="1"/>
      <w:r w:rsidRPr="00782F71">
        <w:t>Modification History</w:t>
      </w:r>
    </w:p>
    <w:p w:rsidR="00000000" w:rsidRPr="00782F71" w:rsidP="00782F71">
      <w:pPr>
        <w:pStyle w:val="BodyText"/>
      </w:pPr>
      <w:r w:rsidRPr="00782F71">
        <w:t>Not Applicable</w:t>
      </w:r>
    </w:p>
    <w:p w:rsidR="00000000" w:rsidRPr="00782F71" w:rsidP="00782F71">
      <w:pPr>
        <w:pStyle w:val="AllowPageBreak"/>
      </w:pPr>
    </w:p>
    <w:p w:rsidR="00000000" w:rsidRPr="00782F71" w:rsidP="00782F71">
      <w:pPr>
        <w:pStyle w:val="Heading1"/>
      </w:pPr>
      <w:bookmarkStart w:id="2" w:name="O_230905"/>
      <w:bookmarkEnd w:id="2"/>
      <w:r w:rsidRPr="00782F71">
        <w:t>Unit Descriptor</w:t>
      </w:r>
    </w:p>
    <w:tbl>
      <w:tblPr>
        <w:tblW w:w="0" w:type="auto"/>
        <w:tblLayout w:type="fixed"/>
        <w:tblCellMar>
          <w:left w:w="62" w:type="dxa"/>
          <w:right w:w="62" w:type="dxa"/>
        </w:tblCellMar>
        <w:tblLook w:val="0000"/>
      </w:tblPr>
      <w:tblGrid>
        <w:gridCol w:w="2700"/>
        <w:gridCol w:w="5760"/>
      </w:tblGrid>
      <w:tr w:rsidTr="00A00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1</w:t>
            </w:r>
            <w:r w:rsidRPr="00782F71">
              <w:t xml:space="preserve">) </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 xml:space="preserve">This unit deals with the skills and knowledge required to a shut down of an in-service Heat Recovery Steam Generator unit. </w:t>
            </w:r>
          </w:p>
          <w:p w:rsidR="00000000" w:rsidRPr="00782F71" w:rsidP="00782F71">
            <w:pPr>
              <w:pStyle w:val="BodyText"/>
            </w:pPr>
            <w:r w:rsidRPr="00782F71">
              <w:t>Shut down a Heat Recovery Steam Generator unit (with or without supplementary firing) to a "Boxed up" condition will require the hot</w:t>
            </w:r>
            <w:r w:rsidRPr="00782F71">
              <w:t xml:space="preserve"> gas inlet and cold gas outlet dampers to be closed and the Steam/water drum to be pressurised at normal working level prior to a Hot /Warm restart or to be in a de-pressurised state in preparation for a short/long term outage.</w:t>
            </w:r>
          </w:p>
        </w:tc>
      </w:tr>
    </w:tbl>
    <w:p w:rsidR="00A00918" w:rsidP="00782F71">
      <w:pPr>
        <w:pStyle w:val="BodyText"/>
      </w:pPr>
    </w:p>
    <w:p w:rsidR="00A00918" w:rsidP="00782F71">
      <w:pPr>
        <w:pStyle w:val="BodyText"/>
      </w:pPr>
    </w:p>
    <w:p w:rsidR="00000000" w:rsidRPr="00782F71" w:rsidP="00782F71">
      <w:pPr>
        <w:pStyle w:val="Heading1"/>
      </w:pPr>
      <w:bookmarkStart w:id="3" w:name="O_230908"/>
      <w:bookmarkEnd w:id="3"/>
      <w:r w:rsidRPr="00782F71">
        <w:t>Applicat</w:t>
      </w:r>
      <w:r w:rsidRPr="00782F71">
        <w:t>ion of the Unit</w:t>
      </w:r>
    </w:p>
    <w:tbl>
      <w:tblPr>
        <w:tblW w:w="0" w:type="auto"/>
        <w:tblLayout w:type="fixed"/>
        <w:tblCellMar>
          <w:left w:w="62" w:type="dxa"/>
          <w:right w:w="62" w:type="dxa"/>
        </w:tblCellMar>
        <w:tblLook w:val="0000"/>
      </w:tblPr>
      <w:tblGrid>
        <w:gridCol w:w="2700"/>
        <w:gridCol w:w="5760"/>
      </w:tblGrid>
      <w:tr w:rsidTr="00A00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3</w:t>
            </w:r>
            <w:r w:rsidRPr="00782F71">
              <w:t xml:space="preserve">) </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This unit is intended to augment formally acquired competencies.</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3</w:t>
            </w:r>
            <w:r w:rsidRPr="00782F71">
              <w:t>.</w:t>
            </w:r>
            <w:r w:rsidRPr="00782F71">
              <w:rPr>
                <w:rStyle w:val="SpecialBold"/>
              </w:rPr>
              <w:t>1</w:t>
            </w:r>
            <w:r w:rsidRPr="00782F71">
              <w:t xml:space="preserve">) </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The skills and knowledge described in this unit are subject to regulations directly related to Occupational Health and Safety. Individuals may require a licence to practise in the workplace depending on the requirements of the various State OHS regulations</w:t>
            </w:r>
            <w:r w:rsidRPr="00782F71">
              <w:t>. .</w:t>
            </w:r>
          </w:p>
        </w:tc>
      </w:tr>
    </w:tbl>
    <w:p w:rsidR="00A00918" w:rsidP="00782F71">
      <w:pPr>
        <w:pStyle w:val="BodyText"/>
      </w:pPr>
    </w:p>
    <w:p w:rsidR="00A00918" w:rsidP="00782F71">
      <w:pPr>
        <w:pStyle w:val="BodyText"/>
      </w:pPr>
    </w:p>
    <w:p w:rsidR="00000000" w:rsidRPr="00782F71" w:rsidP="00782F71">
      <w:pPr>
        <w:pStyle w:val="Heading1"/>
      </w:pPr>
      <w:bookmarkStart w:id="4" w:name="O_282921"/>
      <w:bookmarkEnd w:id="4"/>
      <w:r w:rsidRPr="00782F71">
        <w:t>Licensing/Regulatory Information</w:t>
      </w:r>
    </w:p>
    <w:p w:rsidR="00000000" w:rsidRPr="00782F71" w:rsidP="00782F71">
      <w:pPr>
        <w:pStyle w:val="BodyText"/>
      </w:pPr>
      <w:r w:rsidRPr="00782F71">
        <w:t>Not Applicable</w:t>
      </w:r>
    </w:p>
    <w:p w:rsidR="00000000" w:rsidRPr="00782F71" w:rsidP="00782F71">
      <w:pPr>
        <w:pStyle w:val="AllowPageBreak"/>
      </w:pPr>
    </w:p>
    <w:p w:rsidR="00000000" w:rsidRPr="00782F71" w:rsidP="00782F71">
      <w:pPr>
        <w:pStyle w:val="Heading1"/>
      </w:pPr>
      <w:bookmarkStart w:id="5" w:name="O_230906"/>
      <w:bookmarkEnd w:id="5"/>
      <w:r w:rsidRPr="00782F71">
        <w:t>Pre-Requisites</w:t>
      </w:r>
    </w:p>
    <w:tbl>
      <w:tblPr>
        <w:tblW w:w="0" w:type="auto"/>
        <w:tblLayout w:type="fixed"/>
        <w:tblCellMar>
          <w:left w:w="62" w:type="dxa"/>
          <w:right w:w="62" w:type="dxa"/>
        </w:tblCellMar>
        <w:tblLook w:val="0000"/>
      </w:tblPr>
      <w:tblGrid>
        <w:gridCol w:w="2700"/>
        <w:gridCol w:w="1800"/>
        <w:gridCol w:w="3960"/>
      </w:tblGrid>
      <w:tr w:rsidTr="00A00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Prerequisite Unit</w:t>
            </w:r>
            <w:r w:rsidRPr="00782F71">
              <w:t>(</w:t>
            </w:r>
            <w:r w:rsidRPr="00782F71">
              <w:rPr>
                <w:rStyle w:val="SpecialBold"/>
              </w:rPr>
              <w:t>s</w:t>
            </w:r>
            <w:r w:rsidRPr="00782F71">
              <w:t>)</w:t>
            </w:r>
          </w:p>
        </w:tc>
        <w:tc>
          <w:tcPr>
            <w:tcW w:w="57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2</w:t>
            </w:r>
            <w:r w:rsidRPr="00782F71">
              <w:t xml:space="preserve">) </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2</w:t>
            </w:r>
            <w:r w:rsidRPr="00782F71">
              <w:t>.</w:t>
            </w:r>
            <w:r w:rsidRPr="00782F71">
              <w:rPr>
                <w:rStyle w:val="SpecialBold"/>
              </w:rPr>
              <w:t>1</w:t>
            </w:r>
            <w:r w:rsidRPr="00782F71">
              <w:t xml:space="preserve">) </w:t>
            </w:r>
          </w:p>
        </w:tc>
      </w:tr>
      <w:tr w:rsidTr="00A00918">
        <w:tblPrEx>
          <w:tblW w:w="0" w:type="auto"/>
          <w:tblLayout w:type="fixed"/>
          <w:tblCellMar>
            <w:left w:w="62" w:type="dxa"/>
            <w:right w:w="62" w:type="dxa"/>
          </w:tblCellMar>
          <w:tblLook w:val="0000"/>
        </w:tblPrEx>
        <w:tc>
          <w:tcPr>
            <w:tcW w:w="27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Competency in this unit may be assessed concurrently with or only after the following competency sta</w:t>
            </w:r>
            <w:r w:rsidRPr="00782F71">
              <w:t>ndard units have been acquired:</w:t>
            </w:r>
          </w:p>
        </w:tc>
      </w:tr>
      <w:tr w:rsidTr="00A00918">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UEPOPS333A</w:t>
            </w:r>
          </w:p>
        </w:tc>
        <w:tc>
          <w:tcPr>
            <w:tcW w:w="39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Operate and monitor H.R.S.G. hot gas control system</w:t>
            </w:r>
          </w:p>
        </w:tc>
      </w:tr>
      <w:tr w:rsidTr="00A00918">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UEPOPS408A</w:t>
            </w:r>
          </w:p>
        </w:tc>
        <w:tc>
          <w:tcPr>
            <w:tcW w:w="39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Shut down a gas turbine</w:t>
            </w:r>
          </w:p>
        </w:tc>
      </w:tr>
    </w:tbl>
    <w:p w:rsidR="00A00918" w:rsidP="00782F71">
      <w:pPr>
        <w:pStyle w:val="BodyText"/>
      </w:pPr>
    </w:p>
    <w:p w:rsidR="00A00918" w:rsidP="00782F71">
      <w:pPr>
        <w:pStyle w:val="BodyText"/>
      </w:pPr>
    </w:p>
    <w:p w:rsidR="00000000" w:rsidRPr="00782F71" w:rsidP="00782F71">
      <w:pPr>
        <w:pStyle w:val="Heading1"/>
      </w:pPr>
      <w:bookmarkStart w:id="6" w:name="O_285636"/>
      <w:bookmarkEnd w:id="6"/>
      <w:r w:rsidRPr="00782F71">
        <w:t>Employability Skills Information</w:t>
      </w:r>
    </w:p>
    <w:p w:rsidR="00000000" w:rsidRPr="00782F71" w:rsidP="00782F71">
      <w:pPr>
        <w:pStyle w:val="BodyText"/>
      </w:pPr>
      <w:r w:rsidRPr="00782F71">
        <w:t>Refer to the Evidence Guide</w:t>
      </w:r>
    </w:p>
    <w:p w:rsidR="00000000" w:rsidRPr="00782F71" w:rsidP="00782F71">
      <w:pPr>
        <w:pStyle w:val="AllowPageBreak"/>
      </w:pPr>
    </w:p>
    <w:p w:rsidR="00000000" w:rsidRPr="00782F71" w:rsidP="00782F71">
      <w:pPr>
        <w:pStyle w:val="Heading1"/>
      </w:pPr>
      <w:bookmarkStart w:id="7" w:name="O_293433"/>
      <w:bookmarkEnd w:id="7"/>
      <w:r w:rsidRPr="00782F71">
        <w:t>Elements and Performance Criteria Pre-Content</w:t>
      </w:r>
    </w:p>
    <w:tbl>
      <w:tblPr>
        <w:tblW w:w="0" w:type="auto"/>
        <w:tblLayout w:type="fixed"/>
        <w:tblCellMar>
          <w:left w:w="62" w:type="dxa"/>
          <w:right w:w="62" w:type="dxa"/>
        </w:tblCellMar>
        <w:tblLook w:val="0000"/>
      </w:tblPr>
      <w:tblGrid>
        <w:gridCol w:w="2700"/>
        <w:gridCol w:w="5760"/>
      </w:tblGrid>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5</w:t>
            </w:r>
            <w:r w:rsidRPr="00782F7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Performance Criteria describe the required performance needed to demonstrate achievement of the element. Assessment of performance is to be co</w:t>
            </w:r>
            <w:r w:rsidRPr="00782F71">
              <w:t>nsistent with the Evidence Guide.</w:t>
            </w:r>
          </w:p>
        </w:tc>
      </w:tr>
    </w:tbl>
    <w:p w:rsidR="00000000" w:rsidRPr="00782F71" w:rsidP="00782F71">
      <w:pPr>
        <w:pStyle w:val="BodyText"/>
      </w:pPr>
    </w:p>
    <w:p w:rsidR="00000000" w:rsidRPr="00782F71" w:rsidP="00782F71">
      <w:pPr>
        <w:pStyle w:val="AllowPageBreak"/>
      </w:pPr>
    </w:p>
    <w:p w:rsidR="00000000" w:rsidRPr="00782F71" w:rsidP="00782F71">
      <w:pPr>
        <w:pStyle w:val="Heading1"/>
      </w:pPr>
      <w:bookmarkStart w:id="8" w:name="O_240101"/>
      <w:bookmarkEnd w:id="8"/>
      <w:r w:rsidRPr="00782F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009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PERFORMANCE CRITERIA</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1</w:t>
            </w:r>
          </w:p>
        </w:tc>
        <w:tc>
          <w:tcPr>
            <w:tcW w:w="2296" w:type="dxa"/>
            <w:vMerge w:val="restart"/>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Plan and prepare work</w:t>
            </w: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1.1</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Safety issues are identified to comply with enterprise/site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1.2</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Work requirements are identified from relevant personnel and documentation</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1.3</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Pre-operational checks are carried out on plant according to manufacturer's recommendations and site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1.4</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Where appropriate, the teams and individuals roles an</w:t>
            </w:r>
            <w:r w:rsidRPr="00782F71">
              <w:t xml:space="preserve">d responsibilities within the team are identified and, where required, assist in the </w:t>
            </w:r>
            <w:r w:rsidRPr="00782F71">
              <w:t xml:space="preserve">provision of the on-the-job training </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w:t>
            </w:r>
          </w:p>
        </w:tc>
        <w:tc>
          <w:tcPr>
            <w:tcW w:w="2296" w:type="dxa"/>
            <w:vMerge w:val="restart"/>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Operate plant</w:t>
            </w: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2.1</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Supplem</w:t>
            </w:r>
            <w:r w:rsidRPr="00782F71">
              <w:t xml:space="preserve">entary firing system is placed in and out of service in accordance with enterprise, manufacturer's and site requirements. </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2.2</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Gas turbine exhaust gas flow and power output are adjusted to achieve required steam temperature, pressure and flow conditions</w:t>
            </w:r>
            <w:r w:rsidRPr="00782F71">
              <w:t>, observing operating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2.3</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Feedwater flows are adjusted to achieve required steam conditions and demand while observing operating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2.4</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Heat Recovery Steam generator drains and vents are operated in accordance with enterprise, manufacturer's and site requirements to depressurise and drain the steam/water space and heat exchange elements as required.</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2.5</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 xml:space="preserve">Heat Recovery Steam Generator is </w:t>
            </w:r>
            <w:r w:rsidRPr="00782F71">
              <w:t>maintained in the required out of service condition in accordance with enterprise, manufacturer's and site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2.6</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Boiler water quality is maintained within the required parameters to prevent corrosion of the drums, headers and heat exchange e</w:t>
            </w:r>
            <w:r w:rsidRPr="00782F71">
              <w:t>lements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2.7</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Plant is operated within limits of plant design, enterprise or site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2.8</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Plant is monitored and observed to detect deviations from required operating conditions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2.9</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Corrective action is taken to rectify abnormalities in accordance with manufacturer's and enterprise/site procedures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3</w:t>
            </w:r>
          </w:p>
        </w:tc>
        <w:tc>
          <w:tcPr>
            <w:tcW w:w="2296" w:type="dxa"/>
            <w:vMerge w:val="restart"/>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Test plant operation</w:t>
            </w: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3.1</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Tests are performed in accordance with defined procedures applicable to the operational test</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3.2</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System and plant is observed for correct operational response</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3.3</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 xml:space="preserve">Corrective action is taken when response is not in accordance with documentation, plant </w:t>
            </w:r>
            <w:r w:rsidRPr="00782F71">
              <w:t>integrity or personnel safety requirements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3.4</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 xml:space="preserve">Plant is returned to required operational status </w:t>
            </w:r>
            <w:r w:rsidRPr="00782F71">
              <w:t>upon completion of test</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w:t>
            </w:r>
          </w:p>
        </w:tc>
        <w:tc>
          <w:tcPr>
            <w:tcW w:w="2296" w:type="dxa"/>
            <w:vMerge w:val="restart"/>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Analyse system faults</w:t>
            </w: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4.1</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Causes of abnormal plant operating conditions are identified by analysing the technical and operational information in a logical and sequential manner</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4.2</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Corrective action taken is in accordance with enterprise/site procedures</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4.3</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Plant integrity and personnel safety is maintained through consultation with appropriate personnel, and reference to plant, technical and operational documentation</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4.4</w:t>
            </w:r>
          </w:p>
        </w:tc>
        <w:tc>
          <w:tcPr>
            <w:tcW w:w="48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Appro</w:t>
            </w:r>
            <w:r w:rsidRPr="00782F71">
              <w:t>priate personnel are notified when defects are detected</w:t>
            </w:r>
          </w:p>
        </w:tc>
      </w:tr>
      <w:tr w:rsidTr="00A00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5</w:t>
            </w:r>
          </w:p>
        </w:tc>
        <w:tc>
          <w:tcPr>
            <w:tcW w:w="2296"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Complete documentation</w:t>
            </w:r>
          </w:p>
        </w:tc>
        <w:tc>
          <w:tcPr>
            <w:tcW w:w="90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5.1</w:t>
            </w:r>
          </w:p>
        </w:tc>
        <w:tc>
          <w:tcPr>
            <w:tcW w:w="48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Documentation is updated and plant problems, movements, abnormalities and status are reported and logged in accordance with enterprise/site procedures</w:t>
            </w:r>
          </w:p>
        </w:tc>
      </w:tr>
    </w:tbl>
    <w:p w:rsidR="00A00918" w:rsidP="00782F71">
      <w:pPr>
        <w:pStyle w:val="BodyText"/>
      </w:pPr>
    </w:p>
    <w:p w:rsidR="00A00918" w:rsidP="00782F71">
      <w:pPr>
        <w:pStyle w:val="BodyText"/>
      </w:pPr>
    </w:p>
    <w:p w:rsidR="00000000" w:rsidRPr="00782F71" w:rsidP="00782F71">
      <w:pPr>
        <w:pStyle w:val="Heading1"/>
      </w:pPr>
      <w:bookmarkStart w:id="9" w:name="O_263892"/>
      <w:bookmarkEnd w:id="9"/>
      <w:r w:rsidRPr="00782F71">
        <w:t>Required Skills and Knowledge</w:t>
      </w:r>
    </w:p>
    <w:tbl>
      <w:tblPr>
        <w:tblW w:w="0" w:type="auto"/>
        <w:tblLayout w:type="fixed"/>
        <w:tblCellMar>
          <w:left w:w="62" w:type="dxa"/>
          <w:right w:w="62" w:type="dxa"/>
        </w:tblCellMar>
        <w:tblLook w:val="0000"/>
      </w:tblPr>
      <w:tblGrid>
        <w:gridCol w:w="2700"/>
        <w:gridCol w:w="5760"/>
      </w:tblGrid>
      <w:tr w:rsidTr="00A0091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REQUIRED SKILLS AND KNOWLEDGE</w:t>
            </w:r>
          </w:p>
        </w:tc>
      </w:tr>
      <w:tr w:rsidTr="00A0091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6</w:t>
            </w:r>
            <w:r w:rsidRPr="00782F71">
              <w:t>) This describes the essential skills and knowledge and their level, required for this unit.</w:t>
            </w:r>
          </w:p>
        </w:tc>
      </w:tr>
      <w:tr w:rsidTr="00A0091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Evidence shall show that knowledge has been acquired shutting down a heat recovery steam generator unit</w:t>
            </w:r>
          </w:p>
          <w:p w:rsidR="00000000" w:rsidP="00782F71">
            <w:pPr>
              <w:pStyle w:val="BodyText"/>
              <w:rPr>
                <w:lang w:val="en-NZ"/>
              </w:rPr>
            </w:pPr>
            <w:r w:rsidRPr="00782F71">
              <w:t>The extent of the Essential Knowledge and Associated Skills required follows:</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Evidence shall show that knowledge has been acquired for safe working p</w:t>
            </w:r>
            <w:r w:rsidRPr="00782F71">
              <w:t>ractices of:</w:t>
            </w:r>
          </w:p>
          <w:p w:rsidR="00000000" w:rsidRPr="00782F71" w:rsidP="00782F71">
            <w:pPr>
              <w:pStyle w:val="ListBullet3"/>
            </w:pPr>
            <w:r w:rsidRPr="00782F71">
              <w:t xml:space="preserve">Relevant Occupational Health and Safety regulations </w:t>
            </w:r>
          </w:p>
          <w:p w:rsidR="00000000" w:rsidRPr="00782F71" w:rsidP="00782F71">
            <w:pPr>
              <w:pStyle w:val="ListBullet3"/>
            </w:pPr>
            <w:r w:rsidRPr="00782F71">
              <w:t xml:space="preserve">Relevant statutory legislation </w:t>
            </w:r>
          </w:p>
          <w:p w:rsidR="00000000" w:rsidRPr="00782F71" w:rsidP="00782F71">
            <w:pPr>
              <w:pStyle w:val="ListBullet3"/>
            </w:pPr>
            <w:r w:rsidRPr="00782F71">
              <w:t xml:space="preserve">Environmental legislation </w:t>
            </w:r>
          </w:p>
          <w:p w:rsidR="00000000" w:rsidRPr="00782F71" w:rsidP="00782F71">
            <w:pPr>
              <w:pStyle w:val="ListBullet3"/>
            </w:pPr>
            <w:r w:rsidRPr="00782F71">
              <w:t xml:space="preserve">Relevant enterprise/site safety procedures </w:t>
            </w:r>
          </w:p>
          <w:p w:rsidR="00000000" w:rsidRPr="00782F71" w:rsidP="00782F71">
            <w:pPr>
              <w:pStyle w:val="ListBullet3"/>
            </w:pPr>
            <w:r w:rsidRPr="00782F71">
              <w:t xml:space="preserve">Enterprise/site emergency procedures and techniques </w:t>
            </w:r>
          </w:p>
          <w:p w:rsidR="00000000" w:rsidRPr="00782F71" w:rsidP="00782F71">
            <w:pPr>
              <w:pStyle w:val="ListBullet3"/>
            </w:pPr>
            <w:r w:rsidRPr="00782F71">
              <w:t xml:space="preserve">Enterprise recording procedures </w:t>
            </w:r>
          </w:p>
          <w:p w:rsidR="00000000" w:rsidRPr="00782F71" w:rsidP="00782F71">
            <w:pPr>
              <w:pStyle w:val="ListBullet3"/>
            </w:pPr>
            <w:r w:rsidRPr="00782F71">
              <w:t xml:space="preserve">Communication principles </w:t>
            </w:r>
          </w:p>
          <w:p w:rsidR="00000000" w:rsidRPr="00782F71" w:rsidP="00782F71">
            <w:pPr>
              <w:pStyle w:val="ListBullet3"/>
            </w:pPr>
            <w:r w:rsidRPr="00782F71">
              <w:t xml:space="preserve">Control and data acquisition systems </w:t>
            </w:r>
          </w:p>
          <w:p w:rsidR="00000000" w:rsidRPr="00782F71" w:rsidP="00782F71">
            <w:pPr>
              <w:pStyle w:val="ListBullet3"/>
            </w:pPr>
            <w:r w:rsidRPr="00782F71">
              <w:t xml:space="preserve">Computers and software </w:t>
            </w:r>
          </w:p>
          <w:p w:rsidR="00000000" w:rsidRPr="00782F71" w:rsidP="00782F71">
            <w:pPr>
              <w:pStyle w:val="ListBullet3"/>
            </w:pPr>
            <w:r w:rsidRPr="00782F71">
              <w:t xml:space="preserve">Mechanical and electrical supervisory, </w:t>
            </w:r>
          </w:p>
          <w:p w:rsidR="00000000" w:rsidRPr="00782F71" w:rsidP="00782F71">
            <w:pPr>
              <w:pStyle w:val="ListBullet3"/>
            </w:pPr>
            <w:r w:rsidRPr="00782F71">
              <w:t xml:space="preserve">Alarm, protection and control equipment </w:t>
            </w:r>
          </w:p>
          <w:p w:rsidR="00000000" w:rsidRPr="00782F71" w:rsidP="00782F71">
            <w:pPr>
              <w:pStyle w:val="ListBullet3"/>
            </w:pPr>
            <w:r w:rsidRPr="00782F71">
              <w:t>Enterprise/site standard operating procedures; safe operating principles</w:t>
            </w:r>
          </w:p>
          <w:p w:rsidR="00000000" w:rsidRPr="00782F71" w:rsidP="00782F71">
            <w:pPr>
              <w:pStyle w:val="ListBullet3"/>
            </w:pPr>
            <w:r w:rsidRPr="00782F71">
              <w:t>Mathematics, m</w:t>
            </w:r>
            <w:r w:rsidRPr="00782F71">
              <w:t>echanics, physics, chemistry and electrical principles</w:t>
            </w:r>
          </w:p>
          <w:p w:rsidR="00000000" w:rsidRPr="00782F71" w:rsidP="00782F71">
            <w:pPr>
              <w:pStyle w:val="ListBullet3"/>
            </w:pPr>
            <w:r w:rsidRPr="00782F71">
              <w:t xml:space="preserve">Motor performance characteristics; pump and compressor performance characteristics </w:t>
            </w:r>
          </w:p>
          <w:p w:rsidR="00000000" w:rsidRPr="00782F71" w:rsidP="00782F71">
            <w:pPr>
              <w:pStyle w:val="ListBullet3"/>
            </w:pPr>
            <w:r w:rsidRPr="00782F71">
              <w:t>Valve, damper and actuator types and performance characteristics</w:t>
            </w:r>
          </w:p>
          <w:p w:rsidR="00000000" w:rsidRPr="00782F71" w:rsidP="00782F71">
            <w:pPr>
              <w:pStyle w:val="ListBullet3"/>
            </w:pPr>
            <w:r w:rsidRPr="00782F71">
              <w:t>The principles of control of steam temperature and p</w:t>
            </w:r>
            <w:r w:rsidRPr="00782F71">
              <w:t xml:space="preserve">ressure throughout the full range of heat recovery steam generation operation up to and including maximum continuous rating </w:t>
            </w:r>
          </w:p>
          <w:p w:rsidR="00000000" w:rsidRPr="00782F71" w:rsidP="00782F71">
            <w:pPr>
              <w:pStyle w:val="ListBullet3"/>
            </w:pPr>
            <w:r w:rsidRPr="00782F71">
              <w:t xml:space="preserve">Heat recovery steam generator efficiency </w:t>
            </w:r>
          </w:p>
          <w:p w:rsidR="00000000" w:rsidRPr="00782F71" w:rsidP="00782F71">
            <w:pPr>
              <w:pStyle w:val="ListBullet3"/>
            </w:pPr>
            <w:r w:rsidRPr="00782F71">
              <w:t xml:space="preserve">Principles of heat recovery steam generator steam and feedwater chemical treatment </w:t>
            </w:r>
          </w:p>
          <w:p w:rsidR="00000000" w:rsidRPr="00782F71" w:rsidP="00782F71">
            <w:pPr>
              <w:pStyle w:val="ListBullet3"/>
            </w:pPr>
            <w:r w:rsidRPr="00782F71">
              <w:t>The a</w:t>
            </w:r>
            <w:r w:rsidRPr="00782F71">
              <w:t xml:space="preserve">rrangement of the heat recovery steam generator gas path and water and steam circuits </w:t>
            </w:r>
          </w:p>
          <w:p w:rsidR="00000000" w:rsidRPr="00782F71" w:rsidP="00782F71">
            <w:pPr>
              <w:pStyle w:val="ListBullet3"/>
            </w:pPr>
            <w:r w:rsidRPr="00782F71">
              <w:t xml:space="preserve">Fuel conditioning and supplementary firing equipment </w:t>
            </w:r>
          </w:p>
          <w:p w:rsidR="00000000" w:rsidRPr="00782F71" w:rsidP="00782F71">
            <w:pPr>
              <w:pStyle w:val="ListBullet3"/>
            </w:pPr>
            <w:r w:rsidRPr="00782F71">
              <w:t xml:space="preserve">Principles governing efficient combustion </w:t>
            </w:r>
          </w:p>
          <w:p w:rsidR="00000000" w:rsidRPr="00782F71" w:rsidP="00782F71">
            <w:pPr>
              <w:pStyle w:val="ListBullet3"/>
            </w:pPr>
            <w:r w:rsidRPr="00782F71">
              <w:t>The heat recovery steam generator system components and their interaction with other plant and equipment external to that covered by this competency.</w:t>
            </w:r>
          </w:p>
          <w:p w:rsidR="00000000" w:rsidRPr="00782F71" w:rsidP="00782F71">
            <w:pPr>
              <w:pStyle w:val="ListBullet3"/>
            </w:pPr>
            <w:r w:rsidRPr="00782F71">
              <w:t xml:space="preserve">AC and DC electrical distribution systems </w:t>
            </w:r>
          </w:p>
          <w:p w:rsidR="00000000" w:rsidRPr="00782F71" w:rsidP="00782F71">
            <w:pPr>
              <w:pStyle w:val="ListBullet3"/>
            </w:pPr>
            <w:r w:rsidRPr="00782F71">
              <w:t xml:space="preserve">Electric motors </w:t>
            </w:r>
          </w:p>
          <w:p w:rsidR="00000000" w:rsidRPr="00782F71" w:rsidP="00782F71">
            <w:pPr>
              <w:pStyle w:val="ListBullet3"/>
            </w:pPr>
            <w:r w:rsidRPr="00782F71">
              <w:t>Switchgear</w:t>
            </w:r>
          </w:p>
          <w:p w:rsidR="00000000" w:rsidRPr="00782F71" w:rsidP="00782F71">
            <w:pPr>
              <w:pStyle w:val="ListBullet3"/>
            </w:pPr>
            <w:r w:rsidRPr="00782F71">
              <w:t xml:space="preserve">Station water distribution systems </w:t>
            </w:r>
          </w:p>
          <w:p w:rsidR="00000000" w:rsidRPr="00782F71" w:rsidP="00782F71">
            <w:pPr>
              <w:pStyle w:val="ListBullet3"/>
            </w:pPr>
            <w:r w:rsidRPr="00782F71">
              <w:t xml:space="preserve">Fire protection control systems </w:t>
            </w:r>
          </w:p>
          <w:p w:rsidR="00000000" w:rsidRPr="00782F71" w:rsidP="00782F71">
            <w:pPr>
              <w:pStyle w:val="ListBullet3"/>
            </w:pPr>
            <w:r w:rsidRPr="00782F71">
              <w:t xml:space="preserve">Compressed air systems </w:t>
            </w:r>
          </w:p>
          <w:p w:rsidR="00000000" w:rsidP="00782F71">
            <w:pPr>
              <w:pStyle w:val="ListBullet3"/>
              <w:rPr>
                <w:lang w:val="en-NZ"/>
              </w:rPr>
            </w:pPr>
            <w:r w:rsidRPr="00782F71">
              <w:t>Auxiliary supply systems</w:t>
            </w:r>
          </w:p>
        </w:tc>
      </w:tr>
      <w:tr w:rsidTr="00A00918">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782F71" w:rsidP="00782F71">
            <w:pPr>
              <w:pStyle w:val="BodyText"/>
            </w:pPr>
            <w:r w:rsidRPr="00782F71">
              <w:t>Specific skills needed to achieve the Performance Criteria:</w:t>
            </w:r>
          </w:p>
          <w:p w:rsidR="00000000" w:rsidRPr="00782F71" w:rsidP="00782F71">
            <w:pPr>
              <w:pStyle w:val="ListBullet3"/>
            </w:pPr>
            <w:r w:rsidRPr="00782F71">
              <w:t xml:space="preserve">Apply relevant Occupational Health and Safety regulations </w:t>
            </w:r>
          </w:p>
          <w:p w:rsidR="00000000" w:rsidRPr="00782F71" w:rsidP="00782F71">
            <w:pPr>
              <w:pStyle w:val="ListBullet3"/>
            </w:pPr>
            <w:r w:rsidRPr="00782F71">
              <w:t xml:space="preserve">Apply relevant statutory legislation </w:t>
            </w:r>
          </w:p>
          <w:p w:rsidR="00000000" w:rsidRPr="00782F71" w:rsidP="00782F71">
            <w:pPr>
              <w:pStyle w:val="ListBullet3"/>
            </w:pPr>
            <w:r w:rsidRPr="00782F71">
              <w:t>Apply relevan</w:t>
            </w:r>
            <w:r w:rsidRPr="00782F71">
              <w:t xml:space="preserve">t enterprise/site safety procedures </w:t>
            </w:r>
          </w:p>
          <w:p w:rsidR="00000000" w:rsidRPr="00782F71" w:rsidP="00782F71">
            <w:pPr>
              <w:pStyle w:val="ListBullet3"/>
            </w:pPr>
            <w:r w:rsidRPr="00782F71">
              <w:t xml:space="preserve">Apply enterprise/site emergency procedures and techniques </w:t>
            </w:r>
          </w:p>
          <w:p w:rsidR="00000000" w:rsidRPr="00782F71" w:rsidP="00782F71">
            <w:pPr>
              <w:pStyle w:val="ListBullet3"/>
            </w:pPr>
            <w:r w:rsidRPr="00782F71">
              <w:t xml:space="preserve">Apply enterprise recording procedures </w:t>
            </w:r>
          </w:p>
          <w:p w:rsidR="00000000" w:rsidRPr="00782F71" w:rsidP="00782F71">
            <w:pPr>
              <w:pStyle w:val="ListBullet3"/>
            </w:pPr>
            <w:r w:rsidRPr="00782F71">
              <w:t xml:space="preserve">Identify plant status Prepare plant/equipment for operation </w:t>
            </w:r>
          </w:p>
          <w:p w:rsidR="00000000" w:rsidRPr="00782F71" w:rsidP="00782F71">
            <w:pPr>
              <w:pStyle w:val="ListBullet3"/>
            </w:pPr>
            <w:r w:rsidRPr="00782F71">
              <w:t xml:space="preserve">Organise resources </w:t>
            </w:r>
          </w:p>
          <w:p w:rsidR="00000000" w:rsidRPr="00782F71" w:rsidP="00782F71">
            <w:pPr>
              <w:pStyle w:val="ListBullet3"/>
            </w:pPr>
            <w:r w:rsidRPr="00782F71">
              <w:t xml:space="preserve">Operate HRSG plant and equipment </w:t>
            </w:r>
          </w:p>
          <w:p w:rsidR="00000000" w:rsidRPr="00782F71" w:rsidP="00782F71">
            <w:pPr>
              <w:pStyle w:val="ListBullet3"/>
            </w:pPr>
            <w:r w:rsidRPr="00782F71">
              <w:t xml:space="preserve">Apply temperature and pressure raising techniques and principles </w:t>
            </w:r>
          </w:p>
          <w:p w:rsidR="00000000" w:rsidRPr="00782F71" w:rsidP="00782F71">
            <w:pPr>
              <w:pStyle w:val="ListBullet3"/>
            </w:pPr>
            <w:r w:rsidRPr="00782F71">
              <w:t xml:space="preserve">Apply diagnostic and testing techniques </w:t>
            </w:r>
          </w:p>
          <w:p w:rsidR="00000000" w:rsidRPr="00782F71" w:rsidP="00782F71">
            <w:pPr>
              <w:pStyle w:val="ListBullet3"/>
            </w:pPr>
            <w:r w:rsidRPr="00782F71">
              <w:t xml:space="preserve">Identify and respond to abnormal plant operating conditions </w:t>
            </w:r>
          </w:p>
          <w:p w:rsidR="00000000" w:rsidRPr="00782F71" w:rsidP="00782F71">
            <w:pPr>
              <w:pStyle w:val="ListBullet3"/>
            </w:pPr>
            <w:r w:rsidRPr="00782F71">
              <w:t xml:space="preserve">Plan and prioritise work </w:t>
            </w:r>
          </w:p>
          <w:p w:rsidR="00000000" w:rsidRPr="00782F71" w:rsidP="00782F71">
            <w:pPr>
              <w:pStyle w:val="ListBullet3"/>
            </w:pPr>
            <w:r w:rsidRPr="00782F71">
              <w:t xml:space="preserve">Use relevant hand tools </w:t>
            </w:r>
          </w:p>
          <w:p w:rsidR="00000000" w:rsidRPr="00782F71" w:rsidP="00782F71">
            <w:pPr>
              <w:pStyle w:val="ListBullet3"/>
            </w:pPr>
            <w:r w:rsidRPr="00782F71">
              <w:t xml:space="preserve">Communicate effectively </w:t>
            </w:r>
          </w:p>
          <w:p w:rsidR="00000000" w:rsidRPr="00782F71" w:rsidP="00782F71">
            <w:pPr>
              <w:pStyle w:val="ListBullet3"/>
            </w:pPr>
            <w:r w:rsidRPr="00782F71">
              <w:t>Apply data a</w:t>
            </w:r>
            <w:r w:rsidRPr="00782F71">
              <w:t xml:space="preserve">nalysis techniques and tools </w:t>
            </w:r>
          </w:p>
          <w:p w:rsidR="00000000" w:rsidRPr="00782F71" w:rsidP="00782F71">
            <w:pPr>
              <w:pStyle w:val="ListBullet3"/>
            </w:pPr>
            <w:r w:rsidRPr="00782F71">
              <w:t xml:space="preserve">Use diagrams, drawings and symbols </w:t>
            </w:r>
          </w:p>
          <w:p w:rsidR="00000000" w:rsidRPr="00782F71" w:rsidP="00782F71">
            <w:pPr>
              <w:pStyle w:val="ListBullet3"/>
            </w:pPr>
            <w:r w:rsidRPr="00782F71">
              <w:t>Coordinate the operation of equipment to maintain plant integrity, personnel safety, continuity of supply and optimum efficiency.</w:t>
            </w:r>
          </w:p>
        </w:tc>
      </w:tr>
    </w:tbl>
    <w:p w:rsidR="00A00918" w:rsidP="00782F71">
      <w:pPr>
        <w:pStyle w:val="BodyText"/>
      </w:pPr>
    </w:p>
    <w:p w:rsidR="00A00918" w:rsidP="00782F71">
      <w:pPr>
        <w:pStyle w:val="BodyText"/>
      </w:pPr>
    </w:p>
    <w:p w:rsidR="00000000" w:rsidRPr="00782F71" w:rsidP="00782F71">
      <w:pPr>
        <w:pStyle w:val="Heading1"/>
      </w:pPr>
      <w:bookmarkStart w:id="10" w:name="O_248084"/>
      <w:bookmarkEnd w:id="10"/>
      <w:r w:rsidRPr="00782F71">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A0091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EVIDENCE GUIDE</w:t>
            </w:r>
          </w:p>
        </w:tc>
      </w:tr>
      <w:tr w:rsidTr="00A0091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 This provides essential advice for assessment of the competency standard unit and  must be read in conjunction with the Performance Criteria and the Range Statement of the unit and  the Training Package Assessment Guidelines.</w:t>
            </w:r>
          </w:p>
          <w:p w:rsidR="00000000" w:rsidP="00782F71">
            <w:pPr>
              <w:pStyle w:val="BodyText"/>
              <w:rPr>
                <w:lang w:val="en-NZ"/>
              </w:rPr>
            </w:pPr>
            <w:r w:rsidRPr="00782F71">
              <w:t xml:space="preserve">The Evidence Guide forms an </w:t>
            </w:r>
            <w:r w:rsidRPr="00782F71">
              <w:t>integral part of this competency standard unit and shall be used in conjunction with all components parts of this unit and, performed in accordance with the Assessment Guidelines of this Training Package.</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1</w:t>
            </w:r>
            <w:r w:rsidRPr="00782F71">
              <w:t xml:space="preserve">) </w:t>
            </w:r>
          </w:p>
          <w:p w:rsidR="00000000" w:rsidRPr="00782F71" w:rsidP="00782F71">
            <w:pPr>
              <w:pStyle w:val="BodyText"/>
            </w:pPr>
            <w:r w:rsidRPr="00782F71">
              <w:t>Longitude competency development approaches to assessment, such as Profiling, require data to be reliably gathered in a form that can be consistently interpreted over time. This approach is best utilised in Apprenticeship programs and reduces assessment in</w:t>
            </w:r>
            <w:r w:rsidRPr="00782F71">
              <w:t>tervention. It is the Industry preferred model for apprenticeships. However, where summative (or final) assessment is used it is to include the application of the competency in the normal work environment or, at a minimum, the application of the competency</w:t>
            </w:r>
            <w:r w:rsidRPr="00782F71">
              <w:t xml:space="preserve"> in a realistically simulated work environment. It is recognised that, in some circumstances, assessment in part or full can occur outside the workplace. However, it must be in accord with Industry and regulatory policy.</w:t>
            </w:r>
          </w:p>
          <w:p w:rsidR="00000000" w:rsidRPr="00782F71" w:rsidP="00782F71">
            <w:pPr>
              <w:pStyle w:val="BodyText"/>
            </w:pPr>
            <w:r w:rsidRPr="00782F71">
              <w:t>Methods chosen for a particular ass</w:t>
            </w:r>
            <w:r w:rsidRPr="00782F71">
              <w:t>essment will be influenced by various factors. These include the extent of the assessment, the most effective locations for the assessment activities to take place, access to physical resources, additional safety measures that may be required and the criti</w:t>
            </w:r>
            <w:r w:rsidRPr="00782F71">
              <w:t>cal nature of the competencies being assessed.</w:t>
            </w:r>
          </w:p>
          <w:p w:rsidR="00000000" w:rsidRPr="00782F71" w:rsidP="00782F71">
            <w:pPr>
              <w:pStyle w:val="BodyText"/>
            </w:pPr>
            <w:r w:rsidRPr="00782F71">
              <w:t>The critical safety nature of working with electricity, electrical equipment, gas or any other hazardous substance/material carries risk in deeming a person competent. Hence, sources of evidence need to be 'ri</w:t>
            </w:r>
            <w:r w:rsidRPr="00782F71">
              <w:t>ch' in nature so as to minimise error in judgment.</w:t>
            </w:r>
          </w:p>
          <w:p w:rsidR="00000000" w:rsidP="00782F71">
            <w:pPr>
              <w:pStyle w:val="BodyText"/>
              <w:rPr>
                <w:lang w:val="en-NZ"/>
              </w:rPr>
            </w:pPr>
            <w:r w:rsidRPr="00782F71">
              <w:t xml:space="preserve">Activities associated with normal every day work have a bearing on the decision as to how much and how detailed the data gathered will contribute to its 'richness'. Some skills are more critical to safety </w:t>
            </w:r>
            <w:r w:rsidRPr="00782F71">
              <w:t>and operational requirements while the same skills may be more or less frequently practised. These points are raised for the assessors to consider when choosing an assessment method and developing assessment instruments. Sample assessment instruments are i</w:t>
            </w:r>
            <w:r w:rsidRPr="00782F71">
              <w:t>ncluded in the Assessment Guidelines of this Training Package.</w:t>
            </w:r>
          </w:p>
        </w:tc>
      </w:tr>
      <w:tr w:rsidTr="00A0091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2</w:t>
            </w:r>
            <w:r w:rsidRPr="00782F71">
              <w:t xml:space="preserve">) </w:t>
            </w:r>
          </w:p>
          <w:p w:rsidR="00000000" w:rsidP="00782F71">
            <w:pPr>
              <w:pStyle w:val="BodyText"/>
              <w:rPr>
                <w:lang w:val="en-NZ"/>
              </w:rPr>
            </w:pPr>
            <w:r w:rsidRPr="00782F71">
              <w:t>Before the critical aspects of evidence are considered all prerequisites shall be met.</w:t>
            </w:r>
          </w:p>
        </w:tc>
      </w:tr>
      <w:tr w:rsidTr="00A0091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82F71">
            <w:pPr>
              <w:pStyle w:val="ListBullet"/>
              <w:rPr>
                <w:lang w:val="en-NZ"/>
              </w:rPr>
            </w:pPr>
            <w:r w:rsidRPr="00782F71">
              <w:t>A representative body of Performance Criteria demonstrated within the timeframes typically expected of the discipline, work function and industrial environment. In particular this shall incorporate evidence that shows a candidate is able to:</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ListBullet3"/>
            </w:pPr>
            <w:r w:rsidRPr="00782F71">
              <w:t>Implement Occupational Health and Safety workplace procedures and practices including the use of risk control measures as specified in the Performance Criteria and Range Statement</w:t>
            </w:r>
          </w:p>
          <w:p w:rsidR="00000000" w:rsidRPr="00782F71" w:rsidP="00782F71">
            <w:pPr>
              <w:pStyle w:val="ListBullet3"/>
            </w:pPr>
            <w:r w:rsidRPr="00782F71">
              <w:t>Apply sustainable energy principles and practices as specified in the Performance Criteria and Range Statement</w:t>
            </w:r>
          </w:p>
          <w:p w:rsidR="00000000" w:rsidRPr="00782F71" w:rsidP="00782F71">
            <w:pPr>
              <w:pStyle w:val="ListBullet3"/>
            </w:pPr>
            <w:r w:rsidRPr="00782F71">
              <w:t>Demonstrate an understanding of the essential knowledge and associated skills as described in 6) Essential Knowledge and Associated Skills of thi</w:t>
            </w:r>
            <w:r w:rsidRPr="00782F71">
              <w:t>s unit</w:t>
            </w:r>
          </w:p>
          <w:p w:rsidR="00000000" w:rsidRPr="00782F71" w:rsidP="00782F71">
            <w:pPr>
              <w:pStyle w:val="ListBullet3"/>
            </w:pPr>
            <w:r w:rsidRPr="00782F71">
              <w:t>Demonstrate an appropriate level of skills enabling employment</w:t>
            </w:r>
          </w:p>
          <w:p w:rsidR="00000000" w:rsidP="00782F71">
            <w:pPr>
              <w:pStyle w:val="ListBullet3"/>
              <w:rPr>
                <w:lang w:val="en-NZ"/>
              </w:rPr>
            </w:pPr>
            <w:r w:rsidRPr="00782F71">
              <w:t>Conduct work observing the relevant Anti Discrimination legislation, regulations, polices and workplace procedure</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82F71">
            <w:pPr>
              <w:pStyle w:val="ListBullet"/>
              <w:rPr>
                <w:lang w:val="en-NZ"/>
              </w:rPr>
            </w:pPr>
            <w:r w:rsidRPr="00782F71">
              <w:t>Demonstrated performance across a representative range of contexts</w:t>
            </w:r>
            <w:r w:rsidRPr="00782F71">
              <w:t xml:space="preserve"> from the prescribed items below:</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ListBullet3"/>
            </w:pPr>
            <w:r w:rsidRPr="00782F71">
              <w:t xml:space="preserve">The knowledge and application of relevant sections of occupational, health and safety </w:t>
            </w:r>
            <w:r w:rsidRPr="00782F71">
              <w:t>legislation; statutory legislation; enterprise/site safety procedures; enterprise/site standard operating procedures and safe operating principles; enterprise/site emergency procedures</w:t>
            </w:r>
          </w:p>
          <w:p w:rsidR="00000000" w:rsidRPr="00782F71" w:rsidP="00782F71">
            <w:pPr>
              <w:pStyle w:val="ListBullet3"/>
            </w:pPr>
            <w:r w:rsidRPr="00782F71">
              <w:t>The knowledge of principles and techniques of operation of heat recovery steam generator plant and equipment</w:t>
            </w:r>
          </w:p>
          <w:p w:rsidR="00000000" w:rsidRPr="00782F71" w:rsidP="00782F71">
            <w:pPr>
              <w:pStyle w:val="ListBullet3"/>
            </w:pPr>
            <w:r w:rsidRPr="00782F71">
              <w:t>The knowledge of operational testing of plant</w:t>
            </w:r>
          </w:p>
          <w:p w:rsidR="00000000" w:rsidRPr="00782F71" w:rsidP="00782F71">
            <w:pPr>
              <w:pStyle w:val="ListBullet3"/>
            </w:pPr>
            <w:r w:rsidRPr="00782F71">
              <w:t>The knowledge of system components and the manner in which these components interact with other plant</w:t>
            </w:r>
            <w:r w:rsidRPr="00782F71">
              <w:t xml:space="preserve"> and equipment</w:t>
            </w:r>
          </w:p>
          <w:p w:rsidR="00000000" w:rsidRPr="00782F71" w:rsidP="00782F71">
            <w:pPr>
              <w:pStyle w:val="ListBullet3"/>
            </w:pPr>
            <w:r w:rsidRPr="00782F71">
              <w:t>The knowledge of cooling and de-pressurising requirements</w:t>
            </w:r>
          </w:p>
          <w:p w:rsidR="00000000" w:rsidRPr="00782F71" w:rsidP="00782F71">
            <w:pPr>
              <w:pStyle w:val="ListBullet3"/>
            </w:pPr>
            <w:r w:rsidRPr="00782F71">
              <w:t>The knowledge of the principles of heat recovery steam generator and feedwater sampling and chemical treatment</w:t>
            </w:r>
          </w:p>
          <w:p w:rsidR="00000000" w:rsidRPr="00782F71" w:rsidP="00782F71">
            <w:pPr>
              <w:pStyle w:val="ListBullet3"/>
            </w:pPr>
            <w:r w:rsidRPr="00782F71">
              <w:t>The ability to prepare and plan work</w:t>
            </w:r>
          </w:p>
          <w:p w:rsidR="00000000" w:rsidRPr="00782F71" w:rsidP="00782F71">
            <w:pPr>
              <w:pStyle w:val="ListBullet3"/>
            </w:pPr>
            <w:r w:rsidRPr="00782F71">
              <w:t>The ability to prepare plant/equipm</w:t>
            </w:r>
            <w:r w:rsidRPr="00782F71">
              <w:t>ent for operation</w:t>
            </w:r>
          </w:p>
          <w:p w:rsidR="00000000" w:rsidRPr="00782F71" w:rsidP="00782F71">
            <w:pPr>
              <w:pStyle w:val="ListBullet3"/>
            </w:pPr>
            <w:r w:rsidRPr="00782F71">
              <w:t>The ability to operate plant/equipment in accordance with enterprise/site standard operating procedures and safe operating principles</w:t>
            </w:r>
          </w:p>
          <w:p w:rsidR="00000000" w:rsidRPr="00782F71" w:rsidP="00782F71">
            <w:pPr>
              <w:pStyle w:val="ListBullet3"/>
            </w:pPr>
            <w:r w:rsidRPr="00782F71">
              <w:t>The ability to analyse plant faults</w:t>
            </w:r>
          </w:p>
          <w:p w:rsidR="00000000" w:rsidP="00782F71">
            <w:pPr>
              <w:pStyle w:val="ListBullet3"/>
              <w:rPr>
                <w:lang w:val="en-NZ"/>
              </w:rPr>
            </w:pPr>
            <w:r w:rsidRPr="00782F71">
              <w:t>Dealing with an unplanned event by drawing on essential knowledge an</w:t>
            </w:r>
            <w:r w:rsidRPr="00782F71">
              <w:t>d skills to provide appropriate solutions incorporated in the holistic assessment with the above listed items.</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3</w:t>
            </w:r>
            <w:r w:rsidRPr="00782F71">
              <w:t xml:space="preserve">) </w:t>
            </w:r>
          </w:p>
          <w:p w:rsidR="00000000" w:rsidRPr="00782F71" w:rsidP="00782F71">
            <w:pPr>
              <w:pStyle w:val="BodyText"/>
            </w:pPr>
            <w:r w:rsidRPr="00782F71">
              <w:t>This unit should be assessed as it relates to normal work practice using procedures, information and resources typical of a workplace. This should include:</w:t>
            </w:r>
          </w:p>
          <w:p w:rsidR="00000000" w:rsidRPr="00782F71" w:rsidP="00782F71">
            <w:pPr>
              <w:pStyle w:val="ListBullet"/>
            </w:pPr>
            <w:r w:rsidRPr="00782F71">
              <w:t>OHS policy and work procedures and instructions</w:t>
            </w:r>
          </w:p>
          <w:p w:rsidR="00000000" w:rsidRPr="00782F71" w:rsidP="00782F71">
            <w:pPr>
              <w:pStyle w:val="ListBullet"/>
            </w:pPr>
            <w:r w:rsidRPr="00782F71">
              <w:t>Suitable work environment, facilities, equipment an</w:t>
            </w:r>
            <w:r w:rsidRPr="00782F71">
              <w:t>d materials to undertake actual work as prescribed by this unit.</w:t>
            </w:r>
          </w:p>
          <w:p w:rsidR="00000000" w:rsidRPr="00782F71" w:rsidP="00782F71">
            <w:pPr>
              <w:pStyle w:val="BodyText"/>
            </w:pPr>
            <w:r w:rsidRPr="00782F71">
              <w:t>Competency Standards should be assessed in the workplace or simulated workplace and under the normal range of workplace conditions.</w:t>
            </w:r>
          </w:p>
          <w:p w:rsidR="00000000" w:rsidP="00782F71">
            <w:pPr>
              <w:pStyle w:val="BodyText"/>
              <w:rPr>
                <w:lang w:val="en-NZ"/>
              </w:rPr>
            </w:pPr>
            <w:r w:rsidRPr="00782F71">
              <w:t xml:space="preserve">Assessment of this unit will be supported with documentary </w:t>
            </w:r>
            <w:r w:rsidRPr="00782F71">
              <w:t>evidence, by means of endorsement stating type and application of work.</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In addition to the resources listed above in Context of assessment', evidence should show competency working in limited spaces with different types of plan</w:t>
            </w:r>
            <w:r w:rsidRPr="00782F71">
              <w:t>t and equipment as well as different structural/construction types and methods and in a variety of environments.</w:t>
            </w:r>
          </w:p>
        </w:tc>
      </w:tr>
      <w:tr w:rsidTr="00A009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4</w:t>
            </w:r>
            <w:r w:rsidRPr="00782F71">
              <w:t xml:space="preserve">) </w:t>
            </w:r>
          </w:p>
          <w:p w:rsidR="00000000" w:rsidRPr="00782F71" w:rsidP="00782F71">
            <w:pPr>
              <w:pStyle w:val="BodyText"/>
            </w:pPr>
            <w:r w:rsidRPr="00782F71">
              <w:t>This unit shall be assessed by methods given in Volume 1, Part 3 "Assessment Guidelines".</w:t>
            </w:r>
          </w:p>
          <w:p w:rsidR="00000000" w:rsidP="00782F71">
            <w:pPr>
              <w:pStyle w:val="BodyText"/>
              <w:rPr>
                <w:lang w:val="en-NZ"/>
              </w:rPr>
            </w:pPr>
            <w:r w:rsidRPr="00782F71">
              <w:t>Note:</w:t>
            </w:r>
            <w:r w:rsidRPr="00782F71">
              <w:br/>
              <w:t>Competent perfor</w:t>
            </w:r>
            <w:r w:rsidRPr="00782F71">
              <w:t>mance with inherent safe working practices is expected in the Industry to which this unit applies. This requires that the specified essential knowledge and associated skills are assessed in a structured environment which is primarily intended for learning/</w:t>
            </w:r>
            <w:r w:rsidRPr="00782F71">
              <w:t>assessment and incorporates all necessary equipment and facilities for learners to develop and demonstrate the essential knowledge and skills described in this unit.</w:t>
            </w:r>
          </w:p>
        </w:tc>
      </w:tr>
      <w:tr w:rsidTr="00A0091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8</w:t>
            </w:r>
            <w:r w:rsidRPr="00782F71">
              <w:t>.</w:t>
            </w:r>
            <w:r w:rsidRPr="00782F71">
              <w:rPr>
                <w:rStyle w:val="SpecialBold"/>
              </w:rPr>
              <w:t>5</w:t>
            </w:r>
            <w:r w:rsidRPr="00782F71">
              <w:t xml:space="preserve">) </w:t>
            </w:r>
          </w:p>
        </w:tc>
      </w:tr>
      <w:tr w:rsidTr="00A0091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There are no recommended concurrent assessments with this unit, however in some cases efficiencies may be gained in terms of learning and assessment effort being concurrently managed with allied competency standard units where listed.</w:t>
            </w:r>
          </w:p>
        </w:tc>
      </w:tr>
      <w:tr w:rsidTr="00A0091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 xml:space="preserve">UEPOPS341A </w:t>
            </w:r>
          </w:p>
        </w:tc>
        <w:tc>
          <w:tcPr>
            <w:tcW w:w="4680" w:type="dxa"/>
            <w:gridSpan w:val="2"/>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Shut</w:t>
            </w:r>
            <w:r w:rsidRPr="00782F71">
              <w:t xml:space="preserve"> down a steam turbine</w:t>
            </w:r>
          </w:p>
        </w:tc>
      </w:tr>
      <w:tr w:rsidTr="00A0091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82F71" w:rsidP="00782F71">
            <w:pPr>
              <w:pStyle w:val="BodyText"/>
            </w:pPr>
            <w:r w:rsidRPr="00782F7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6</w:t>
            </w:r>
            <w:r w:rsidRPr="00782F71">
              <w:t xml:space="preserve">) </w:t>
            </w:r>
          </w:p>
          <w:p w:rsidR="00000000" w:rsidP="00782F71">
            <w:pPr>
              <w:pStyle w:val="BodyText"/>
              <w:rPr>
                <w:lang w:val="en-NZ"/>
              </w:rPr>
            </w:pPr>
            <w:r w:rsidRPr="00782F71">
              <w:t xml:space="preserve">Evidence that particular key competencies have been achieved within this unit is in the context of </w:t>
            </w:r>
            <w:r w:rsidRPr="00782F71">
              <w:t>the following Performance Criteria of evidence. See Volume 2, Part 4 for an explanation of Key competencies and levels of this Training Package.</w:t>
            </w:r>
          </w:p>
        </w:tc>
      </w:tr>
      <w:tr w:rsidTr="00A0091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r w:rsidRPr="00782F71">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r w:rsidRPr="00782F7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rPr>
                <w:rStyle w:val="SpecialBold"/>
              </w:rPr>
              <w:t>Performance Level</w:t>
            </w: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 xml:space="preserve">How are ideas and </w:t>
            </w:r>
            <w:r w:rsidRPr="00782F71">
              <w:t>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Determine s</w:t>
            </w:r>
            <w:r w:rsidRPr="00782F71">
              <w:t>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p>
          <w:p w:rsidR="00000000" w:rsidP="00782F71">
            <w:pPr>
              <w:pStyle w:val="BodyText"/>
              <w:rPr>
                <w:lang w:val="en-NZ"/>
              </w:rPr>
            </w:pPr>
            <w:r w:rsidRPr="00782F71">
              <w:t>2</w:t>
            </w:r>
          </w:p>
        </w:tc>
      </w:tr>
      <w:tr w:rsidTr="00A0091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p>
        </w:tc>
      </w:tr>
      <w:tr w:rsidTr="00A0091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0091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82F71" w:rsidP="00782F71">
            <w:pPr>
              <w:pStyle w:val="BodyText"/>
            </w:pPr>
            <w:r w:rsidRPr="00782F71">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782F71" w:rsidP="00782F71">
            <w:pPr>
              <w:pStyle w:val="BodyText"/>
            </w:pPr>
            <w:r w:rsidRPr="00782F71">
              <w:rPr>
                <w:rStyle w:val="SpecialBold"/>
              </w:rPr>
              <w:t>8</w:t>
            </w:r>
            <w:r w:rsidRPr="00782F71">
              <w:t>.</w:t>
            </w:r>
            <w:r w:rsidRPr="00782F71">
              <w:rPr>
                <w:rStyle w:val="SpecialBold"/>
              </w:rPr>
              <w:t>7</w:t>
            </w:r>
            <w:r w:rsidRPr="00782F71">
              <w:t xml:space="preserve">) </w:t>
            </w:r>
          </w:p>
          <w:p w:rsidR="00000000" w:rsidP="00782F71">
            <w:pPr>
              <w:pStyle w:val="BodyText"/>
              <w:rPr>
                <w:lang w:val="en-NZ"/>
              </w:rPr>
            </w:pPr>
            <w:r w:rsidRPr="00782F71">
              <w:t xml:space="preserve">Evidence that competency in this unit incorporates skills enabling employment is in the context of the following performance. See Volume 2, Part 5 for definitions and an explanation of skills enabling employment. </w:t>
            </w:r>
          </w:p>
        </w:tc>
      </w:tr>
      <w:tr w:rsidTr="00A0091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r w:rsidRPr="00782F71">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rPr>
                <w:rStyle w:val="SpecialBold"/>
              </w:rPr>
              <w:t>Example of Application</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Completion of tasks within an acceptable timeframe and performance with some supervision.</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 xml:space="preserve">Learning to learn </w:t>
            </w:r>
            <w:r w:rsidRPr="00782F71">
              <w:t>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Comprehension and application of theoretical knowledge to well-developed skills.</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Focused on improvement in own and other team member's performance in the workplace.</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Working understanding of the processes and systems which apply to the workplace.</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Achieving work tasks in a timely manner and ensuring that the work team achieves its stated work goals.</w:t>
            </w:r>
          </w:p>
        </w:tc>
      </w:tr>
      <w:tr w:rsidTr="00A009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F71">
            <w:pPr>
              <w:pStyle w:val="BodyText"/>
              <w:rPr>
                <w:lang w:val="en-NZ"/>
              </w:rPr>
            </w:pPr>
            <w:r w:rsidRPr="00782F71">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F71">
            <w:pPr>
              <w:pStyle w:val="BodyText"/>
              <w:rPr>
                <w:lang w:val="en-NZ"/>
              </w:rPr>
            </w:pPr>
            <w:r w:rsidRPr="00782F71">
              <w:t>Refer to the following example of application:</w:t>
            </w:r>
          </w:p>
        </w:tc>
      </w:tr>
      <w:tr w:rsidTr="00A009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82F71" w:rsidP="00782F71">
            <w:pPr>
              <w:pStyle w:val="BodyText"/>
            </w:pPr>
            <w:r w:rsidRPr="00782F71">
              <w:t>Seek advice and apply solutions to problems relevant to the workplace environment.</w:t>
            </w:r>
          </w:p>
        </w:tc>
      </w:tr>
    </w:tbl>
    <w:p w:rsidR="00A00918" w:rsidP="00782F71">
      <w:pPr>
        <w:pStyle w:val="BodyText"/>
      </w:pPr>
    </w:p>
    <w:p w:rsidR="00A00918" w:rsidP="00782F71">
      <w:pPr>
        <w:pStyle w:val="BodyText"/>
      </w:pPr>
    </w:p>
    <w:p w:rsidR="00000000" w:rsidRPr="00782F71" w:rsidP="00782F71">
      <w:pPr>
        <w:pStyle w:val="Heading1"/>
      </w:pPr>
      <w:bookmarkStart w:id="11" w:name="O_256068"/>
      <w:bookmarkEnd w:id="11"/>
      <w:r w:rsidRPr="00782F71">
        <w:t>Range Statement</w:t>
      </w:r>
    </w:p>
    <w:tbl>
      <w:tblPr>
        <w:tblW w:w="0" w:type="auto"/>
        <w:tblLayout w:type="fixed"/>
        <w:tblCellMar>
          <w:left w:w="62" w:type="dxa"/>
          <w:right w:w="62" w:type="dxa"/>
        </w:tblCellMar>
        <w:tblLook w:val="0000"/>
      </w:tblPr>
      <w:tblGrid>
        <w:gridCol w:w="8460"/>
      </w:tblGrid>
      <w:tr w:rsidTr="00A009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RANGE STATEMENT</w:t>
            </w:r>
          </w:p>
        </w:tc>
      </w:tr>
      <w:tr w:rsidTr="00A009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7</w:t>
            </w:r>
            <w:r w:rsidRPr="00782F71">
              <w:t xml:space="preserve">) This relates to the competency standard unit as a whole, providing the range of contexts and </w:t>
            </w:r>
            <w:r w:rsidRPr="00782F71">
              <w:t>conditions to which the Performance Criteria apply. It allows for different work environments and situations that will affect performance.</w:t>
            </w:r>
          </w:p>
        </w:tc>
      </w:tr>
      <w:tr w:rsidTr="00A009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Plant and equipment may include: gas turbines; gas turbine emission control equipment; gas turbine exhaust gas contr</w:t>
            </w:r>
            <w:r w:rsidRPr="00782F71">
              <w:t>ol dampers; heat recovery steam generators and auxiliary plant; heat recovery steam generator supplementary duct firing equipment; fuel delivery systems; fuel management systems; flame detection equipment; steam temperature control equipment; AC and DC ele</w:t>
            </w:r>
            <w:r w:rsidRPr="00782F71">
              <w:t>ctrical distribution systems; electrical switchgear; electric motors; electric motor driven pumps and fans; diesel engine driven auxiliary plant; station water distribution systems; hydraulic power oil systems; compressed air systems; distributed control s</w:t>
            </w:r>
            <w:r w:rsidRPr="00782F71">
              <w:t>ystems; supervisory, protection, alarm and control equipment.</w:t>
            </w:r>
          </w:p>
          <w:p w:rsidR="00000000" w:rsidRPr="00782F71" w:rsidP="00782F71">
            <w:pPr>
              <w:pStyle w:val="BodyText"/>
            </w:pPr>
            <w:r w:rsidRPr="00782F71">
              <w:t>Safety standards may include relevant sections of Occupational Health and Safety legislation, enterprise safety rules, relevant State and federal legislation, national standards for plant and Au</w:t>
            </w:r>
            <w:r w:rsidRPr="00782F71">
              <w:t>stralian standards.</w:t>
            </w:r>
          </w:p>
          <w:p w:rsidR="00000000" w:rsidRPr="00782F71" w:rsidP="00782F71">
            <w:pPr>
              <w:pStyle w:val="BodyText"/>
            </w:pPr>
            <w:r w:rsidRPr="00782F71">
              <w:t>Information and documentation sources may include verbal or written communications; enterprise safety rules documentation; enterprise operating instructions; computer-based and computer accessed documentation; enterprise/site standing a</w:t>
            </w:r>
            <w:r w:rsidRPr="00782F71">
              <w:t>nd operating instructions; enterprise log books; manufacturer's operation and maintenance manuals; and equipment and alarm manuals.</w:t>
            </w:r>
          </w:p>
          <w:p w:rsidR="00000000" w:rsidRPr="00782F71" w:rsidP="00782F71">
            <w:pPr>
              <w:pStyle w:val="BodyText"/>
            </w:pPr>
            <w:r w:rsidRPr="00782F71">
              <w:t>Technical and operational indicators may include stimuli (auditory, olfactory, tactile, visual), local indicators and record</w:t>
            </w:r>
            <w:r w:rsidRPr="00782F71">
              <w:t>ers, computers and alarms (visible and/or audible).</w:t>
            </w:r>
          </w:p>
          <w:p w:rsidR="00000000" w:rsidRPr="00782F71" w:rsidP="00782F71">
            <w:pPr>
              <w:pStyle w:val="BodyText"/>
            </w:pPr>
            <w:r w:rsidRPr="00782F71">
              <w:t xml:space="preserve">Communications may be by direct personal interaction or by means of telephone, verbal or text-based telephone messaging, two way radio, pager, computer (electronic mail) and/or operating logs (written or </w:t>
            </w:r>
            <w:r w:rsidRPr="00782F71">
              <w:t>verbal).</w:t>
            </w:r>
          </w:p>
          <w:p w:rsidR="00000000" w:rsidRPr="00782F71" w:rsidP="00782F71">
            <w:pPr>
              <w:pStyle w:val="BodyText"/>
            </w:pPr>
            <w:r w:rsidRPr="00782F71">
              <w:t>Appropriate personnel for consultation, giving or receiving direction may include: supervisor/team leader or equivalent, power plant operations personnel or equivalent, technical and engineering officers or equivalent, maintenance staff, other ope</w:t>
            </w:r>
            <w:r w:rsidRPr="00782F71">
              <w:t>rating staff or equivalent, system controller/network controller, field operator, restricted H.V. operators, independent generators and customers and contractor staff.</w:t>
            </w:r>
          </w:p>
          <w:p w:rsidR="00000000" w:rsidRPr="00782F71" w:rsidP="00782F71">
            <w:pPr>
              <w:pStyle w:val="BodyText"/>
            </w:pPr>
            <w:r w:rsidRPr="00782F71">
              <w:t>Operating environment may be remote from the plant and equipment being operated, (in cases where operation is assisted by remote indication of operating parameters and plant status), during inclement or otherwise harsh weather conditions, in hot/wet/noisy/</w:t>
            </w:r>
            <w:r w:rsidRPr="00782F71">
              <w:t>dusty/elevated/confined or enclosed areas or during night periods.</w:t>
            </w:r>
          </w:p>
          <w:p w:rsidR="00000000" w:rsidRPr="00782F71" w:rsidP="00782F71">
            <w:pPr>
              <w:pStyle w:val="BodyText"/>
            </w:pPr>
            <w:r w:rsidRPr="00782F71">
              <w:t>Plant operations (systems requirements) may include: HRSG emergency trip; HRSG shutdown, with or without turbine bypass or by using forced cooling procedures; shutdown to "boxed up" conditi</w:t>
            </w:r>
            <w:r w:rsidRPr="00782F71">
              <w:t>on with the flue gas circuit closed at hot gas inlet and cold gas outlet and steam/water circuit pressurised; shutdown to "depressurised" condition with the flue gas circuit open at hot gas inlet and cold gas outlet and steam/water circuit de-pressurised a</w:t>
            </w:r>
            <w:r w:rsidRPr="00782F71">
              <w:t>nd/or drained.</w:t>
            </w:r>
          </w:p>
          <w:p w:rsidR="00000000" w:rsidRPr="00782F71" w:rsidP="00782F71">
            <w:pPr>
              <w:pStyle w:val="BodyText"/>
            </w:pPr>
            <w:r w:rsidRPr="00782F71">
              <w:t>Faults and abnormal operating conditions may include: Gas Turbine trip, excessively high or low steam/water drum level, loss of a major auxiliary; loss of electrical supply to switchboards, drive motors or valve actuators; feedwater chemical</w:t>
            </w:r>
            <w:r w:rsidRPr="00782F71">
              <w:t xml:space="preserve"> operating limits exceeded; automatic control loop(s) malfunctions; high temperatures on/in, heat recovery steam generator heating surfaces/tubes/headers, low temperatures on/in, heat recovery steam generator heating surfaces/tubes/headers; High/low superh</w:t>
            </w:r>
            <w:r w:rsidRPr="00782F71">
              <w:t>eater or reheater steam temperatures; high temperatures on/in: motor and/or pump bearings, lubricating oil or motor windings; heat exchange element tube leaks; excessive drum water level split; excessively high heating/cooling rates; loss of flame on suppl</w:t>
            </w:r>
            <w:r w:rsidRPr="00782F71">
              <w:t>ementary firing combustors; fuel delivery system malfunction; fuel preparation and delivery systems fires; high differential pressures on oil/air filters and strainers; failed field devices; failed/malfunctioning actuators/dampers/valves; feedwater pumps m</w:t>
            </w:r>
            <w:r w:rsidRPr="00782F71">
              <w:t>alfunctions; heat recovery steam generator protection operation.</w:t>
            </w:r>
          </w:p>
          <w:p w:rsidR="00000000" w:rsidRPr="00782F71" w:rsidP="00782F71">
            <w:pPr>
              <w:pStyle w:val="BodyText"/>
            </w:pPr>
            <w:r w:rsidRPr="00782F71">
              <w:t>Generic terms are used throughout this Training Package for vocational standard shall be regarded as part of the Range Statement in which competency is demonstrated. The definition of these a</w:t>
            </w:r>
            <w:r w:rsidRPr="00782F71">
              <w:t>nd other terms are given in Volume 2, Part 1.</w:t>
            </w:r>
          </w:p>
        </w:tc>
      </w:tr>
    </w:tbl>
    <w:p w:rsidR="00A00918" w:rsidP="00782F71">
      <w:pPr>
        <w:pStyle w:val="BodyText"/>
      </w:pPr>
    </w:p>
    <w:p w:rsidR="00A00918" w:rsidP="00782F71">
      <w:pPr>
        <w:pStyle w:val="BodyText"/>
      </w:pPr>
    </w:p>
    <w:p w:rsidR="00000000" w:rsidRPr="00782F71" w:rsidP="00782F71">
      <w:pPr>
        <w:pStyle w:val="Heading1"/>
      </w:pPr>
      <w:bookmarkStart w:id="12" w:name="O_297081"/>
      <w:bookmarkEnd w:id="12"/>
      <w:r w:rsidRPr="00782F71">
        <w:t>Unit Sector(s)</w:t>
      </w:r>
    </w:p>
    <w:p w:rsidR="00000000" w:rsidRPr="00782F71" w:rsidP="00782F71">
      <w:pPr>
        <w:pStyle w:val="BodyText"/>
      </w:pPr>
      <w:r w:rsidRPr="00782F71">
        <w:t>Not Applicable</w:t>
      </w:r>
    </w:p>
    <w:p w:rsidR="00000000" w:rsidRPr="00782F71" w:rsidP="00782F71">
      <w:pPr>
        <w:pStyle w:val="AllowPageBreak"/>
      </w:pPr>
    </w:p>
    <w:p w:rsidR="00000000" w:rsidRPr="00782F71" w:rsidP="00782F71">
      <w:pPr>
        <w:pStyle w:val="Heading1"/>
      </w:pPr>
      <w:bookmarkStart w:id="13" w:name="O_230907"/>
      <w:bookmarkEnd w:id="13"/>
      <w:r w:rsidRPr="00782F7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00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2</w:t>
            </w:r>
            <w:r w:rsidRPr="00782F71">
              <w:t>.</w:t>
            </w:r>
            <w:r w:rsidRPr="00782F71">
              <w:rPr>
                <w:rStyle w:val="SpecialBold"/>
              </w:rPr>
              <w:t>2</w:t>
            </w:r>
            <w:r w:rsidRPr="00782F71">
              <w:t xml:space="preserve">) </w:t>
            </w:r>
          </w:p>
          <w:p w:rsidR="00000000" w:rsidP="00782F71">
            <w:pPr>
              <w:pStyle w:val="BodyText"/>
              <w:rPr>
                <w:lang w:val="en-NZ"/>
              </w:rPr>
            </w:pPr>
            <w:r w:rsidRPr="00782F71">
              <w:t>Participants are best equipped to achieve this unit if they have reading, writi</w:t>
            </w:r>
            <w:r w:rsidRPr="00782F71">
              <w:t>ng and numeracy skills indicated by the following scales. Description of each scale is given in Volume 2, Part 3 Literacy and Numeracy</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Reading</w:t>
            </w:r>
          </w:p>
        </w:tc>
        <w:tc>
          <w:tcPr>
            <w:tcW w:w="805"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w:t>
            </w:r>
          </w:p>
        </w:tc>
        <w:tc>
          <w:tcPr>
            <w:tcW w:w="1184"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Writing</w:t>
            </w:r>
          </w:p>
        </w:tc>
        <w:tc>
          <w:tcPr>
            <w:tcW w:w="805"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4</w:t>
            </w:r>
          </w:p>
        </w:tc>
        <w:tc>
          <w:tcPr>
            <w:tcW w:w="1172"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t>Numeracy</w:t>
            </w:r>
          </w:p>
        </w:tc>
        <w:tc>
          <w:tcPr>
            <w:tcW w:w="805"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4</w:t>
            </w:r>
          </w:p>
        </w:tc>
      </w:tr>
    </w:tbl>
    <w:p w:rsidR="00A00918" w:rsidP="00782F71">
      <w:pPr>
        <w:pStyle w:val="BodyText"/>
      </w:pPr>
    </w:p>
    <w:p w:rsidR="00A00918" w:rsidP="00782F71">
      <w:pPr>
        <w:pStyle w:val="BodyText"/>
      </w:pPr>
    </w:p>
    <w:p w:rsidR="00000000" w:rsidRPr="00782F71" w:rsidP="00782F71">
      <w:pPr>
        <w:pStyle w:val="Heading1"/>
      </w:pPr>
      <w:bookmarkStart w:id="14" w:name="O_230909"/>
      <w:bookmarkEnd w:id="14"/>
      <w:r w:rsidRPr="00782F71">
        <w:t>Competency Field</w:t>
      </w:r>
    </w:p>
    <w:tbl>
      <w:tblPr>
        <w:tblW w:w="0" w:type="auto"/>
        <w:tblLayout w:type="fixed"/>
        <w:tblCellMar>
          <w:left w:w="62" w:type="dxa"/>
          <w:right w:w="62" w:type="dxa"/>
        </w:tblCellMar>
        <w:tblLook w:val="0000"/>
      </w:tblPr>
      <w:tblGrid>
        <w:gridCol w:w="2700"/>
        <w:gridCol w:w="5760"/>
      </w:tblGrid>
      <w:tr w:rsidTr="00A00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2F71">
            <w:pPr>
              <w:pStyle w:val="BodyText"/>
              <w:rPr>
                <w:lang w:val="en-NZ"/>
              </w:rPr>
            </w:pPr>
            <w:r w:rsidRPr="00782F71">
              <w:rPr>
                <w:rStyle w:val="SpecialBold"/>
              </w:rPr>
              <w:t>4</w:t>
            </w:r>
            <w:r w:rsidRPr="00782F71">
              <w:t xml:space="preserve">) </w:t>
            </w:r>
          </w:p>
        </w:tc>
      </w:tr>
      <w:tr w:rsidTr="00A00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2F71" w:rsidP="00782F71">
            <w:pPr>
              <w:pStyle w:val="BodyText"/>
            </w:pPr>
            <w:r w:rsidRPr="00782F71">
              <w:t>Operations</w:t>
            </w:r>
          </w:p>
        </w:tc>
      </w:tr>
    </w:tbl>
    <w:p w:rsidR="00A00918" w:rsidP="00782F71">
      <w:pPr>
        <w:pStyle w:val="BodyText"/>
      </w:pPr>
    </w:p>
    <w:p w:rsidR="00A00918" w:rsidP="00782F71">
      <w:pPr>
        <w:pStyle w:val="BodyText"/>
      </w:pPr>
    </w:p>
    <w:p w:rsidR="00000000" w:rsidRPr="00782F71" w:rsidP="00782F71"/>
    <w:sectPr w:rsidSect="00782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918" w:rsidP="00A00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18" w:rsidP="00782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00918" w:rsidP="00782F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0918" w:rsidP="00782F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918" w:rsidP="00A00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918" w:rsidP="00782F71">
    <w:pPr>
      <w:pStyle w:val="Header"/>
      <w:framePr w:wrap="around"/>
    </w:pPr>
    <w:r>
      <w:fldChar w:fldCharType="begin"/>
    </w:r>
    <w:r>
      <w:instrText xml:space="preserve"> TITLE   \* MERGEFORMAT </w:instrText>
    </w:r>
    <w:r>
      <w:fldChar w:fldCharType="separate"/>
    </w:r>
    <w:r>
      <w:t>UEPOPS434A Shut Down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00918" w:rsidP="00782F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8CE3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EA9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F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F71"/>
    <w:pPr>
      <w:spacing w:before="360" w:after="60"/>
      <w:outlineLvl w:val="0"/>
    </w:pPr>
    <w:rPr>
      <w:sz w:val="32"/>
    </w:rPr>
  </w:style>
  <w:style w:type="paragraph" w:styleId="Heading2">
    <w:name w:val="heading 2"/>
    <w:basedOn w:val="HeadingBase"/>
    <w:next w:val="BodyText"/>
    <w:link w:val="Heading2Char"/>
    <w:qFormat/>
    <w:rsid w:val="00782F71"/>
    <w:pPr>
      <w:keepLines/>
      <w:spacing w:before="240" w:after="120"/>
      <w:outlineLvl w:val="1"/>
    </w:pPr>
    <w:rPr>
      <w:sz w:val="28"/>
      <w:szCs w:val="40"/>
    </w:rPr>
  </w:style>
  <w:style w:type="paragraph" w:styleId="Heading3">
    <w:name w:val="heading 3"/>
    <w:basedOn w:val="HeadingBase"/>
    <w:next w:val="BodyText"/>
    <w:link w:val="Heading3Char"/>
    <w:qFormat/>
    <w:rsid w:val="00782F71"/>
    <w:pPr>
      <w:spacing w:before="180" w:after="120"/>
      <w:outlineLvl w:val="2"/>
    </w:pPr>
    <w:rPr>
      <w:spacing w:val="-10"/>
      <w:kern w:val="32"/>
    </w:rPr>
  </w:style>
  <w:style w:type="paragraph" w:styleId="Heading4">
    <w:name w:val="heading 4"/>
    <w:basedOn w:val="HeadingBase"/>
    <w:next w:val="BodyText"/>
    <w:link w:val="Heading4Char"/>
    <w:qFormat/>
    <w:rsid w:val="00782F71"/>
    <w:pPr>
      <w:spacing w:before="160" w:after="120"/>
      <w:outlineLvl w:val="3"/>
    </w:pPr>
    <w:rPr>
      <w:sz w:val="22"/>
    </w:rPr>
  </w:style>
  <w:style w:type="paragraph" w:styleId="Heading5">
    <w:name w:val="heading 5"/>
    <w:basedOn w:val="HeadingBase"/>
    <w:next w:val="Normal"/>
    <w:link w:val="Heading5Char"/>
    <w:qFormat/>
    <w:rsid w:val="00782F71"/>
    <w:pPr>
      <w:spacing w:before="80"/>
      <w:outlineLvl w:val="4"/>
    </w:pPr>
    <w:rPr>
      <w:color w:val="918585"/>
      <w:sz w:val="20"/>
    </w:rPr>
  </w:style>
  <w:style w:type="paragraph" w:styleId="Heading6">
    <w:name w:val="heading 6"/>
    <w:basedOn w:val="HeadingBase"/>
    <w:next w:val="Normal"/>
    <w:link w:val="Heading6Char"/>
    <w:qFormat/>
    <w:rsid w:val="00782F71"/>
    <w:pPr>
      <w:spacing w:before="60"/>
      <w:outlineLvl w:val="5"/>
    </w:pPr>
    <w:rPr>
      <w:color w:val="918585"/>
      <w:sz w:val="20"/>
    </w:rPr>
  </w:style>
  <w:style w:type="paragraph" w:styleId="Heading7">
    <w:name w:val="heading 7"/>
    <w:basedOn w:val="Normal"/>
    <w:next w:val="Normal"/>
    <w:link w:val="Heading7Char"/>
    <w:qFormat/>
    <w:rsid w:val="00782F71"/>
    <w:pPr>
      <w:ind w:left="720"/>
      <w:outlineLvl w:val="6"/>
    </w:pPr>
    <w:rPr>
      <w:i/>
    </w:rPr>
  </w:style>
  <w:style w:type="paragraph" w:styleId="Heading8">
    <w:name w:val="heading 8"/>
    <w:basedOn w:val="Normal"/>
    <w:next w:val="Normal"/>
    <w:link w:val="Heading8Char"/>
    <w:qFormat/>
    <w:rsid w:val="00782F71"/>
    <w:pPr>
      <w:ind w:left="720"/>
      <w:outlineLvl w:val="7"/>
    </w:pPr>
    <w:rPr>
      <w:i/>
    </w:rPr>
  </w:style>
  <w:style w:type="paragraph" w:styleId="Heading9">
    <w:name w:val="heading 9"/>
    <w:basedOn w:val="Normal"/>
    <w:next w:val="Normal"/>
    <w:link w:val="Heading9Char"/>
    <w:qFormat/>
    <w:rsid w:val="00782F71"/>
    <w:pPr>
      <w:ind w:left="720"/>
      <w:outlineLvl w:val="8"/>
    </w:pPr>
    <w:rPr>
      <w:i/>
    </w:rPr>
  </w:style>
  <w:style w:type="character" w:default="1" w:styleId="DefaultParagraphFont">
    <w:name w:val="Default Paragraph Font"/>
    <w:uiPriority w:val="1"/>
    <w:unhideWhenUsed/>
    <w:rsid w:val="00782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F71"/>
  </w:style>
  <w:style w:type="character" w:customStyle="1" w:styleId="Heading1Char">
    <w:name w:val="Heading 1 Char"/>
    <w:basedOn w:val="DefaultParagraphFont"/>
    <w:link w:val="Heading1"/>
    <w:rsid w:val="00782F71"/>
    <w:rPr>
      <w:rFonts w:ascii="Times New Roman" w:eastAsia="Times New Roman" w:hAnsi="Times New Roman" w:cs="Times New Roman"/>
      <w:b/>
      <w:sz w:val="32"/>
      <w:szCs w:val="20"/>
      <w:lang w:eastAsia="en-US"/>
    </w:rPr>
  </w:style>
  <w:style w:type="paragraph" w:styleId="BodyText">
    <w:name w:val="Body Text"/>
    <w:basedOn w:val="Normal"/>
    <w:link w:val="BodyTextChar"/>
    <w:rsid w:val="00782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F71"/>
    <w:rPr>
      <w:rFonts w:ascii="Times New Roman" w:eastAsia="Times New Roman" w:hAnsi="Times New Roman" w:cs="Times New Roman"/>
      <w:sz w:val="24"/>
      <w:lang w:val="en-US" w:eastAsia="en-US"/>
    </w:rPr>
  </w:style>
  <w:style w:type="paragraph" w:styleId="Footer">
    <w:name w:val="footer"/>
    <w:basedOn w:val="Normal"/>
    <w:link w:val="FooterChar"/>
    <w:rsid w:val="00782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F71"/>
    <w:rPr>
      <w:rFonts w:ascii="Times New Roman" w:eastAsia="Times New Roman" w:hAnsi="Times New Roman" w:cs="Times New Roman"/>
      <w:sz w:val="16"/>
      <w:lang w:val="en-US" w:eastAsia="en-US"/>
    </w:rPr>
  </w:style>
  <w:style w:type="paragraph" w:styleId="ListBullet">
    <w:name w:val="List Bullet"/>
    <w:basedOn w:val="List"/>
    <w:rsid w:val="00782F71"/>
    <w:pPr>
      <w:numPr>
        <w:numId w:val="13"/>
      </w:numPr>
      <w:tabs>
        <w:tab w:val="clear" w:pos="340"/>
      </w:tabs>
      <w:spacing w:before="40" w:after="40"/>
    </w:pPr>
  </w:style>
  <w:style w:type="character" w:customStyle="1" w:styleId="SpecialBold">
    <w:name w:val="Special Bold"/>
    <w:basedOn w:val="DefaultParagraphFont"/>
    <w:rsid w:val="00782F71"/>
    <w:rPr>
      <w:b/>
      <w:spacing w:val="0"/>
    </w:rPr>
  </w:style>
  <w:style w:type="paragraph" w:styleId="Header">
    <w:name w:val="header"/>
    <w:basedOn w:val="Normal"/>
    <w:link w:val="HeaderChar"/>
    <w:rsid w:val="00782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F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2F71"/>
    <w:pPr>
      <w:spacing w:before="240" w:after="120"/>
      <w:outlineLvl w:val="0"/>
    </w:pPr>
    <w:rPr>
      <w:rFonts w:ascii="Times New Roman" w:hAnsi="Times New Roman"/>
      <w:b/>
      <w:sz w:val="28"/>
    </w:rPr>
  </w:style>
  <w:style w:type="paragraph" w:customStyle="1" w:styleId="AllowPageBreak">
    <w:name w:val="AllowPageBreak"/>
    <w:rsid w:val="00782F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2F71"/>
    <w:pPr>
      <w:numPr>
        <w:numId w:val="2"/>
      </w:numPr>
      <w:tabs>
        <w:tab w:val="clear" w:pos="1021"/>
      </w:tabs>
      <w:ind w:left="1037" w:hanging="357"/>
    </w:pPr>
  </w:style>
  <w:style w:type="character" w:customStyle="1" w:styleId="Heading2Char">
    <w:name w:val="Heading 2 Char"/>
    <w:basedOn w:val="DefaultParagraphFont"/>
    <w:link w:val="Heading2"/>
    <w:rsid w:val="00782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F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F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F71"/>
    <w:rPr>
      <w:rFonts w:ascii="Courier New" w:eastAsia="Times New Roman" w:hAnsi="Courier New" w:cs="Times New Roman"/>
      <w:i/>
      <w:szCs w:val="20"/>
      <w:lang w:val="en-US" w:eastAsia="en-US"/>
    </w:rPr>
  </w:style>
  <w:style w:type="paragraph" w:customStyle="1" w:styleId="HeadingBase">
    <w:name w:val="Heading Base"/>
    <w:rsid w:val="00782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F71"/>
    <w:pPr>
      <w:tabs>
        <w:tab w:val="right" w:leader="dot" w:pos="9072"/>
      </w:tabs>
      <w:ind w:left="567"/>
    </w:pPr>
    <w:rPr>
      <w:szCs w:val="22"/>
    </w:rPr>
  </w:style>
  <w:style w:type="paragraph" w:customStyle="1" w:styleId="TOCBase">
    <w:name w:val="TOC Base"/>
    <w:rsid w:val="00782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F71"/>
    <w:pPr>
      <w:tabs>
        <w:tab w:val="right" w:leader="dot" w:pos="9072"/>
      </w:tabs>
      <w:spacing w:before="40" w:after="40"/>
      <w:ind w:left="284"/>
    </w:pPr>
    <w:rPr>
      <w:rFonts w:ascii="Times New Roman" w:hAnsi="Times New Roman"/>
    </w:rPr>
  </w:style>
  <w:style w:type="paragraph" w:styleId="TOC1">
    <w:name w:val="toc 1"/>
    <w:basedOn w:val="TOCBase"/>
    <w:next w:val="Normal"/>
    <w:rsid w:val="00782F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F71"/>
    <w:pPr>
      <w:spacing w:before="5040"/>
      <w:jc w:val="center"/>
    </w:pPr>
    <w:rPr>
      <w:sz w:val="48"/>
      <w:szCs w:val="72"/>
      <w:lang w:val="en-US"/>
    </w:rPr>
  </w:style>
  <w:style w:type="character" w:customStyle="1" w:styleId="TitleChar">
    <w:name w:val="Title Char"/>
    <w:basedOn w:val="DefaultParagraphFont"/>
    <w:link w:val="Title"/>
    <w:rsid w:val="00782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F71"/>
    <w:pPr>
      <w:tabs>
        <w:tab w:val="left" w:pos="3600"/>
        <w:tab w:val="left" w:pos="3958"/>
      </w:tabs>
    </w:pPr>
  </w:style>
  <w:style w:type="paragraph" w:styleId="List">
    <w:name w:val="List"/>
    <w:basedOn w:val="BodyText"/>
    <w:next w:val="BodyText"/>
    <w:rsid w:val="00782F71"/>
    <w:pPr>
      <w:tabs>
        <w:tab w:val="left" w:pos="340"/>
      </w:tabs>
      <w:spacing w:before="60" w:after="60"/>
      <w:ind w:left="340" w:hanging="340"/>
    </w:pPr>
  </w:style>
  <w:style w:type="paragraph" w:customStyle="1" w:styleId="Note">
    <w:name w:val="Note"/>
    <w:basedOn w:val="BodyText"/>
    <w:rsid w:val="00782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F71"/>
    <w:pPr>
      <w:framePr w:wrap="auto" w:hAnchor="text" w:y="6049"/>
    </w:pPr>
    <w:rPr>
      <w:color w:val="000000"/>
      <w:sz w:val="40"/>
    </w:rPr>
  </w:style>
  <w:style w:type="paragraph" w:customStyle="1" w:styleId="TOCTitle">
    <w:name w:val="TOCTitle"/>
    <w:basedOn w:val="Heading1"/>
    <w:rsid w:val="00782F71"/>
    <w:pPr>
      <w:spacing w:after="240"/>
      <w:jc w:val="center"/>
      <w:outlineLvl w:val="9"/>
    </w:pPr>
    <w:rPr>
      <w:caps/>
    </w:rPr>
  </w:style>
  <w:style w:type="paragraph" w:customStyle="1" w:styleId="Version">
    <w:name w:val="Version"/>
    <w:rsid w:val="00782F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F71"/>
    <w:pPr>
      <w:numPr>
        <w:numId w:val="14"/>
      </w:numPr>
      <w:tabs>
        <w:tab w:val="clear" w:pos="680"/>
      </w:tabs>
    </w:pPr>
  </w:style>
  <w:style w:type="paragraph" w:styleId="Index1">
    <w:name w:val="index 1"/>
    <w:basedOn w:val="Normal"/>
    <w:next w:val="Normal"/>
    <w:semiHidden/>
    <w:rsid w:val="00782F71"/>
    <w:pPr>
      <w:keepNext w:val="0"/>
      <w:tabs>
        <w:tab w:val="right" w:pos="4176"/>
      </w:tabs>
      <w:ind w:left="198" w:hanging="198"/>
    </w:pPr>
    <w:rPr>
      <w:rFonts w:ascii="Garamond" w:hAnsi="Garamond"/>
    </w:rPr>
  </w:style>
  <w:style w:type="paragraph" w:styleId="IndexHeading">
    <w:name w:val="index heading"/>
    <w:basedOn w:val="Normal"/>
    <w:next w:val="Index1"/>
    <w:semiHidden/>
    <w:rsid w:val="00782F71"/>
    <w:pPr>
      <w:spacing w:before="120" w:after="120"/>
    </w:pPr>
    <w:rPr>
      <w:rFonts w:ascii="Arial" w:hAnsi="Arial"/>
      <w:b/>
      <w:color w:val="918585"/>
      <w:sz w:val="24"/>
    </w:rPr>
  </w:style>
  <w:style w:type="paragraph" w:customStyle="1" w:styleId="Chapter">
    <w:name w:val="Chapter"/>
    <w:basedOn w:val="Normal"/>
    <w:rsid w:val="00782F71"/>
    <w:pPr>
      <w:spacing w:before="240"/>
    </w:pPr>
    <w:rPr>
      <w:rFonts w:ascii="Times New Roman" w:hAnsi="Times New Roman"/>
      <w:smallCaps/>
      <w:spacing w:val="80"/>
      <w:sz w:val="28"/>
    </w:rPr>
  </w:style>
  <w:style w:type="paragraph" w:customStyle="1" w:styleId="InChapter">
    <w:name w:val="InChapter"/>
    <w:basedOn w:val="Heading3"/>
    <w:rsid w:val="00782F71"/>
    <w:pPr>
      <w:spacing w:after="240"/>
      <w:outlineLvl w:val="9"/>
    </w:pPr>
    <w:rPr>
      <w:noProof/>
    </w:rPr>
  </w:style>
  <w:style w:type="paragraph" w:styleId="Index2">
    <w:name w:val="index 2"/>
    <w:basedOn w:val="Normal"/>
    <w:next w:val="Normal"/>
    <w:semiHidden/>
    <w:rsid w:val="00782F71"/>
    <w:pPr>
      <w:tabs>
        <w:tab w:val="right" w:pos="4176"/>
      </w:tabs>
      <w:ind w:left="568" w:hanging="284"/>
    </w:pPr>
    <w:rPr>
      <w:rFonts w:ascii="Garamond" w:hAnsi="Garamond"/>
    </w:rPr>
  </w:style>
  <w:style w:type="paragraph" w:customStyle="1" w:styleId="Byline">
    <w:name w:val="Byline"/>
    <w:rsid w:val="00782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F71"/>
    <w:pPr>
      <w:tabs>
        <w:tab w:val="clear" w:pos="3600"/>
        <w:tab w:val="clear" w:pos="3958"/>
      </w:tabs>
      <w:jc w:val="right"/>
    </w:pPr>
  </w:style>
  <w:style w:type="character" w:styleId="Emphasis">
    <w:name w:val="Emphasis"/>
    <w:basedOn w:val="DefaultParagraphFont"/>
    <w:qFormat/>
    <w:rsid w:val="00782F71"/>
    <w:rPr>
      <w:i/>
    </w:rPr>
  </w:style>
  <w:style w:type="paragraph" w:styleId="Caption">
    <w:name w:val="caption"/>
    <w:basedOn w:val="BodyText"/>
    <w:next w:val="Normal"/>
    <w:qFormat/>
    <w:rsid w:val="00782F71"/>
    <w:pPr>
      <w:framePr w:w="2268" w:hSpace="181" w:vSpace="181" w:wrap="around" w:vAnchor="text" w:hAnchor="page" w:x="1135" w:y="285" w:anchorLock="1"/>
    </w:pPr>
    <w:rPr>
      <w:i/>
    </w:rPr>
  </w:style>
  <w:style w:type="paragraph" w:customStyle="1" w:styleId="MiniTOCTitle">
    <w:name w:val="MiniTOCTitle"/>
    <w:basedOn w:val="Heading4"/>
    <w:rsid w:val="00782F71"/>
    <w:pPr>
      <w:spacing w:before="240"/>
      <w:outlineLvl w:val="9"/>
    </w:pPr>
    <w:rPr>
      <w:noProof/>
      <w:sz w:val="24"/>
    </w:rPr>
  </w:style>
  <w:style w:type="paragraph" w:customStyle="1" w:styleId="MiniTOCItem">
    <w:name w:val="MiniTOCItem"/>
    <w:basedOn w:val="ListBullet"/>
    <w:rsid w:val="00782F71"/>
    <w:pPr>
      <w:numPr>
        <w:numId w:val="0"/>
      </w:numPr>
      <w:tabs>
        <w:tab w:val="right" w:leader="dot" w:pos="6521"/>
      </w:tabs>
      <w:spacing w:before="0" w:after="0"/>
    </w:pPr>
  </w:style>
  <w:style w:type="paragraph" w:customStyle="1" w:styleId="TOFTitle">
    <w:name w:val="TOFTitle"/>
    <w:basedOn w:val="TOCTitle"/>
    <w:rsid w:val="00782F71"/>
  </w:style>
  <w:style w:type="paragraph" w:styleId="TableofFigures">
    <w:name w:val="table of figures"/>
    <w:basedOn w:val="Normal"/>
    <w:next w:val="Normal"/>
    <w:semiHidden/>
    <w:rsid w:val="00782F71"/>
    <w:pPr>
      <w:tabs>
        <w:tab w:val="right" w:leader="dot" w:pos="9072"/>
      </w:tabs>
      <w:ind w:left="970" w:hanging="403"/>
    </w:pPr>
    <w:rPr>
      <w:rFonts w:ascii="Times New Roman" w:hAnsi="Times New Roman"/>
      <w:b/>
    </w:rPr>
  </w:style>
  <w:style w:type="paragraph" w:styleId="ListNumber">
    <w:name w:val="List Number"/>
    <w:basedOn w:val="List"/>
    <w:rsid w:val="00782F71"/>
    <w:pPr>
      <w:numPr>
        <w:numId w:val="11"/>
      </w:numPr>
    </w:pPr>
  </w:style>
  <w:style w:type="character" w:customStyle="1" w:styleId="WingdingSymbols">
    <w:name w:val="Wingding Symbols"/>
    <w:rsid w:val="00782F71"/>
    <w:rPr>
      <w:rFonts w:ascii="Wingdings" w:hAnsi="Wingdings"/>
    </w:rPr>
  </w:style>
  <w:style w:type="paragraph" w:customStyle="1" w:styleId="TableHeading">
    <w:name w:val="Table Heading"/>
    <w:basedOn w:val="HeadingBase"/>
    <w:rsid w:val="00782F71"/>
    <w:pPr>
      <w:keepLines/>
      <w:pBdr>
        <w:bottom w:val="single" w:sz="6" w:space="1" w:color="918585"/>
      </w:pBdr>
      <w:spacing w:before="240"/>
    </w:pPr>
  </w:style>
  <w:style w:type="character" w:customStyle="1" w:styleId="HotSpot">
    <w:name w:val="HotSpot"/>
    <w:rsid w:val="00782F71"/>
    <w:rPr>
      <w:color w:val="0033CC"/>
      <w:u w:val="none"/>
    </w:rPr>
  </w:style>
  <w:style w:type="paragraph" w:customStyle="1" w:styleId="BodyTextRight">
    <w:name w:val="Body Text Right"/>
    <w:basedOn w:val="BodyText"/>
    <w:rsid w:val="00782F71"/>
    <w:pPr>
      <w:spacing w:before="0" w:after="0"/>
      <w:jc w:val="right"/>
    </w:pPr>
  </w:style>
  <w:style w:type="paragraph" w:styleId="Index3">
    <w:name w:val="index 3"/>
    <w:basedOn w:val="ListNumber2"/>
    <w:next w:val="Normal"/>
    <w:semiHidden/>
    <w:rsid w:val="00782F71"/>
    <w:pPr>
      <w:numPr>
        <w:numId w:val="0"/>
      </w:numPr>
      <w:tabs>
        <w:tab w:val="right" w:leader="dot" w:pos="4176"/>
      </w:tabs>
    </w:pPr>
  </w:style>
  <w:style w:type="paragraph" w:styleId="ListNumber2">
    <w:name w:val="List Number 2"/>
    <w:basedOn w:val="List2"/>
    <w:rsid w:val="00782F71"/>
    <w:pPr>
      <w:numPr>
        <w:numId w:val="10"/>
      </w:numPr>
      <w:tabs>
        <w:tab w:val="clear" w:pos="1060"/>
      </w:tabs>
    </w:pPr>
  </w:style>
  <w:style w:type="paragraph" w:customStyle="1" w:styleId="MarginNote">
    <w:name w:val="Margin Note"/>
    <w:basedOn w:val="BodyText"/>
    <w:rsid w:val="00782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F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F71"/>
    <w:rPr>
      <w:sz w:val="32"/>
    </w:rPr>
  </w:style>
  <w:style w:type="paragraph" w:customStyle="1" w:styleId="HeadingProcedure">
    <w:name w:val="Heading Procedure"/>
    <w:basedOn w:val="HeadingBase"/>
    <w:next w:val="Normal"/>
    <w:rsid w:val="00782F71"/>
    <w:pPr>
      <w:tabs>
        <w:tab w:val="left" w:pos="0"/>
      </w:tabs>
      <w:spacing w:before="120" w:after="60"/>
    </w:pPr>
    <w:rPr>
      <w:i/>
      <w:color w:val="918585"/>
      <w:sz w:val="22"/>
    </w:rPr>
  </w:style>
  <w:style w:type="paragraph" w:customStyle="1" w:styleId="TableBodyText">
    <w:name w:val="Table Body Text"/>
    <w:basedOn w:val="BodyText"/>
    <w:rsid w:val="00782F71"/>
    <w:pPr>
      <w:spacing w:before="60" w:after="60"/>
    </w:pPr>
  </w:style>
  <w:style w:type="paragraph" w:styleId="ListContinue">
    <w:name w:val="List Continue"/>
    <w:basedOn w:val="List"/>
    <w:rsid w:val="00782F71"/>
    <w:pPr>
      <w:ind w:firstLine="0"/>
    </w:pPr>
  </w:style>
  <w:style w:type="paragraph" w:customStyle="1" w:styleId="ListNote">
    <w:name w:val="List Note"/>
    <w:basedOn w:val="List"/>
    <w:rsid w:val="00782F71"/>
    <w:pPr>
      <w:pBdr>
        <w:top w:val="single" w:sz="6" w:space="2" w:color="918585"/>
        <w:bottom w:val="single" w:sz="6" w:space="2" w:color="918585"/>
      </w:pBdr>
      <w:tabs>
        <w:tab w:val="left" w:pos="1021"/>
      </w:tabs>
      <w:ind w:firstLine="0"/>
    </w:pPr>
  </w:style>
  <w:style w:type="paragraph" w:customStyle="1" w:styleId="Warning">
    <w:name w:val="Warning"/>
    <w:basedOn w:val="BodyText"/>
    <w:rsid w:val="00782F71"/>
    <w:pPr>
      <w:shd w:val="clear" w:color="auto" w:fill="D9D9D9"/>
      <w:tabs>
        <w:tab w:val="left" w:pos="992"/>
      </w:tabs>
      <w:ind w:left="119" w:right="119"/>
    </w:pPr>
    <w:rPr>
      <w:sz w:val="20"/>
    </w:rPr>
  </w:style>
  <w:style w:type="paragraph" w:customStyle="1" w:styleId="MarginIcons">
    <w:name w:val="Margin Icons"/>
    <w:basedOn w:val="BodyText"/>
    <w:rsid w:val="00782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F71"/>
    <w:rPr>
      <w:rFonts w:ascii="Courier New" w:hAnsi="Courier New"/>
    </w:rPr>
  </w:style>
  <w:style w:type="paragraph" w:customStyle="1" w:styleId="NoteBullet">
    <w:name w:val="Note Bullet"/>
    <w:basedOn w:val="Note"/>
    <w:rsid w:val="00782F71"/>
    <w:pPr>
      <w:tabs>
        <w:tab w:val="clear" w:pos="680"/>
      </w:tabs>
      <w:spacing w:before="60" w:after="60"/>
    </w:pPr>
  </w:style>
  <w:style w:type="paragraph" w:customStyle="1" w:styleId="SubHeading2">
    <w:name w:val="SubHeading2"/>
    <w:basedOn w:val="HeadingBase"/>
    <w:rsid w:val="00782F71"/>
    <w:pPr>
      <w:spacing w:before="240" w:after="60"/>
    </w:pPr>
    <w:rPr>
      <w:sz w:val="20"/>
    </w:rPr>
  </w:style>
  <w:style w:type="paragraph" w:customStyle="1" w:styleId="SubHeading1">
    <w:name w:val="SubHeading1"/>
    <w:basedOn w:val="HeadingBase"/>
    <w:rsid w:val="00782F71"/>
    <w:pPr>
      <w:spacing w:before="240" w:after="60"/>
    </w:pPr>
    <w:rPr>
      <w:color w:val="918585"/>
      <w:sz w:val="22"/>
    </w:rPr>
  </w:style>
  <w:style w:type="paragraph" w:customStyle="1" w:styleId="SideHeading">
    <w:name w:val="Side Heading"/>
    <w:basedOn w:val="HeadingBase"/>
    <w:rsid w:val="00782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F71"/>
    <w:pPr>
      <w:numPr>
        <w:numId w:val="12"/>
      </w:numPr>
    </w:pPr>
  </w:style>
  <w:style w:type="paragraph" w:styleId="PlainText">
    <w:name w:val="Plain Text"/>
    <w:basedOn w:val="Normal"/>
    <w:link w:val="PlainTextChar"/>
    <w:rsid w:val="00782F71"/>
    <w:rPr>
      <w:sz w:val="20"/>
    </w:rPr>
  </w:style>
  <w:style w:type="character" w:customStyle="1" w:styleId="PlainTextChar">
    <w:name w:val="Plain Text Char"/>
    <w:basedOn w:val="DefaultParagraphFont"/>
    <w:link w:val="PlainText"/>
    <w:rsid w:val="00782F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F71"/>
    <w:rPr>
      <w:b/>
      <w:smallCaps/>
    </w:rPr>
  </w:style>
  <w:style w:type="paragraph" w:customStyle="1" w:styleId="TableListNumber">
    <w:name w:val="Table List Number"/>
    <w:basedOn w:val="ListNumber"/>
    <w:rsid w:val="00782F71"/>
    <w:pPr>
      <w:numPr>
        <w:numId w:val="0"/>
      </w:numPr>
    </w:pPr>
  </w:style>
  <w:style w:type="paragraph" w:styleId="TOC4">
    <w:name w:val="toc 4"/>
    <w:basedOn w:val="TOCBase"/>
    <w:next w:val="Normal"/>
    <w:semiHidden/>
    <w:rsid w:val="00782F71"/>
    <w:pPr>
      <w:tabs>
        <w:tab w:val="right" w:leader="dot" w:pos="9071"/>
      </w:tabs>
      <w:ind w:left="1701"/>
    </w:pPr>
  </w:style>
  <w:style w:type="paragraph" w:customStyle="1" w:styleId="ListAlpha">
    <w:name w:val="List Alpha"/>
    <w:basedOn w:val="List"/>
    <w:rsid w:val="00782F71"/>
    <w:pPr>
      <w:numPr>
        <w:numId w:val="9"/>
      </w:numPr>
    </w:pPr>
  </w:style>
  <w:style w:type="paragraph" w:customStyle="1" w:styleId="ListAlpha2">
    <w:name w:val="List Alpha 2"/>
    <w:basedOn w:val="List2"/>
    <w:rsid w:val="00782F71"/>
    <w:pPr>
      <w:numPr>
        <w:numId w:val="8"/>
      </w:numPr>
    </w:pPr>
  </w:style>
  <w:style w:type="paragraph" w:styleId="List2">
    <w:name w:val="List 2"/>
    <w:basedOn w:val="BodyText"/>
    <w:rsid w:val="00782F71"/>
    <w:pPr>
      <w:tabs>
        <w:tab w:val="left" w:pos="680"/>
      </w:tabs>
      <w:spacing w:before="60" w:after="60"/>
      <w:ind w:left="680" w:hanging="340"/>
    </w:pPr>
  </w:style>
  <w:style w:type="paragraph" w:styleId="List3">
    <w:name w:val="List 3"/>
    <w:basedOn w:val="BodyText"/>
    <w:rsid w:val="00782F71"/>
    <w:pPr>
      <w:tabs>
        <w:tab w:val="left" w:pos="1021"/>
      </w:tabs>
      <w:spacing w:before="60" w:after="60"/>
      <w:ind w:left="1020" w:hanging="340"/>
    </w:pPr>
  </w:style>
  <w:style w:type="paragraph" w:styleId="List4">
    <w:name w:val="List 4"/>
    <w:basedOn w:val="BodyText"/>
    <w:rsid w:val="00782F71"/>
    <w:pPr>
      <w:tabs>
        <w:tab w:val="left" w:pos="1361"/>
      </w:tabs>
      <w:spacing w:before="60" w:after="60"/>
      <w:ind w:left="1361" w:hanging="340"/>
    </w:pPr>
  </w:style>
  <w:style w:type="paragraph" w:styleId="List5">
    <w:name w:val="List 5"/>
    <w:basedOn w:val="BodyText"/>
    <w:rsid w:val="00782F71"/>
    <w:pPr>
      <w:tabs>
        <w:tab w:val="left" w:pos="1701"/>
      </w:tabs>
      <w:spacing w:before="60" w:after="60"/>
      <w:ind w:left="1701" w:hanging="340"/>
    </w:pPr>
  </w:style>
  <w:style w:type="paragraph" w:styleId="ListBullet4">
    <w:name w:val="List Bullet 4"/>
    <w:basedOn w:val="List4"/>
    <w:rsid w:val="00782F71"/>
    <w:pPr>
      <w:numPr>
        <w:numId w:val="3"/>
      </w:numPr>
    </w:pPr>
  </w:style>
  <w:style w:type="paragraph" w:styleId="ListBullet5">
    <w:name w:val="List Bullet 5"/>
    <w:basedOn w:val="List5"/>
    <w:rsid w:val="00782F71"/>
    <w:pPr>
      <w:numPr>
        <w:numId w:val="4"/>
      </w:numPr>
    </w:pPr>
  </w:style>
  <w:style w:type="paragraph" w:styleId="ListContinue2">
    <w:name w:val="List Continue 2"/>
    <w:basedOn w:val="List2"/>
    <w:rsid w:val="00782F71"/>
    <w:pPr>
      <w:ind w:firstLine="0"/>
    </w:pPr>
  </w:style>
  <w:style w:type="paragraph" w:styleId="ListContinue3">
    <w:name w:val="List Continue 3"/>
    <w:basedOn w:val="List3"/>
    <w:rsid w:val="00782F71"/>
    <w:pPr>
      <w:ind w:left="1021" w:firstLine="0"/>
    </w:pPr>
  </w:style>
  <w:style w:type="paragraph" w:styleId="ListContinue4">
    <w:name w:val="List Continue 4"/>
    <w:basedOn w:val="List4"/>
    <w:rsid w:val="00782F71"/>
    <w:pPr>
      <w:ind w:firstLine="0"/>
    </w:pPr>
  </w:style>
  <w:style w:type="paragraph" w:styleId="ListContinue5">
    <w:name w:val="List Continue 5"/>
    <w:basedOn w:val="List5"/>
    <w:rsid w:val="00782F71"/>
    <w:pPr>
      <w:ind w:firstLine="0"/>
    </w:pPr>
  </w:style>
  <w:style w:type="paragraph" w:styleId="ListNumber3">
    <w:name w:val="List Number 3"/>
    <w:basedOn w:val="List3"/>
    <w:rsid w:val="00782F71"/>
    <w:pPr>
      <w:numPr>
        <w:numId w:val="5"/>
      </w:numPr>
    </w:pPr>
  </w:style>
  <w:style w:type="paragraph" w:styleId="ListNumber4">
    <w:name w:val="List Number 4"/>
    <w:basedOn w:val="List4"/>
    <w:rsid w:val="00782F71"/>
    <w:pPr>
      <w:numPr>
        <w:numId w:val="6"/>
      </w:numPr>
    </w:pPr>
  </w:style>
  <w:style w:type="paragraph" w:styleId="ListNumber5">
    <w:name w:val="List Number 5"/>
    <w:basedOn w:val="List5"/>
    <w:rsid w:val="00782F71"/>
    <w:pPr>
      <w:numPr>
        <w:numId w:val="7"/>
      </w:numPr>
    </w:pPr>
  </w:style>
  <w:style w:type="paragraph" w:styleId="BlockText">
    <w:name w:val="Block Text"/>
    <w:basedOn w:val="Normal"/>
    <w:rsid w:val="00782F71"/>
    <w:pPr>
      <w:spacing w:after="120"/>
      <w:ind w:left="1440" w:right="1440"/>
    </w:pPr>
  </w:style>
  <w:style w:type="character" w:customStyle="1" w:styleId="Subscript">
    <w:name w:val="Subscript"/>
    <w:basedOn w:val="DefaultParagraphFont"/>
    <w:rsid w:val="00782F71"/>
    <w:rPr>
      <w:sz w:val="16"/>
      <w:vertAlign w:val="subscript"/>
    </w:rPr>
  </w:style>
  <w:style w:type="character" w:customStyle="1" w:styleId="Superscript">
    <w:name w:val="Superscript"/>
    <w:basedOn w:val="DefaultParagraphFont"/>
    <w:rsid w:val="00782F71"/>
    <w:rPr>
      <w:sz w:val="16"/>
      <w:vertAlign w:val="superscript"/>
    </w:rPr>
  </w:style>
  <w:style w:type="character" w:customStyle="1" w:styleId="Symbols">
    <w:name w:val="Symbols"/>
    <w:basedOn w:val="DefaultParagraphFont"/>
    <w:rsid w:val="00782F71"/>
    <w:rPr>
      <w:rFonts w:ascii="Symbol" w:hAnsi="Symbol"/>
    </w:rPr>
  </w:style>
  <w:style w:type="character" w:customStyle="1" w:styleId="MenuOptions">
    <w:name w:val="Menu Options"/>
    <w:basedOn w:val="DefaultParagraphFont"/>
    <w:rsid w:val="00782F71"/>
    <w:rPr>
      <w:rFonts w:ascii="Arial Narrow" w:hAnsi="Arial Narrow"/>
      <w:smallCaps/>
    </w:rPr>
  </w:style>
  <w:style w:type="character" w:customStyle="1" w:styleId="Buttons">
    <w:name w:val="Buttons"/>
    <w:basedOn w:val="DefaultParagraphFont"/>
    <w:rsid w:val="00782F71"/>
    <w:rPr>
      <w:b/>
    </w:rPr>
  </w:style>
  <w:style w:type="character" w:customStyle="1" w:styleId="Underlined">
    <w:name w:val="Underlined"/>
    <w:basedOn w:val="DefaultParagraphFont"/>
    <w:rsid w:val="00782F71"/>
    <w:rPr>
      <w:u w:val="single"/>
    </w:rPr>
  </w:style>
  <w:style w:type="paragraph" w:customStyle="1" w:styleId="TableBodyTextRight">
    <w:name w:val="Table Body Text Right"/>
    <w:basedOn w:val="TableBodyText"/>
    <w:rsid w:val="00782F71"/>
    <w:pPr>
      <w:widowControl w:val="0"/>
      <w:autoSpaceDE w:val="0"/>
      <w:autoSpaceDN w:val="0"/>
      <w:adjustRightInd w:val="0"/>
      <w:jc w:val="right"/>
    </w:pPr>
    <w:rPr>
      <w:rFonts w:cs="Arial"/>
      <w:szCs w:val="18"/>
    </w:rPr>
  </w:style>
  <w:style w:type="paragraph" w:customStyle="1" w:styleId="CopyrightText">
    <w:name w:val="Copyright Text"/>
    <w:basedOn w:val="BodyText"/>
    <w:rsid w:val="00782F71"/>
    <w:rPr>
      <w:sz w:val="18"/>
    </w:rPr>
  </w:style>
  <w:style w:type="paragraph" w:customStyle="1" w:styleId="BodySmallRight">
    <w:name w:val="Body Small Right"/>
    <w:basedOn w:val="BodyTextRight"/>
    <w:rsid w:val="00782F71"/>
    <w:rPr>
      <w:sz w:val="18"/>
      <w:szCs w:val="18"/>
    </w:rPr>
  </w:style>
  <w:style w:type="paragraph" w:customStyle="1" w:styleId="MarginEdition">
    <w:name w:val="Margin Edition"/>
    <w:basedOn w:val="MarginNote"/>
    <w:rsid w:val="00782F71"/>
    <w:pPr>
      <w:spacing w:before="0" w:after="0"/>
    </w:pPr>
    <w:rPr>
      <w:rFonts w:ascii="Times New Roman" w:hAnsi="Times New Roman"/>
      <w:color w:val="999999"/>
    </w:rPr>
  </w:style>
  <w:style w:type="paragraph" w:customStyle="1" w:styleId="Spacer">
    <w:name w:val="Spacer"/>
    <w:basedOn w:val="Normal"/>
    <w:rsid w:val="00782F71"/>
    <w:rPr>
      <w:sz w:val="2"/>
      <w:szCs w:val="2"/>
    </w:rPr>
  </w:style>
  <w:style w:type="character" w:customStyle="1" w:styleId="Small">
    <w:name w:val="Small"/>
    <w:basedOn w:val="DefaultParagraphFont"/>
    <w:rsid w:val="00782F71"/>
    <w:rPr>
      <w:sz w:val="16"/>
    </w:rPr>
  </w:style>
  <w:style w:type="paragraph" w:customStyle="1" w:styleId="WideTable">
    <w:name w:val="Wide Table"/>
    <w:basedOn w:val="Normal"/>
    <w:rsid w:val="00782F71"/>
    <w:pPr>
      <w:ind w:left="-1418"/>
    </w:pPr>
    <w:rPr>
      <w:sz w:val="2"/>
      <w:szCs w:val="2"/>
    </w:rPr>
  </w:style>
  <w:style w:type="character" w:styleId="PageNumber">
    <w:name w:val="page number"/>
    <w:basedOn w:val="DefaultParagraphFont"/>
    <w:rsid w:val="00782F71"/>
  </w:style>
  <w:style w:type="paragraph" w:styleId="Quote">
    <w:name w:val="Quote"/>
    <w:basedOn w:val="Heading1"/>
    <w:link w:val="QuoteChar"/>
    <w:qFormat/>
    <w:rsid w:val="00782F71"/>
    <w:rPr>
      <w:b w:val="0"/>
      <w:sz w:val="72"/>
      <w:szCs w:val="72"/>
      <w:lang w:val="en-NZ"/>
    </w:rPr>
  </w:style>
  <w:style w:type="character" w:customStyle="1" w:styleId="QuoteChar">
    <w:name w:val="Quote Char"/>
    <w:basedOn w:val="DefaultParagraphFont"/>
    <w:link w:val="Quote"/>
    <w:rsid w:val="00782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F71"/>
    <w:pPr>
      <w:pageBreakBefore/>
    </w:pPr>
  </w:style>
  <w:style w:type="paragraph" w:customStyle="1" w:styleId="Border">
    <w:name w:val="Border"/>
    <w:basedOn w:val="Normal"/>
    <w:qFormat/>
    <w:rsid w:val="00782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F71"/>
    <w:rPr>
      <w:b/>
      <w:bCs/>
      <w:i/>
      <w:iCs/>
      <w:color w:val="auto"/>
    </w:rPr>
  </w:style>
  <w:style w:type="paragraph" w:styleId="IntenseQuote">
    <w:name w:val="Intense Quote"/>
    <w:basedOn w:val="Normal"/>
    <w:next w:val="Normal"/>
    <w:link w:val="IntenseQuoteChar"/>
    <w:uiPriority w:val="30"/>
    <w:qFormat/>
    <w:rsid w:val="00782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F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F71"/>
    <w:rPr>
      <w:smallCaps/>
      <w:color w:val="auto"/>
      <w:u w:val="single"/>
    </w:rPr>
  </w:style>
  <w:style w:type="character" w:styleId="IntenseReference">
    <w:name w:val="Intense Reference"/>
    <w:basedOn w:val="DefaultParagraphFont"/>
    <w:uiPriority w:val="32"/>
    <w:qFormat/>
    <w:rsid w:val="00782F71"/>
    <w:rPr>
      <w:b/>
      <w:bCs/>
      <w:smallCaps/>
      <w:color w:val="auto"/>
      <w:spacing w:val="5"/>
      <w:u w:val="single"/>
    </w:rPr>
  </w:style>
  <w:style w:type="paragraph" w:customStyle="1" w:styleId="2ColumnHeading">
    <w:name w:val="2Column Heading"/>
    <w:basedOn w:val="BodyText"/>
    <w:qFormat/>
    <w:rsid w:val="00782F71"/>
    <w:pPr>
      <w:spacing w:after="60"/>
      <w:ind w:left="-2268"/>
    </w:pPr>
    <w:rPr>
      <w:b/>
    </w:rPr>
  </w:style>
  <w:style w:type="paragraph" w:customStyle="1" w:styleId="Heading1TOC">
    <w:name w:val="Heading1 TOC"/>
    <w:basedOn w:val="Normal"/>
    <w:qFormat/>
    <w:rsid w:val="00782F71"/>
    <w:pPr>
      <w:spacing w:before="240" w:after="120"/>
    </w:pPr>
    <w:rPr>
      <w:rFonts w:ascii="Times New Roman" w:hAnsi="Times New Roman"/>
      <w:b/>
      <w:sz w:val="32"/>
    </w:rPr>
  </w:style>
  <w:style w:type="paragraph" w:customStyle="1" w:styleId="Heading2TOC">
    <w:name w:val="Heading2 TOC"/>
    <w:basedOn w:val="Normal"/>
    <w:qFormat/>
    <w:rsid w:val="00782F71"/>
    <w:pPr>
      <w:spacing w:before="240" w:after="60"/>
    </w:pPr>
    <w:rPr>
      <w:rFonts w:ascii="Times New Roman" w:hAnsi="Times New Roman"/>
      <w:b/>
      <w:sz w:val="28"/>
    </w:rPr>
  </w:style>
  <w:style w:type="character" w:customStyle="1" w:styleId="Underline">
    <w:name w:val="Underline"/>
    <w:basedOn w:val="DefaultParagraphFont"/>
    <w:qFormat/>
    <w:rsid w:val="00782F71"/>
    <w:rPr>
      <w:u w:val="single"/>
    </w:rPr>
  </w:style>
  <w:style w:type="character" w:customStyle="1" w:styleId="BoldandItalics">
    <w:name w:val="Bold and Italics"/>
    <w:qFormat/>
    <w:rsid w:val="00782F71"/>
    <w:rPr>
      <w:b/>
      <w:i/>
      <w:u w:val="none"/>
    </w:rPr>
  </w:style>
  <w:style w:type="paragraph" w:styleId="BalloonText">
    <w:name w:val="Balloon Text"/>
    <w:basedOn w:val="Normal"/>
    <w:link w:val="BalloonTextChar"/>
    <w:rsid w:val="00782F71"/>
    <w:rPr>
      <w:rFonts w:ascii="Tahoma" w:hAnsi="Tahoma" w:cs="Tahoma"/>
      <w:sz w:val="16"/>
      <w:szCs w:val="16"/>
    </w:rPr>
  </w:style>
  <w:style w:type="character" w:customStyle="1" w:styleId="BalloonTextChar">
    <w:name w:val="Balloon Text Char"/>
    <w:basedOn w:val="DefaultParagraphFont"/>
    <w:link w:val="BalloonText"/>
    <w:rsid w:val="00782F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F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3116</Words>
  <Characters>19197</Characters>
  <Application>Microsoft Office Word</Application>
  <DocSecurity>0</DocSecurity>
  <Lines>705</Lines>
  <Paragraphs>285</Paragraphs>
  <ScaleCrop>false</ScaleCrop>
  <Company>Author-it Software Corporation Ltd.</Company>
  <LinksUpToDate>false</LinksUpToDate>
  <CharactersWithSpaces>22155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UEPOPS434A Shut Down a Heat Recovery Steam Generator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2012-05-29T04:48:00Z</dcterms:created>
  <dcterms:modified xsi:type="dcterms:W3CDTF">2012-05-29T04:48:00Z</dcterms:modified>
</cp:coreProperties>
</file>