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459" w:rsidP="007B0459">
      <w:pPr>
        <w:pStyle w:val="Title"/>
      </w:pPr>
      <w:r>
        <w:fldChar w:fldCharType="begin"/>
      </w:r>
      <w:r>
        <w:instrText xml:space="preserve"> TITLE   \* MERGEFORMAT </w:instrText>
      </w:r>
      <w:r>
        <w:fldChar w:fldCharType="separate"/>
      </w:r>
      <w:r>
        <w:t>UEPOPS433A Operate and Monitor a Heat Recovery Steam Generator Unit</w:t>
      </w:r>
      <w:r>
        <w:fldChar w:fldCharType="end"/>
      </w:r>
    </w:p>
    <w:p w:rsidR="007B0459" w:rsidP="007B0459">
      <w:pPr>
        <w:pStyle w:val="Version"/>
        <w:sectPr w:rsidSect="001622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2A1" w:rsidP="001622A1">
      <w:pPr>
        <w:pStyle w:val="SuperHeading"/>
      </w:pPr>
      <w:r w:rsidRPr="001622A1">
        <w:t>UEPOPS433A Operate and Monitor a Heat Recovery Steam Generator Unit</w:t>
      </w:r>
    </w:p>
    <w:p w:rsidR="00000000" w:rsidRPr="001622A1" w:rsidP="001622A1">
      <w:pPr>
        <w:pStyle w:val="Heading1"/>
      </w:pPr>
      <w:bookmarkStart w:id="1" w:name="O_275386"/>
      <w:bookmarkEnd w:id="1"/>
      <w:r w:rsidRPr="001622A1">
        <w:t>Modification History</w:t>
      </w:r>
    </w:p>
    <w:p w:rsidR="00000000" w:rsidRPr="001622A1" w:rsidP="001622A1">
      <w:pPr>
        <w:pStyle w:val="BodyText"/>
      </w:pPr>
      <w:r w:rsidRPr="001622A1">
        <w:t>Not Applicable</w:t>
      </w:r>
    </w:p>
    <w:p w:rsidR="00000000" w:rsidRPr="001622A1" w:rsidP="001622A1">
      <w:pPr>
        <w:pStyle w:val="AllowPageBreak"/>
      </w:pPr>
    </w:p>
    <w:p w:rsidR="00000000" w:rsidRPr="001622A1" w:rsidP="001622A1">
      <w:pPr>
        <w:pStyle w:val="Heading1"/>
      </w:pPr>
      <w:bookmarkStart w:id="2" w:name="O_230900"/>
      <w:bookmarkEnd w:id="2"/>
      <w:r w:rsidRPr="001622A1">
        <w:t>Unit Descriptor</w:t>
      </w:r>
    </w:p>
    <w:tbl>
      <w:tblPr>
        <w:tblW w:w="0" w:type="auto"/>
        <w:tblLayout w:type="fixed"/>
        <w:tblCellMar>
          <w:left w:w="62" w:type="dxa"/>
          <w:right w:w="62" w:type="dxa"/>
        </w:tblCellMar>
        <w:tblLook w:val="0000"/>
      </w:tblPr>
      <w:tblGrid>
        <w:gridCol w:w="2700"/>
        <w:gridCol w:w="5760"/>
      </w:tblGrid>
      <w:tr w:rsidTr="007B04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2A1" w:rsidP="001622A1">
            <w:pPr>
              <w:pStyle w:val="ListBullet"/>
            </w:pPr>
            <w:r w:rsidRPr="001622A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rPr>
                <w:rStyle w:val="SpecialBold"/>
              </w:rPr>
              <w:t>1</w:t>
            </w:r>
            <w:r w:rsidRPr="001622A1">
              <w:t xml:space="preserve">) </w:t>
            </w:r>
          </w:p>
        </w:tc>
      </w:tr>
      <w:tr w:rsidTr="007B04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 xml:space="preserve">This unit deals with the skills and knowledge required to operate an in-service Heat Recover Steam Generator. </w:t>
            </w:r>
          </w:p>
          <w:p w:rsidR="00000000" w:rsidRPr="001622A1" w:rsidP="001622A1">
            <w:pPr>
              <w:pStyle w:val="BodyText"/>
            </w:pPr>
            <w:r w:rsidRPr="001622A1">
              <w:t>Operation of the Heat Recover Steam Generator (with or without supplementary firing) will be required through the full range of output, up to and</w:t>
            </w:r>
            <w:r w:rsidRPr="001622A1">
              <w:t xml:space="preserve"> including the maximum continuous rating.</w:t>
            </w:r>
          </w:p>
        </w:tc>
      </w:tr>
    </w:tbl>
    <w:p w:rsidR="007B0459" w:rsidP="001622A1">
      <w:pPr>
        <w:pStyle w:val="BodyText"/>
      </w:pPr>
    </w:p>
    <w:p w:rsidR="007B0459" w:rsidP="001622A1">
      <w:pPr>
        <w:pStyle w:val="BodyText"/>
      </w:pPr>
    </w:p>
    <w:p w:rsidR="00000000" w:rsidRPr="001622A1" w:rsidP="001622A1">
      <w:pPr>
        <w:pStyle w:val="Heading1"/>
      </w:pPr>
      <w:bookmarkStart w:id="3" w:name="O_230903"/>
      <w:bookmarkEnd w:id="3"/>
      <w:r w:rsidRPr="001622A1">
        <w:t>Application of the Unit</w:t>
      </w:r>
    </w:p>
    <w:tbl>
      <w:tblPr>
        <w:tblW w:w="0" w:type="auto"/>
        <w:tblLayout w:type="fixed"/>
        <w:tblCellMar>
          <w:left w:w="62" w:type="dxa"/>
          <w:right w:w="62" w:type="dxa"/>
        </w:tblCellMar>
        <w:tblLook w:val="0000"/>
      </w:tblPr>
      <w:tblGrid>
        <w:gridCol w:w="2700"/>
        <w:gridCol w:w="5760"/>
      </w:tblGrid>
      <w:tr w:rsidTr="007B04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2A1" w:rsidP="001622A1">
            <w:pPr>
              <w:pStyle w:val="ListBullet"/>
            </w:pPr>
            <w:r w:rsidRPr="001622A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rPr>
                <w:rStyle w:val="SpecialBold"/>
              </w:rPr>
              <w:t>3</w:t>
            </w:r>
            <w:r w:rsidRPr="001622A1">
              <w:t xml:space="preserve">) </w:t>
            </w:r>
          </w:p>
        </w:tc>
      </w:tr>
      <w:tr w:rsidTr="007B04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This unit is intended to augment formally acquired competencies. It is suitable for employment-based programs unde</w:t>
            </w:r>
            <w:r w:rsidRPr="001622A1">
              <w:t>r an approved contract of training.</w:t>
            </w:r>
          </w:p>
        </w:tc>
      </w:tr>
      <w:tr w:rsidTr="007B04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rPr>
                <w:rStyle w:val="SpecialBold"/>
              </w:rPr>
              <w:t>3</w:t>
            </w:r>
            <w:r w:rsidRPr="001622A1">
              <w:t>.</w:t>
            </w:r>
            <w:r w:rsidRPr="001622A1">
              <w:rPr>
                <w:rStyle w:val="SpecialBold"/>
              </w:rPr>
              <w:t>1</w:t>
            </w:r>
            <w:r w:rsidRPr="001622A1">
              <w:t xml:space="preserve">) </w:t>
            </w:r>
          </w:p>
        </w:tc>
      </w:tr>
      <w:tr w:rsidTr="007B04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 xml:space="preserve">The skills and knowledge described in this unit are subject to regulations directly related to Occupational Health and Safety. Individuals </w:t>
            </w:r>
            <w:r w:rsidRPr="001622A1">
              <w:t>may require a licence to practise in the workplace depending on the requirements of the various State OHS regulations. .</w:t>
            </w:r>
          </w:p>
        </w:tc>
      </w:tr>
    </w:tbl>
    <w:p w:rsidR="007B0459" w:rsidP="001622A1">
      <w:pPr>
        <w:pStyle w:val="BodyText"/>
      </w:pPr>
    </w:p>
    <w:p w:rsidR="007B0459" w:rsidP="001622A1">
      <w:pPr>
        <w:pStyle w:val="BodyText"/>
      </w:pPr>
    </w:p>
    <w:p w:rsidR="00000000" w:rsidRPr="001622A1" w:rsidP="001622A1">
      <w:pPr>
        <w:pStyle w:val="Heading1"/>
      </w:pPr>
      <w:bookmarkStart w:id="4" w:name="O_282920"/>
      <w:bookmarkEnd w:id="4"/>
      <w:r w:rsidRPr="001622A1">
        <w:t>Licensing/Regulatory Information</w:t>
      </w:r>
    </w:p>
    <w:p w:rsidR="00000000" w:rsidRPr="001622A1" w:rsidP="001622A1">
      <w:pPr>
        <w:pStyle w:val="BodyText"/>
      </w:pPr>
      <w:r w:rsidRPr="001622A1">
        <w:t>Not Applicable</w:t>
      </w:r>
    </w:p>
    <w:p w:rsidR="00000000" w:rsidRPr="001622A1" w:rsidP="001622A1">
      <w:pPr>
        <w:pStyle w:val="AllowPageBreak"/>
      </w:pPr>
    </w:p>
    <w:p w:rsidR="00000000" w:rsidRPr="001622A1" w:rsidP="001622A1">
      <w:pPr>
        <w:pStyle w:val="Heading1"/>
      </w:pPr>
      <w:bookmarkStart w:id="5" w:name="O_230901"/>
      <w:bookmarkEnd w:id="5"/>
      <w:r w:rsidRPr="001622A1">
        <w:t>Pre-Requisites</w:t>
      </w:r>
    </w:p>
    <w:tbl>
      <w:tblPr>
        <w:tblW w:w="0" w:type="auto"/>
        <w:tblLayout w:type="fixed"/>
        <w:tblCellMar>
          <w:left w:w="62" w:type="dxa"/>
          <w:right w:w="62" w:type="dxa"/>
        </w:tblCellMar>
        <w:tblLook w:val="0000"/>
      </w:tblPr>
      <w:tblGrid>
        <w:gridCol w:w="2700"/>
        <w:gridCol w:w="1800"/>
        <w:gridCol w:w="3960"/>
      </w:tblGrid>
      <w:tr w:rsidTr="007B04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2A1" w:rsidP="001622A1">
            <w:pPr>
              <w:pStyle w:val="ListBullet"/>
            </w:pPr>
            <w:r w:rsidRPr="001622A1">
              <w:rPr>
                <w:rStyle w:val="SpecialBold"/>
              </w:rPr>
              <w:t>Prerequisite Unit</w:t>
            </w:r>
            <w:r w:rsidRPr="001622A1">
              <w:t>(</w:t>
            </w:r>
            <w:r w:rsidRPr="001622A1">
              <w:rPr>
                <w:rStyle w:val="SpecialBold"/>
              </w:rPr>
              <w:t>s</w:t>
            </w:r>
            <w:r w:rsidRPr="001622A1">
              <w:t>)</w:t>
            </w:r>
          </w:p>
        </w:tc>
        <w:tc>
          <w:tcPr>
            <w:tcW w:w="5760" w:type="dxa"/>
            <w:gridSpan w:val="2"/>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rPr>
                <w:rStyle w:val="SpecialBold"/>
              </w:rPr>
              <w:t>2</w:t>
            </w:r>
            <w:r w:rsidRPr="001622A1">
              <w:t xml:space="preserve">) </w:t>
            </w:r>
          </w:p>
        </w:tc>
      </w:tr>
      <w:tr w:rsidTr="007B04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rPr>
                <w:rStyle w:val="SpecialBold"/>
              </w:rPr>
              <w:t>2</w:t>
            </w:r>
            <w:r w:rsidRPr="001622A1">
              <w:t>.</w:t>
            </w:r>
            <w:r w:rsidRPr="001622A1">
              <w:rPr>
                <w:rStyle w:val="SpecialBold"/>
              </w:rPr>
              <w:t>1</w:t>
            </w:r>
            <w:r w:rsidRPr="001622A1">
              <w:t xml:space="preserve">) </w:t>
            </w:r>
          </w:p>
        </w:tc>
      </w:tr>
      <w:tr w:rsidTr="007B04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Competency in this unit may be assessed concurrently with or only after the following competency has been acquired:</w:t>
            </w:r>
          </w:p>
        </w:tc>
      </w:tr>
      <w:tr w:rsidTr="007B0459">
        <w:tblPrEx>
          <w:tblW w:w="0" w:type="auto"/>
          <w:tblLayout w:type="fixed"/>
          <w:tblCellMar>
            <w:left w:w="62" w:type="dxa"/>
            <w:right w:w="62" w:type="dxa"/>
          </w:tblCellMar>
          <w:tblLook w:val="0000"/>
        </w:tblPrEx>
        <w:tc>
          <w:tcPr>
            <w:tcW w:w="270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UEPOPS333A</w:t>
            </w:r>
          </w:p>
        </w:tc>
        <w:tc>
          <w:tcPr>
            <w:tcW w:w="39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 xml:space="preserve">Operate and monitor H.R.S.G. hot gas control system </w:t>
            </w:r>
          </w:p>
        </w:tc>
      </w:tr>
      <w:tr w:rsidTr="007B0459">
        <w:tblPrEx>
          <w:tblW w:w="0" w:type="auto"/>
          <w:tblLayout w:type="fixed"/>
          <w:tblCellMar>
            <w:left w:w="62" w:type="dxa"/>
            <w:right w:w="62" w:type="dxa"/>
          </w:tblCellMar>
          <w:tblLook w:val="0000"/>
        </w:tblPrEx>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UEPOPS407A</w:t>
            </w:r>
          </w:p>
        </w:tc>
        <w:tc>
          <w:tcPr>
            <w:tcW w:w="39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Start and run up a gas turbine</w:t>
            </w:r>
          </w:p>
        </w:tc>
      </w:tr>
      <w:tr w:rsidTr="007B0459">
        <w:tblPrEx>
          <w:tblW w:w="0" w:type="auto"/>
          <w:tblLayout w:type="fixed"/>
          <w:tblCellMar>
            <w:left w:w="62" w:type="dxa"/>
            <w:right w:w="62" w:type="dxa"/>
          </w:tblCellMar>
          <w:tblLook w:val="0000"/>
        </w:tblPrEx>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UEPOPS433A</w:t>
            </w:r>
          </w:p>
        </w:tc>
        <w:tc>
          <w:tcPr>
            <w:tcW w:w="39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Start up a heat recovery steam generator unit</w:t>
            </w:r>
          </w:p>
        </w:tc>
      </w:tr>
    </w:tbl>
    <w:p w:rsidR="007B0459" w:rsidP="001622A1">
      <w:pPr>
        <w:pStyle w:val="BodyText"/>
      </w:pPr>
    </w:p>
    <w:p w:rsidR="007B0459" w:rsidP="001622A1">
      <w:pPr>
        <w:pStyle w:val="BodyText"/>
      </w:pPr>
    </w:p>
    <w:p w:rsidR="00000000" w:rsidRPr="001622A1" w:rsidP="001622A1">
      <w:pPr>
        <w:pStyle w:val="Heading1"/>
      </w:pPr>
      <w:bookmarkStart w:id="6" w:name="O_285635"/>
      <w:bookmarkEnd w:id="6"/>
      <w:r w:rsidRPr="001622A1">
        <w:t>Employability Skills Information</w:t>
      </w:r>
    </w:p>
    <w:p w:rsidR="00000000" w:rsidRPr="001622A1" w:rsidP="001622A1">
      <w:pPr>
        <w:pStyle w:val="BodyText"/>
      </w:pPr>
      <w:r w:rsidRPr="001622A1">
        <w:t>Refer to the Evidence Guide</w:t>
      </w:r>
    </w:p>
    <w:p w:rsidR="00000000" w:rsidRPr="001622A1" w:rsidP="001622A1">
      <w:pPr>
        <w:pStyle w:val="AllowPageBreak"/>
      </w:pPr>
    </w:p>
    <w:p w:rsidR="00000000" w:rsidRPr="001622A1" w:rsidP="001622A1">
      <w:pPr>
        <w:pStyle w:val="Heading1"/>
      </w:pPr>
      <w:bookmarkStart w:id="7" w:name="O_293432"/>
      <w:bookmarkEnd w:id="7"/>
      <w:r w:rsidRPr="001622A1">
        <w:t>Elements and Performance Criteria Pre-Content</w:t>
      </w:r>
    </w:p>
    <w:tbl>
      <w:tblPr>
        <w:tblW w:w="0" w:type="auto"/>
        <w:tblLayout w:type="fixed"/>
        <w:tblCellMar>
          <w:left w:w="62" w:type="dxa"/>
          <w:right w:w="62" w:type="dxa"/>
        </w:tblCellMar>
        <w:tblLook w:val="0000"/>
      </w:tblPr>
      <w:tblGrid>
        <w:gridCol w:w="2700"/>
        <w:gridCol w:w="5760"/>
      </w:tblGrid>
      <w:tr w:rsidTr="007B04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rPr>
                <w:rStyle w:val="SpecialBold"/>
              </w:rPr>
              <w:t>5</w:t>
            </w:r>
            <w:r w:rsidRPr="001622A1">
              <w:t>) Elements describe the essential outcomes of a unit o</w:t>
            </w:r>
            <w:r w:rsidRPr="001622A1">
              <w:t>f competency</w:t>
            </w:r>
          </w:p>
        </w:tc>
        <w:tc>
          <w:tcPr>
            <w:tcW w:w="57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Performance Criteria describe the required performance needed to demonstrate achievement of the element. Assessment of performance is to be consistent with the Evidence Guide.</w:t>
            </w:r>
          </w:p>
        </w:tc>
      </w:tr>
    </w:tbl>
    <w:p w:rsidR="00000000" w:rsidRPr="001622A1" w:rsidP="001622A1">
      <w:pPr>
        <w:pStyle w:val="BodyText"/>
      </w:pPr>
    </w:p>
    <w:p w:rsidR="00000000" w:rsidRPr="001622A1" w:rsidP="001622A1">
      <w:pPr>
        <w:pStyle w:val="AllowPageBreak"/>
      </w:pPr>
    </w:p>
    <w:p w:rsidR="00000000" w:rsidRPr="001622A1" w:rsidP="001622A1">
      <w:pPr>
        <w:pStyle w:val="Heading1"/>
      </w:pPr>
      <w:bookmarkStart w:id="8" w:name="O_240100"/>
      <w:bookmarkEnd w:id="8"/>
      <w:r w:rsidRPr="001622A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B045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622A1" w:rsidP="001622A1">
            <w:pPr>
              <w:pStyle w:val="ListBullet"/>
            </w:pPr>
            <w:r w:rsidRPr="001622A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622A1">
            <w:pPr>
              <w:pStyle w:val="ListBullet"/>
              <w:rPr>
                <w:lang w:val="en-NZ"/>
              </w:rPr>
            </w:pPr>
            <w:r w:rsidRPr="001622A1">
              <w:rPr>
                <w:rStyle w:val="SpecialBold"/>
              </w:rPr>
              <w:t>PERFORMANCE CRITERIA</w:t>
            </w:r>
          </w:p>
        </w:tc>
      </w:tr>
      <w:tr w:rsidTr="007B0459">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1</w:t>
            </w:r>
          </w:p>
        </w:tc>
        <w:tc>
          <w:tcPr>
            <w:tcW w:w="2296" w:type="dxa"/>
            <w:vMerge w:val="restart"/>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Plan&amp;prepare work</w:t>
            </w: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1.1</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Safety issues are identified to comply with enterprise/site requirements.</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1.2</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Work requirements are identified from relevant personnel and documentation.</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1.3</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Operational checks are carried out on plant according to manufacturer's recommendations and site requirements</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1.4</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Where appropriate, the teams and individuals roles and responsibilities within the team are identified and, where required, assist in the provision of the on-the-job training.</w:t>
            </w:r>
          </w:p>
        </w:tc>
      </w:tr>
      <w:tr w:rsidTr="007B0459">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2</w:t>
            </w:r>
          </w:p>
        </w:tc>
        <w:tc>
          <w:tcPr>
            <w:tcW w:w="2296" w:type="dxa"/>
            <w:vMerge w:val="restart"/>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Operate plant</w:t>
            </w: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2.1</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 xml:space="preserve">Gas turbine exhaust gas flow and power output are adjusted </w:t>
            </w:r>
            <w:r w:rsidRPr="001622A1">
              <w:t>to achieve required steam flow and conditions, observing operating requirements.</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2.2</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Supplementary Firing System (if provided) is placed into and out of service as required to maintain design steam flow and steam conditions.</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2.3</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Monitoring and control of Heat Recovery Steam Generator drum level, feedwater flow, steam temperature, pressure and flow are carried out in accordance with manufacturer's and site requirements</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2.4</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Plant is operated within limits of plant design, enterpr</w:t>
            </w:r>
            <w:r w:rsidRPr="001622A1">
              <w:t>ise or site requirements.</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2.5</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Corrective action is taken to rectify abnormalities in accordance with manufacturer's and enterprise/site procedures.</w:t>
            </w:r>
          </w:p>
        </w:tc>
      </w:tr>
      <w:tr w:rsidTr="007B0459">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3</w:t>
            </w:r>
          </w:p>
        </w:tc>
        <w:tc>
          <w:tcPr>
            <w:tcW w:w="2296" w:type="dxa"/>
            <w:vMerge w:val="restart"/>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Monitor Plant</w:t>
            </w: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3.1</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Plant to be monitored is identified.</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3.2</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Plant is monitored for normal operation and/or to detect deviations from required operating conditions.</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3.3</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Plant integrity and personnel safety is maintained through consultation with appropriate personnel, and reference to plant technical and operatio</w:t>
            </w:r>
            <w:r w:rsidRPr="001622A1">
              <w:t>nal documentation</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3.4</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Appropriate personnel are notified when defects are detected.</w:t>
            </w:r>
          </w:p>
        </w:tc>
      </w:tr>
      <w:tr w:rsidTr="007B0459">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4</w:t>
            </w:r>
          </w:p>
        </w:tc>
        <w:tc>
          <w:tcPr>
            <w:tcW w:w="2296" w:type="dxa"/>
            <w:vMerge w:val="restart"/>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Analyse system faults</w:t>
            </w: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4.1</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Causes of abnormal plant operating conditions are identif</w:t>
            </w:r>
            <w:r w:rsidRPr="001622A1">
              <w:t>ied by analysing the relevant technical and operational information in a logical and sequential manner.</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4.2</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 xml:space="preserve">Corrective action taken is in accordance with </w:t>
            </w:r>
            <w:r w:rsidRPr="001622A1">
              <w:t>enterprise/site procedures.</w:t>
            </w:r>
          </w:p>
        </w:tc>
      </w:tr>
      <w:tr w:rsidTr="007B0459">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5</w:t>
            </w:r>
          </w:p>
        </w:tc>
        <w:tc>
          <w:tcPr>
            <w:tcW w:w="2296" w:type="dxa"/>
            <w:vMerge w:val="restart"/>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Test plant operation</w:t>
            </w: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5.1</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Tests are performed in accordance with defined procedures applicable to the operational test</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5.2</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System and plant are observed for correct operational response</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5.3</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 xml:space="preserve">Plant is returned to required operational status upon completion of test </w:t>
            </w:r>
          </w:p>
        </w:tc>
      </w:tr>
      <w:tr w:rsidTr="007B0459">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5.4</w:t>
            </w:r>
          </w:p>
        </w:tc>
        <w:tc>
          <w:tcPr>
            <w:tcW w:w="48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Corrective action is taken when response is not in accordance with documentation, plant integrity or personnel safety requirements</w:t>
            </w:r>
          </w:p>
        </w:tc>
      </w:tr>
      <w:tr w:rsidTr="007B04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6</w:t>
            </w:r>
          </w:p>
        </w:tc>
        <w:tc>
          <w:tcPr>
            <w:tcW w:w="2296"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Complete Documentation</w:t>
            </w:r>
          </w:p>
        </w:tc>
        <w:tc>
          <w:tcPr>
            <w:tcW w:w="90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6.1</w:t>
            </w:r>
          </w:p>
        </w:tc>
        <w:tc>
          <w:tcPr>
            <w:tcW w:w="48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Documentation is updated and plant problems, movements, abnormalities and status are reported a</w:t>
            </w:r>
            <w:r w:rsidRPr="001622A1">
              <w:t>nd logged in accordance with enterprise/site procedures</w:t>
            </w:r>
          </w:p>
        </w:tc>
      </w:tr>
    </w:tbl>
    <w:p w:rsidR="007B0459" w:rsidP="001622A1">
      <w:pPr>
        <w:pStyle w:val="BodyText"/>
      </w:pPr>
    </w:p>
    <w:p w:rsidR="007B0459" w:rsidP="001622A1">
      <w:pPr>
        <w:pStyle w:val="BodyText"/>
      </w:pPr>
    </w:p>
    <w:p w:rsidR="00000000" w:rsidRPr="001622A1" w:rsidP="001622A1">
      <w:pPr>
        <w:pStyle w:val="Heading1"/>
      </w:pPr>
      <w:bookmarkStart w:id="9" w:name="O_263891"/>
      <w:bookmarkEnd w:id="9"/>
      <w:r w:rsidRPr="001622A1">
        <w:t>Required Skills and Knowledge</w:t>
      </w:r>
    </w:p>
    <w:tbl>
      <w:tblPr>
        <w:tblW w:w="0" w:type="auto"/>
        <w:tblLayout w:type="fixed"/>
        <w:tblCellMar>
          <w:left w:w="62" w:type="dxa"/>
          <w:right w:w="62" w:type="dxa"/>
        </w:tblCellMar>
        <w:tblLook w:val="0000"/>
      </w:tblPr>
      <w:tblGrid>
        <w:gridCol w:w="2700"/>
        <w:gridCol w:w="5760"/>
      </w:tblGrid>
      <w:tr w:rsidTr="007B045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622A1">
            <w:pPr>
              <w:pStyle w:val="ListBullet"/>
              <w:rPr>
                <w:lang w:val="en-NZ"/>
              </w:rPr>
            </w:pPr>
            <w:r w:rsidRPr="001622A1">
              <w:rPr>
                <w:rStyle w:val="SpecialBold"/>
              </w:rPr>
              <w:t>REQUIRED SKILLS AND KNOWLEDGE</w:t>
            </w:r>
          </w:p>
        </w:tc>
      </w:tr>
      <w:tr w:rsidTr="007B045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rPr>
                <w:rStyle w:val="SpecialBold"/>
              </w:rPr>
              <w:t>6</w:t>
            </w:r>
            <w:r w:rsidRPr="001622A1">
              <w:t>) This describes the essential skills and knowledge and their level, required for this unit.</w:t>
            </w:r>
          </w:p>
        </w:tc>
      </w:tr>
      <w:tr w:rsidTr="007B045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Evidence shall show that knowledge has been acquired operating and monitoring a heat recovery steam generator unit.</w:t>
            </w:r>
          </w:p>
          <w:p w:rsidR="00000000" w:rsidP="001622A1">
            <w:pPr>
              <w:pStyle w:val="BodyText"/>
              <w:rPr>
                <w:lang w:val="en-NZ"/>
              </w:rPr>
            </w:pPr>
            <w:r w:rsidRPr="001622A1">
              <w:t>The extent of the Essential Knowledge and Associated Skills required follows:</w:t>
            </w:r>
          </w:p>
        </w:tc>
      </w:tr>
      <w:tr w:rsidTr="007B04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Evidence shall show that knowledge has been acquired for safe working practices of:</w:t>
            </w:r>
          </w:p>
          <w:p w:rsidR="00000000" w:rsidRPr="001622A1" w:rsidP="001622A1">
            <w:pPr>
              <w:pStyle w:val="ListBullet3"/>
            </w:pPr>
            <w:r w:rsidRPr="001622A1">
              <w:t xml:space="preserve">Relevant Occupational Health and Safety regulations </w:t>
            </w:r>
          </w:p>
          <w:p w:rsidR="00000000" w:rsidRPr="001622A1" w:rsidP="001622A1">
            <w:pPr>
              <w:pStyle w:val="ListBullet3"/>
            </w:pPr>
            <w:r w:rsidRPr="001622A1">
              <w:t xml:space="preserve">Relevant statutory legislation </w:t>
            </w:r>
          </w:p>
          <w:p w:rsidR="00000000" w:rsidRPr="001622A1" w:rsidP="001622A1">
            <w:pPr>
              <w:pStyle w:val="ListBullet3"/>
            </w:pPr>
            <w:r w:rsidRPr="001622A1">
              <w:t xml:space="preserve">Environmental legislation </w:t>
            </w:r>
          </w:p>
          <w:p w:rsidR="00000000" w:rsidRPr="001622A1" w:rsidP="001622A1">
            <w:pPr>
              <w:pStyle w:val="ListBullet3"/>
            </w:pPr>
            <w:r w:rsidRPr="001622A1">
              <w:t xml:space="preserve">Relevant enterprise/site safety procedures </w:t>
            </w:r>
          </w:p>
          <w:p w:rsidR="00000000" w:rsidRPr="001622A1" w:rsidP="001622A1">
            <w:pPr>
              <w:pStyle w:val="ListBullet3"/>
            </w:pPr>
            <w:r w:rsidRPr="001622A1">
              <w:t>Enterprise/site</w:t>
            </w:r>
            <w:r w:rsidRPr="001622A1">
              <w:t xml:space="preserve"> emergency procedures and techniques </w:t>
            </w:r>
          </w:p>
          <w:p w:rsidR="00000000" w:rsidRPr="001622A1" w:rsidP="001622A1">
            <w:pPr>
              <w:pStyle w:val="ListBullet3"/>
            </w:pPr>
            <w:r w:rsidRPr="001622A1">
              <w:t xml:space="preserve">Enterprise recording procedures </w:t>
            </w:r>
          </w:p>
          <w:p w:rsidR="00000000" w:rsidRPr="001622A1" w:rsidP="001622A1">
            <w:pPr>
              <w:pStyle w:val="ListBullet3"/>
            </w:pPr>
            <w:r w:rsidRPr="001622A1">
              <w:t xml:space="preserve">Communication principles </w:t>
            </w:r>
          </w:p>
          <w:p w:rsidR="00000000" w:rsidRPr="001622A1" w:rsidP="001622A1">
            <w:pPr>
              <w:pStyle w:val="ListBullet3"/>
            </w:pPr>
            <w:r w:rsidRPr="001622A1">
              <w:t xml:space="preserve">Control and data acquisition systems </w:t>
            </w:r>
          </w:p>
          <w:p w:rsidR="00000000" w:rsidRPr="001622A1" w:rsidP="001622A1">
            <w:pPr>
              <w:pStyle w:val="ListBullet3"/>
            </w:pPr>
            <w:r w:rsidRPr="001622A1">
              <w:t xml:space="preserve">Computers and software </w:t>
            </w:r>
          </w:p>
          <w:p w:rsidR="00000000" w:rsidRPr="001622A1" w:rsidP="001622A1">
            <w:pPr>
              <w:pStyle w:val="ListBullet3"/>
            </w:pPr>
            <w:r w:rsidRPr="001622A1">
              <w:t xml:space="preserve">Mechanical and electrical supervisory, </w:t>
            </w:r>
          </w:p>
          <w:p w:rsidR="00000000" w:rsidRPr="001622A1" w:rsidP="001622A1">
            <w:pPr>
              <w:pStyle w:val="ListBullet3"/>
            </w:pPr>
            <w:r w:rsidRPr="001622A1">
              <w:t xml:space="preserve">Alarm, protection and control equipment </w:t>
            </w:r>
          </w:p>
          <w:p w:rsidR="00000000" w:rsidRPr="001622A1" w:rsidP="001622A1">
            <w:pPr>
              <w:pStyle w:val="ListBullet3"/>
            </w:pPr>
            <w:r w:rsidRPr="001622A1">
              <w:t>Enterprise/site standard operating procedures; safe operating principles</w:t>
            </w:r>
          </w:p>
          <w:p w:rsidR="00000000" w:rsidRPr="001622A1" w:rsidP="001622A1">
            <w:pPr>
              <w:pStyle w:val="ListBullet3"/>
            </w:pPr>
            <w:r w:rsidRPr="001622A1">
              <w:t>Mathematics, mechanics, physics, chemistry and electrical principles</w:t>
            </w:r>
          </w:p>
          <w:p w:rsidR="00000000" w:rsidRPr="001622A1" w:rsidP="001622A1">
            <w:pPr>
              <w:pStyle w:val="ListBullet3"/>
            </w:pPr>
            <w:r w:rsidRPr="001622A1">
              <w:t xml:space="preserve">Motor performance characteristics; pump and compressor performance characteristics </w:t>
            </w:r>
          </w:p>
          <w:p w:rsidR="00000000" w:rsidRPr="001622A1" w:rsidP="001622A1">
            <w:pPr>
              <w:pStyle w:val="ListBullet3"/>
            </w:pPr>
            <w:r w:rsidRPr="001622A1">
              <w:t>Valve, damper and actuator typ</w:t>
            </w:r>
            <w:r w:rsidRPr="001622A1">
              <w:t>es and performance characteristics</w:t>
            </w:r>
          </w:p>
          <w:p w:rsidR="00000000" w:rsidRPr="001622A1" w:rsidP="001622A1">
            <w:pPr>
              <w:pStyle w:val="ListBullet3"/>
            </w:pPr>
            <w:r w:rsidRPr="001622A1">
              <w:t xml:space="preserve">The principles of control of steam temperature and pressure throughout the full range of heat recovery steam generation operation up to and including maximum continuous rating </w:t>
            </w:r>
          </w:p>
          <w:p w:rsidR="00000000" w:rsidRPr="001622A1" w:rsidP="001622A1">
            <w:pPr>
              <w:pStyle w:val="ListBullet3"/>
            </w:pPr>
            <w:r w:rsidRPr="001622A1">
              <w:t xml:space="preserve">Heat recovery steam generator efficiency </w:t>
            </w:r>
          </w:p>
          <w:p w:rsidR="00000000" w:rsidRPr="001622A1" w:rsidP="001622A1">
            <w:pPr>
              <w:pStyle w:val="ListBullet3"/>
            </w:pPr>
            <w:r w:rsidRPr="001622A1">
              <w:t>Pr</w:t>
            </w:r>
            <w:r w:rsidRPr="001622A1">
              <w:t xml:space="preserve">inciples of heat recovery steam generator steam and feedwater chemical treatment </w:t>
            </w:r>
          </w:p>
          <w:p w:rsidR="00000000" w:rsidRPr="001622A1" w:rsidP="001622A1">
            <w:pPr>
              <w:pStyle w:val="ListBullet3"/>
            </w:pPr>
            <w:r w:rsidRPr="001622A1">
              <w:t xml:space="preserve">The arrangement of the heat recovery steam generator gas path and water and steam circuits </w:t>
            </w:r>
          </w:p>
          <w:p w:rsidR="00000000" w:rsidRPr="001622A1" w:rsidP="001622A1">
            <w:pPr>
              <w:pStyle w:val="ListBullet3"/>
            </w:pPr>
            <w:r w:rsidRPr="001622A1">
              <w:t xml:space="preserve">Fuel conditioning and supplementary firing equipment </w:t>
            </w:r>
          </w:p>
          <w:p w:rsidR="00000000" w:rsidRPr="001622A1" w:rsidP="001622A1">
            <w:pPr>
              <w:pStyle w:val="ListBullet3"/>
            </w:pPr>
            <w:r w:rsidRPr="001622A1">
              <w:t>Principles governing efficie</w:t>
            </w:r>
            <w:r w:rsidRPr="001622A1">
              <w:t xml:space="preserve">nt combustion </w:t>
            </w:r>
          </w:p>
          <w:p w:rsidR="00000000" w:rsidRPr="001622A1" w:rsidP="001622A1">
            <w:pPr>
              <w:pStyle w:val="ListBullet3"/>
            </w:pPr>
            <w:r w:rsidRPr="001622A1">
              <w:t>The heat recovery steam generator system components and their interaction with other plant and equipment external to that covered by this competency.</w:t>
            </w:r>
          </w:p>
          <w:p w:rsidR="00000000" w:rsidRPr="001622A1" w:rsidP="001622A1">
            <w:pPr>
              <w:pStyle w:val="ListBullet3"/>
            </w:pPr>
            <w:r w:rsidRPr="001622A1">
              <w:t xml:space="preserve">AC and DC electrical distribution systems </w:t>
            </w:r>
          </w:p>
          <w:p w:rsidR="00000000" w:rsidRPr="001622A1" w:rsidP="001622A1">
            <w:pPr>
              <w:pStyle w:val="ListBullet3"/>
            </w:pPr>
            <w:r w:rsidRPr="001622A1">
              <w:t xml:space="preserve">Electric motors </w:t>
            </w:r>
          </w:p>
          <w:p w:rsidR="00000000" w:rsidRPr="001622A1" w:rsidP="001622A1">
            <w:pPr>
              <w:pStyle w:val="ListBullet3"/>
            </w:pPr>
            <w:r w:rsidRPr="001622A1">
              <w:t>Switchgear</w:t>
            </w:r>
          </w:p>
          <w:p w:rsidR="00000000" w:rsidRPr="001622A1" w:rsidP="001622A1">
            <w:pPr>
              <w:pStyle w:val="ListBullet3"/>
            </w:pPr>
            <w:r w:rsidRPr="001622A1">
              <w:t>Station water distri</w:t>
            </w:r>
            <w:r w:rsidRPr="001622A1">
              <w:t xml:space="preserve">bution systems </w:t>
            </w:r>
          </w:p>
          <w:p w:rsidR="00000000" w:rsidRPr="001622A1" w:rsidP="001622A1">
            <w:pPr>
              <w:pStyle w:val="ListBullet3"/>
            </w:pPr>
            <w:r w:rsidRPr="001622A1">
              <w:t xml:space="preserve">Fire protection control systems </w:t>
            </w:r>
          </w:p>
          <w:p w:rsidR="00000000" w:rsidRPr="001622A1" w:rsidP="001622A1">
            <w:pPr>
              <w:pStyle w:val="ListBullet3"/>
            </w:pPr>
            <w:r w:rsidRPr="001622A1">
              <w:t xml:space="preserve">Compressed air systems </w:t>
            </w:r>
          </w:p>
          <w:p w:rsidR="00000000" w:rsidP="001622A1">
            <w:pPr>
              <w:pStyle w:val="ListBullet3"/>
              <w:rPr>
                <w:lang w:val="en-NZ"/>
              </w:rPr>
            </w:pPr>
            <w:r w:rsidRPr="001622A1">
              <w:t>Auxiliary supply systems</w:t>
            </w:r>
          </w:p>
        </w:tc>
      </w:tr>
      <w:tr w:rsidTr="007B0459">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1622A1" w:rsidP="001622A1">
            <w:pPr>
              <w:pStyle w:val="BodyText"/>
            </w:pPr>
            <w:r w:rsidRPr="001622A1">
              <w:t>Specific skills needed to achieve the Performance Criteria:</w:t>
            </w:r>
          </w:p>
          <w:p w:rsidR="00000000" w:rsidRPr="001622A1" w:rsidP="001622A1">
            <w:pPr>
              <w:pStyle w:val="ListBullet3"/>
            </w:pPr>
            <w:r w:rsidRPr="001622A1">
              <w:t xml:space="preserve">Apply relevant Occupational Health and Safety regulations </w:t>
            </w:r>
          </w:p>
          <w:p w:rsidR="00000000" w:rsidRPr="001622A1" w:rsidP="001622A1">
            <w:pPr>
              <w:pStyle w:val="ListBullet3"/>
            </w:pPr>
            <w:r w:rsidRPr="001622A1">
              <w:t xml:space="preserve">Apply relevant statutory legislation </w:t>
            </w:r>
          </w:p>
          <w:p w:rsidR="00000000" w:rsidRPr="001622A1" w:rsidP="001622A1">
            <w:pPr>
              <w:pStyle w:val="ListBullet3"/>
            </w:pPr>
            <w:r w:rsidRPr="001622A1">
              <w:t xml:space="preserve">Apply relevant enterprise/site safety procedures </w:t>
            </w:r>
          </w:p>
          <w:p w:rsidR="00000000" w:rsidRPr="001622A1" w:rsidP="001622A1">
            <w:pPr>
              <w:pStyle w:val="ListBullet3"/>
            </w:pPr>
            <w:r w:rsidRPr="001622A1">
              <w:t xml:space="preserve">Apply enterprise/site emergency procedures and techniques </w:t>
            </w:r>
          </w:p>
          <w:p w:rsidR="00000000" w:rsidRPr="001622A1" w:rsidP="001622A1">
            <w:pPr>
              <w:pStyle w:val="ListBullet3"/>
            </w:pPr>
            <w:r w:rsidRPr="001622A1">
              <w:t xml:space="preserve">Apply enterprise recording procedures </w:t>
            </w:r>
          </w:p>
          <w:p w:rsidR="00000000" w:rsidRPr="001622A1" w:rsidP="001622A1">
            <w:pPr>
              <w:pStyle w:val="ListBullet3"/>
            </w:pPr>
            <w:r w:rsidRPr="001622A1">
              <w:t xml:space="preserve">Identify plant status Prepare plant/equipment for operation </w:t>
            </w:r>
          </w:p>
          <w:p w:rsidR="00000000" w:rsidRPr="001622A1" w:rsidP="001622A1">
            <w:pPr>
              <w:pStyle w:val="ListBullet3"/>
            </w:pPr>
            <w:r w:rsidRPr="001622A1">
              <w:t xml:space="preserve">Organise </w:t>
            </w:r>
            <w:r w:rsidRPr="001622A1">
              <w:t xml:space="preserve">resources </w:t>
            </w:r>
          </w:p>
          <w:p w:rsidR="00000000" w:rsidRPr="001622A1" w:rsidP="001622A1">
            <w:pPr>
              <w:pStyle w:val="ListBullet3"/>
            </w:pPr>
            <w:r w:rsidRPr="001622A1">
              <w:t xml:space="preserve">Operate HRSG plant and equipment </w:t>
            </w:r>
          </w:p>
          <w:p w:rsidR="00000000" w:rsidRPr="001622A1" w:rsidP="001622A1">
            <w:pPr>
              <w:pStyle w:val="ListBullet3"/>
            </w:pPr>
            <w:r w:rsidRPr="001622A1">
              <w:t xml:space="preserve">Apply temperature and pressure raising techniques and principles </w:t>
            </w:r>
          </w:p>
          <w:p w:rsidR="00000000" w:rsidRPr="001622A1" w:rsidP="001622A1">
            <w:pPr>
              <w:pStyle w:val="ListBullet3"/>
            </w:pPr>
            <w:r w:rsidRPr="001622A1">
              <w:t xml:space="preserve">Apply diagnostic and testing techniques </w:t>
            </w:r>
          </w:p>
          <w:p w:rsidR="00000000" w:rsidRPr="001622A1" w:rsidP="001622A1">
            <w:pPr>
              <w:pStyle w:val="ListBullet3"/>
            </w:pPr>
            <w:r w:rsidRPr="001622A1">
              <w:t xml:space="preserve">Identify and respond to abnormal plant operating conditions </w:t>
            </w:r>
          </w:p>
          <w:p w:rsidR="00000000" w:rsidRPr="001622A1" w:rsidP="001622A1">
            <w:pPr>
              <w:pStyle w:val="ListBullet3"/>
            </w:pPr>
            <w:r w:rsidRPr="001622A1">
              <w:t xml:space="preserve">Plan and prioritise work </w:t>
            </w:r>
          </w:p>
          <w:p w:rsidR="00000000" w:rsidRPr="001622A1" w:rsidP="001622A1">
            <w:pPr>
              <w:pStyle w:val="ListBullet3"/>
            </w:pPr>
            <w:r w:rsidRPr="001622A1">
              <w:t xml:space="preserve">Use relevant hand tools </w:t>
            </w:r>
          </w:p>
          <w:p w:rsidR="00000000" w:rsidRPr="001622A1" w:rsidP="001622A1">
            <w:pPr>
              <w:pStyle w:val="ListBullet3"/>
            </w:pPr>
            <w:r w:rsidRPr="001622A1">
              <w:t xml:space="preserve">Communicate effectively </w:t>
            </w:r>
          </w:p>
          <w:p w:rsidR="00000000" w:rsidRPr="001622A1" w:rsidP="001622A1">
            <w:pPr>
              <w:pStyle w:val="ListBullet3"/>
            </w:pPr>
            <w:r w:rsidRPr="001622A1">
              <w:t xml:space="preserve">Apply data analysis techniques and tools </w:t>
            </w:r>
          </w:p>
          <w:p w:rsidR="00000000" w:rsidRPr="001622A1" w:rsidP="001622A1">
            <w:pPr>
              <w:pStyle w:val="ListBullet3"/>
            </w:pPr>
            <w:r w:rsidRPr="001622A1">
              <w:t xml:space="preserve">Use diagrams, drawings and symbols </w:t>
            </w:r>
          </w:p>
          <w:p w:rsidR="00000000" w:rsidRPr="001622A1" w:rsidP="001622A1">
            <w:pPr>
              <w:pStyle w:val="ListBullet3"/>
            </w:pPr>
            <w:r w:rsidRPr="001622A1">
              <w:t>Coordinate the operation of equipment to maintain plant integrity, personnel safety, continuity of supply and optimum efficiency</w:t>
            </w:r>
            <w:r w:rsidRPr="001622A1">
              <w:t>.</w:t>
            </w:r>
          </w:p>
        </w:tc>
      </w:tr>
    </w:tbl>
    <w:p w:rsidR="007B0459" w:rsidP="001622A1">
      <w:pPr>
        <w:pStyle w:val="BodyText"/>
      </w:pPr>
    </w:p>
    <w:p w:rsidR="007B0459" w:rsidP="001622A1">
      <w:pPr>
        <w:pStyle w:val="BodyText"/>
      </w:pPr>
    </w:p>
    <w:p w:rsidR="00000000" w:rsidRPr="001622A1" w:rsidP="001622A1">
      <w:pPr>
        <w:pStyle w:val="Heading1"/>
      </w:pPr>
      <w:bookmarkStart w:id="10" w:name="O_248083"/>
      <w:bookmarkEnd w:id="10"/>
      <w:r w:rsidRPr="001622A1">
        <w:t>Evidence Guide</w:t>
      </w:r>
    </w:p>
    <w:tbl>
      <w:tblPr>
        <w:tblW w:w="0" w:type="auto"/>
        <w:tblLayout w:type="fixed"/>
        <w:tblCellMar>
          <w:left w:w="62" w:type="dxa"/>
          <w:right w:w="62" w:type="dxa"/>
        </w:tblCellMar>
        <w:tblLook w:val="0000"/>
      </w:tblPr>
      <w:tblGrid>
        <w:gridCol w:w="2160"/>
        <w:gridCol w:w="1620"/>
        <w:gridCol w:w="3117"/>
        <w:gridCol w:w="1563"/>
      </w:tblGrid>
      <w:tr w:rsidTr="007B045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622A1">
            <w:pPr>
              <w:pStyle w:val="ListBullet"/>
              <w:rPr>
                <w:lang w:val="en-NZ"/>
              </w:rPr>
            </w:pPr>
            <w:r w:rsidRPr="001622A1">
              <w:rPr>
                <w:rStyle w:val="SpecialBold"/>
              </w:rPr>
              <w:t>EVIDENCE GUIDE</w:t>
            </w:r>
          </w:p>
        </w:tc>
      </w:tr>
      <w:tr w:rsidTr="007B045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8</w:t>
            </w:r>
            <w:r w:rsidRPr="001622A1">
              <w:t xml:space="preserve">) This provides essential advice for assessment of the competency standard unit and  must be read </w:t>
            </w:r>
            <w:r w:rsidRPr="001622A1">
              <w:t>in conjunction with the Performance Criteria and the Range Statement of the unit and  the Training Package Assessment Guidelines.</w:t>
            </w:r>
          </w:p>
          <w:p w:rsidR="00000000" w:rsidP="001622A1">
            <w:pPr>
              <w:pStyle w:val="BodyText"/>
              <w:rPr>
                <w:lang w:val="en-NZ"/>
              </w:rPr>
            </w:pPr>
            <w:r w:rsidRPr="001622A1">
              <w:t>The Evidence Guide forms an integral part of this competency standard unit and shall be used in conjunction with all component</w:t>
            </w:r>
            <w:r w:rsidRPr="001622A1">
              <w:t>s parts of this unit and, performed in accordance with the Assessment Guidelines of this Training Package.</w:t>
            </w:r>
          </w:p>
        </w:tc>
      </w:tr>
      <w:tr w:rsidTr="007B04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8</w:t>
            </w:r>
            <w:r w:rsidRPr="001622A1">
              <w:t>.</w:t>
            </w:r>
            <w:r w:rsidRPr="001622A1">
              <w:rPr>
                <w:rStyle w:val="SpecialBold"/>
              </w:rPr>
              <w:t>1</w:t>
            </w:r>
            <w:r w:rsidRPr="001622A1">
              <w:t xml:space="preserve">) </w:t>
            </w:r>
          </w:p>
          <w:p w:rsidR="00000000" w:rsidRPr="001622A1" w:rsidP="001622A1">
            <w:pPr>
              <w:pStyle w:val="BodyText"/>
            </w:pPr>
            <w:r w:rsidRPr="001622A1">
              <w:t>Longitude competency developmen</w:t>
            </w:r>
            <w:r w:rsidRPr="001622A1">
              <w:t xml:space="preserve">t approaches to assessment, such as Profiling, require data to be reliably gathered in a form that can be consistently interpreted over time. This approach is best utilised in Apprenticeship programs and reduces assessment intervention. It is the Industry </w:t>
            </w:r>
            <w:r w:rsidRPr="001622A1">
              <w:t>preferred model for apprenticeships. However, where summative (or final) assessment is used it is to include the application of the competency in the normal work environment or, at a minimum, the application of the competency in a realistically simulated w</w:t>
            </w:r>
            <w:r w:rsidRPr="001622A1">
              <w:t>ork environment. It is recognised that, in some circumstances, assessment in part or full can occur outside the workplace. However, it must be in accord with Industry and regulatory policy.</w:t>
            </w:r>
          </w:p>
          <w:p w:rsidR="00000000" w:rsidRPr="001622A1" w:rsidP="001622A1">
            <w:pPr>
              <w:pStyle w:val="BodyText"/>
            </w:pPr>
            <w:r w:rsidRPr="001622A1">
              <w:t>Methods chosen for a particular assessment will be influenced by v</w:t>
            </w:r>
            <w:r w:rsidRPr="001622A1">
              <w:t xml:space="preserve">arious factors. These include the extent of the assessment, the most effective locations for the assessment activities to take place, access to physical resources, additional safety measures that may be required and the critical nature of the competencies </w:t>
            </w:r>
            <w:r w:rsidRPr="001622A1">
              <w:t>being assessed.</w:t>
            </w:r>
          </w:p>
          <w:p w:rsidR="00000000" w:rsidRPr="001622A1" w:rsidP="001622A1">
            <w:pPr>
              <w:pStyle w:val="BodyText"/>
            </w:pPr>
            <w:r w:rsidRPr="001622A1">
              <w:t>The critical safety nature of working with electricity, electrical equipment, gas or any other hazardous substance/material carries risk in deeming a person competent. Hence, sources of evidence need to be 'rich' in nature so as to minimise</w:t>
            </w:r>
            <w:r w:rsidRPr="001622A1">
              <w:t xml:space="preserve"> error in judgment.</w:t>
            </w:r>
          </w:p>
          <w:p w:rsidR="00000000" w:rsidP="001622A1">
            <w:pPr>
              <w:pStyle w:val="BodyText"/>
              <w:rPr>
                <w:lang w:val="en-NZ"/>
              </w:rPr>
            </w:pPr>
            <w:r w:rsidRPr="001622A1">
              <w:t>Activities associated with normal every day work have a bearing on the decision as to how much and how detailed the data gathered will contribute to its 'richness'. Some skills are more critical to safety and operational requirements wh</w:t>
            </w:r>
            <w:r w:rsidRPr="001622A1">
              <w:t>ile the same skills may be more or less frequently practised. These points are raised for the assessors to consider when choosing an assessment method and developing assessment instruments. Sample assessment instruments are included in the Assessment Guide</w:t>
            </w:r>
            <w:r w:rsidRPr="001622A1">
              <w:t>lines of this Training Package.</w:t>
            </w:r>
          </w:p>
        </w:tc>
      </w:tr>
      <w:tr w:rsidTr="007B045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8</w:t>
            </w:r>
            <w:r w:rsidRPr="001622A1">
              <w:t>.</w:t>
            </w:r>
            <w:r w:rsidRPr="001622A1">
              <w:rPr>
                <w:rStyle w:val="SpecialBold"/>
              </w:rPr>
              <w:t>2</w:t>
            </w:r>
            <w:r w:rsidRPr="001622A1">
              <w:t xml:space="preserve">) </w:t>
            </w:r>
          </w:p>
          <w:p w:rsidR="00000000" w:rsidP="001622A1">
            <w:pPr>
              <w:pStyle w:val="BodyText"/>
              <w:rPr>
                <w:lang w:val="en-NZ"/>
              </w:rPr>
            </w:pPr>
            <w:r w:rsidRPr="001622A1">
              <w:t>Before the critical aspects of evidence are considered all prerequisites shall be met.</w:t>
            </w:r>
          </w:p>
        </w:tc>
      </w:tr>
      <w:tr w:rsidTr="007B045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1622A1">
            <w:pPr>
              <w:pStyle w:val="ListBullet"/>
              <w:rPr>
                <w:lang w:val="en-NZ"/>
              </w:rPr>
            </w:pPr>
            <w:r w:rsidRPr="001622A1">
              <w:t>A representative body of Performance Criteria demonstrated within the timeframes typically expected of the discipline, work function and industrial environment. In particular this shall incorporate evidence that shows a candidate is able to:</w:t>
            </w:r>
          </w:p>
        </w:tc>
      </w:tr>
      <w:tr w:rsidTr="007B04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622A1" w:rsidP="001622A1">
            <w:pPr>
              <w:pStyle w:val="ListBullet3"/>
            </w:pPr>
            <w:r w:rsidRPr="001622A1">
              <w:t>Implement Occupational Health and Safety workplace procedures and practices including the use of risk control measures as specified in the Performance Criteria and Range Statement</w:t>
            </w:r>
          </w:p>
          <w:p w:rsidR="00000000" w:rsidRPr="001622A1" w:rsidP="001622A1">
            <w:pPr>
              <w:pStyle w:val="ListBullet3"/>
            </w:pPr>
            <w:r w:rsidRPr="001622A1">
              <w:t>Apply sustainable energy principles and practices as specified in the Perfor</w:t>
            </w:r>
            <w:r w:rsidRPr="001622A1">
              <w:t>mance Criteria and Range Statement</w:t>
            </w:r>
          </w:p>
          <w:p w:rsidR="00000000" w:rsidRPr="001622A1" w:rsidP="001622A1">
            <w:pPr>
              <w:pStyle w:val="ListBullet3"/>
            </w:pPr>
            <w:r w:rsidRPr="001622A1">
              <w:t>Demonstrate an understanding of the essential knowledge and associated skills as described in 6) Essential Knowledge and Associated Skills of this unit</w:t>
            </w:r>
          </w:p>
          <w:p w:rsidR="00000000" w:rsidRPr="001622A1" w:rsidP="001622A1">
            <w:pPr>
              <w:pStyle w:val="ListBullet3"/>
            </w:pPr>
            <w:r w:rsidRPr="001622A1">
              <w:t>Demonstrate an appropriate level of skills enabling employment</w:t>
            </w:r>
          </w:p>
          <w:p w:rsidR="00000000" w:rsidP="001622A1">
            <w:pPr>
              <w:pStyle w:val="ListBullet3"/>
              <w:rPr>
                <w:lang w:val="en-NZ"/>
              </w:rPr>
            </w:pPr>
            <w:r w:rsidRPr="001622A1">
              <w:t>Conduc</w:t>
            </w:r>
            <w:r w:rsidRPr="001622A1">
              <w:t>t work observing the relevant Anti Discrimination legislation, regulations, polices and workplace procedure</w:t>
            </w:r>
          </w:p>
        </w:tc>
      </w:tr>
      <w:tr w:rsidTr="007B04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622A1">
            <w:pPr>
              <w:pStyle w:val="ListBullet"/>
              <w:rPr>
                <w:lang w:val="en-NZ"/>
              </w:rPr>
            </w:pPr>
            <w:r w:rsidRPr="001622A1">
              <w:t>Demonstrated performance across a representative range of contexts from the prescribed items below:</w:t>
            </w:r>
          </w:p>
        </w:tc>
      </w:tr>
      <w:tr w:rsidTr="007B04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622A1" w:rsidP="001622A1">
            <w:pPr>
              <w:pStyle w:val="ListBullet3"/>
            </w:pPr>
            <w:r w:rsidRPr="001622A1">
              <w:t>The knowledge and application of relevant sections of occupational, health and safety legislation; statutory legislation; enterprise/site safety procedures; enterprise/site standard operating procedures and safe operating principles; enterprise/site emerge</w:t>
            </w:r>
            <w:r w:rsidRPr="001622A1">
              <w:t>ncy procedures</w:t>
            </w:r>
          </w:p>
          <w:p w:rsidR="00000000" w:rsidRPr="001622A1" w:rsidP="001622A1">
            <w:pPr>
              <w:pStyle w:val="ListBullet3"/>
            </w:pPr>
            <w:r w:rsidRPr="001622A1">
              <w:t>The knowledge of principles and techniques of operation of heat recovery steam generator plant and equipment</w:t>
            </w:r>
          </w:p>
          <w:p w:rsidR="00000000" w:rsidRPr="001622A1" w:rsidP="001622A1">
            <w:pPr>
              <w:pStyle w:val="ListBullet3"/>
            </w:pPr>
            <w:r w:rsidRPr="001622A1">
              <w:t>The knowledge of operational testing of plant</w:t>
            </w:r>
          </w:p>
          <w:p w:rsidR="00000000" w:rsidRPr="001622A1" w:rsidP="001622A1">
            <w:pPr>
              <w:pStyle w:val="ListBullet3"/>
            </w:pPr>
            <w:r w:rsidRPr="001622A1">
              <w:t>The knowledge of system components and the manner in which these components interact with other plant and equipment</w:t>
            </w:r>
          </w:p>
          <w:p w:rsidR="00000000" w:rsidRPr="001622A1" w:rsidP="001622A1">
            <w:pPr>
              <w:pStyle w:val="ListBullet3"/>
            </w:pPr>
            <w:r w:rsidRPr="001622A1">
              <w:t>The knowledge of temperature and pressure raising requirements</w:t>
            </w:r>
          </w:p>
          <w:p w:rsidR="00000000" w:rsidRPr="001622A1" w:rsidP="001622A1">
            <w:pPr>
              <w:pStyle w:val="ListBullet3"/>
            </w:pPr>
            <w:r w:rsidRPr="001622A1">
              <w:t>The knowledge of the principles of heat recovery steam generator and feedwate</w:t>
            </w:r>
            <w:r w:rsidRPr="001622A1">
              <w:t>r sampling and chemical treatment</w:t>
            </w:r>
          </w:p>
          <w:p w:rsidR="00000000" w:rsidRPr="001622A1" w:rsidP="001622A1">
            <w:pPr>
              <w:pStyle w:val="ListBullet3"/>
            </w:pPr>
            <w:r w:rsidRPr="001622A1">
              <w:t>The ability to prepare and plan work</w:t>
            </w:r>
          </w:p>
          <w:p w:rsidR="00000000" w:rsidRPr="001622A1" w:rsidP="001622A1">
            <w:pPr>
              <w:pStyle w:val="ListBullet3"/>
            </w:pPr>
            <w:r w:rsidRPr="001622A1">
              <w:t>The ability to prepare plant/equipment for operation</w:t>
            </w:r>
          </w:p>
          <w:p w:rsidR="00000000" w:rsidRPr="001622A1" w:rsidP="001622A1">
            <w:pPr>
              <w:pStyle w:val="ListBullet3"/>
            </w:pPr>
            <w:r w:rsidRPr="001622A1">
              <w:t>The ability to operate plant/equipment in accordance with enterprise/site standard operating procedures and safe operating principle</w:t>
            </w:r>
            <w:r w:rsidRPr="001622A1">
              <w:t>s</w:t>
            </w:r>
          </w:p>
          <w:p w:rsidR="00000000" w:rsidRPr="001622A1" w:rsidP="001622A1">
            <w:pPr>
              <w:pStyle w:val="ListBullet3"/>
            </w:pPr>
            <w:r w:rsidRPr="001622A1">
              <w:t>The ability to analyse plant faults</w:t>
            </w:r>
          </w:p>
          <w:p w:rsidR="00000000" w:rsidP="001622A1">
            <w:pPr>
              <w:pStyle w:val="ListBullet3"/>
              <w:rPr>
                <w:lang w:val="en-NZ"/>
              </w:rPr>
            </w:pPr>
            <w:r w:rsidRPr="001622A1">
              <w:t>Dealing with an unplanned event by drawing on essential knowledge and skills to provide appropriate solutions incorporated in the holistic assessment with the above listed items.</w:t>
            </w:r>
          </w:p>
        </w:tc>
      </w:tr>
      <w:tr w:rsidTr="007B04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Context of and specific resources fo</w:t>
            </w:r>
            <w:r w:rsidRPr="001622A1">
              <w:rPr>
                <w:rStyle w:val="SpecialBold"/>
              </w:rPr>
              <w:t>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8</w:t>
            </w:r>
            <w:r w:rsidRPr="001622A1">
              <w:t>.</w:t>
            </w:r>
            <w:r w:rsidRPr="001622A1">
              <w:rPr>
                <w:rStyle w:val="SpecialBold"/>
              </w:rPr>
              <w:t>3</w:t>
            </w:r>
            <w:r w:rsidRPr="001622A1">
              <w:t xml:space="preserve">) </w:t>
            </w:r>
          </w:p>
          <w:p w:rsidR="00000000" w:rsidRPr="001622A1" w:rsidP="001622A1">
            <w:pPr>
              <w:pStyle w:val="BodyText"/>
            </w:pPr>
            <w:r w:rsidRPr="001622A1">
              <w:t>This unit should be assessed as it relates to normal work practice using procedures, information and resources typical of a workplace. This should include:</w:t>
            </w:r>
          </w:p>
          <w:p w:rsidR="00000000" w:rsidRPr="001622A1" w:rsidP="001622A1">
            <w:pPr>
              <w:pStyle w:val="ListBullet"/>
            </w:pPr>
            <w:r w:rsidRPr="001622A1">
              <w:t>OHS policy and work procedures and instructions.</w:t>
            </w:r>
          </w:p>
          <w:p w:rsidR="00000000" w:rsidRPr="001622A1" w:rsidP="001622A1">
            <w:pPr>
              <w:pStyle w:val="ListBullet"/>
            </w:pPr>
            <w:r w:rsidRPr="001622A1">
              <w:t>Suitable work environment, facilities, equipment and materials to undertake actual work as prescribed by this unit.</w:t>
            </w:r>
          </w:p>
          <w:p w:rsidR="00000000" w:rsidRPr="001622A1" w:rsidP="001622A1">
            <w:pPr>
              <w:pStyle w:val="BodyText"/>
            </w:pPr>
            <w:r w:rsidRPr="001622A1">
              <w:t>Competency Standards should be assessed in the workplace or simulated workplace and under the normal range of workplace conditions.</w:t>
            </w:r>
          </w:p>
          <w:p w:rsidR="00000000" w:rsidP="001622A1">
            <w:pPr>
              <w:pStyle w:val="BodyText"/>
              <w:rPr>
                <w:lang w:val="en-NZ"/>
              </w:rPr>
            </w:pPr>
            <w:r w:rsidRPr="001622A1">
              <w:t>Assessme</w:t>
            </w:r>
            <w:r w:rsidRPr="001622A1">
              <w:t>nt of this unit will be supported with documentary evidence, by means of endorsement stating type and application of work.</w:t>
            </w:r>
          </w:p>
        </w:tc>
      </w:tr>
      <w:tr w:rsidTr="007B04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In addition to the resources listed above in Context of assessment', evidence should show competency working in limited spaces wi</w:t>
            </w:r>
            <w:r w:rsidRPr="001622A1">
              <w:t>th different types of plant and equipment as well as different structural/construction types and methods and in a variety of environments.</w:t>
            </w:r>
          </w:p>
        </w:tc>
      </w:tr>
      <w:tr w:rsidTr="007B04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8</w:t>
            </w:r>
            <w:r w:rsidRPr="001622A1">
              <w:t>.</w:t>
            </w:r>
            <w:r w:rsidRPr="001622A1">
              <w:rPr>
                <w:rStyle w:val="SpecialBold"/>
              </w:rPr>
              <w:t>4</w:t>
            </w:r>
            <w:r w:rsidRPr="001622A1">
              <w:t xml:space="preserve">) </w:t>
            </w:r>
          </w:p>
          <w:p w:rsidR="00000000" w:rsidRPr="001622A1" w:rsidP="001622A1">
            <w:pPr>
              <w:pStyle w:val="BodyText"/>
            </w:pPr>
            <w:r w:rsidRPr="001622A1">
              <w:t>This unit shall be assessed by methods given in Volume 1, Part 3 "Assessment Guidelines".</w:t>
            </w:r>
          </w:p>
          <w:p w:rsidR="00000000" w:rsidP="001622A1">
            <w:pPr>
              <w:pStyle w:val="BodyText"/>
              <w:rPr>
                <w:lang w:val="en-NZ"/>
              </w:rPr>
            </w:pPr>
            <w:r w:rsidRPr="001622A1">
              <w:t>Note:</w:t>
            </w:r>
            <w:r w:rsidRPr="001622A1">
              <w:br/>
              <w:t>Competent performance with inherent safe working practices is expected in the Industry to which this unit applies. This requires that the specified essential kn</w:t>
            </w:r>
            <w:r w:rsidRPr="001622A1">
              <w:t>owledge and associated skills are assessed in a structured environment which is primarily intended for learning/assessment and incorporates all necessary equipment and facilities for learners to develop and demonstrate the essential knowledge and skills de</w:t>
            </w:r>
            <w:r w:rsidRPr="001622A1">
              <w:t>scribed in this unit.</w:t>
            </w:r>
          </w:p>
        </w:tc>
      </w:tr>
      <w:tr w:rsidTr="007B045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rPr>
                <w:rStyle w:val="SpecialBold"/>
              </w:rPr>
              <w:t>8</w:t>
            </w:r>
            <w:r w:rsidRPr="001622A1">
              <w:t>.</w:t>
            </w:r>
            <w:r w:rsidRPr="001622A1">
              <w:rPr>
                <w:rStyle w:val="SpecialBold"/>
              </w:rPr>
              <w:t>5</w:t>
            </w:r>
            <w:r w:rsidRPr="001622A1">
              <w:t xml:space="preserve">) </w:t>
            </w:r>
          </w:p>
        </w:tc>
      </w:tr>
      <w:tr w:rsidTr="007B045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There are no recommended concurrent assessments with this unit, however in some cases efficiencies may be gained in terms of learning and assessment effort being con</w:t>
            </w:r>
            <w:r w:rsidRPr="001622A1">
              <w:t>currently managed with allied competency standard units where listed.</w:t>
            </w:r>
          </w:p>
        </w:tc>
      </w:tr>
      <w:tr w:rsidTr="007B045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UEPOPS336A</w:t>
            </w:r>
          </w:p>
        </w:tc>
        <w:tc>
          <w:tcPr>
            <w:tcW w:w="4680" w:type="dxa"/>
            <w:gridSpan w:val="2"/>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Operate and monitor a gas turbine</w:t>
            </w:r>
          </w:p>
        </w:tc>
      </w:tr>
      <w:tr w:rsidTr="007B045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UEPOPS340A</w:t>
            </w:r>
          </w:p>
        </w:tc>
        <w:tc>
          <w:tcPr>
            <w:tcW w:w="4680" w:type="dxa"/>
            <w:gridSpan w:val="2"/>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Operate and monitor a steam turbine</w:t>
            </w:r>
          </w:p>
        </w:tc>
      </w:tr>
      <w:tr w:rsidTr="007B045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622A1" w:rsidP="001622A1">
            <w:pPr>
              <w:pStyle w:val="BodyText"/>
            </w:pPr>
            <w:r w:rsidRPr="001622A1">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8</w:t>
            </w:r>
            <w:r w:rsidRPr="001622A1">
              <w:t>.</w:t>
            </w:r>
            <w:r w:rsidRPr="001622A1">
              <w:rPr>
                <w:rStyle w:val="SpecialBold"/>
              </w:rPr>
              <w:t>6</w:t>
            </w:r>
            <w:r w:rsidRPr="001622A1">
              <w:t xml:space="preserve">) </w:t>
            </w:r>
          </w:p>
          <w:p w:rsidR="00000000" w:rsidP="001622A1">
            <w:pPr>
              <w:pStyle w:val="BodyText"/>
              <w:rPr>
                <w:lang w:val="en-NZ"/>
              </w:rPr>
            </w:pPr>
            <w:r w:rsidRPr="001622A1">
              <w:t>Evidence that particular key competencies have been achieved within this unit is in the context of the following Performance Criteria of evidence. See Volume 2, Part 4 for an explanation of Key competencies and levels of this Training Package.</w:t>
            </w:r>
          </w:p>
        </w:tc>
      </w:tr>
      <w:tr w:rsidTr="007B045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r w:rsidRPr="001622A1">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r w:rsidRPr="001622A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rPr>
                <w:rStyle w:val="SpecialBold"/>
              </w:rPr>
              <w:t>Performance Level</w:t>
            </w:r>
          </w:p>
        </w:tc>
      </w:tr>
      <w:tr w:rsidTr="007B04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 xml:space="preserve">How are ideas and </w:t>
            </w:r>
            <w:r w:rsidRPr="001622A1">
              <w:t>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p>
          <w:p w:rsidR="00000000" w:rsidP="001622A1">
            <w:pPr>
              <w:pStyle w:val="BodyText"/>
              <w:rPr>
                <w:lang w:val="en-NZ"/>
              </w:rPr>
            </w:pPr>
            <w:r w:rsidRPr="001622A1">
              <w:t>2</w:t>
            </w:r>
          </w:p>
        </w:tc>
      </w:tr>
      <w:tr w:rsidTr="007B04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p>
        </w:tc>
      </w:tr>
      <w:tr w:rsidTr="007B04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p>
          <w:p w:rsidR="00000000" w:rsidP="001622A1">
            <w:pPr>
              <w:pStyle w:val="BodyText"/>
              <w:rPr>
                <w:lang w:val="en-NZ"/>
              </w:rPr>
            </w:pPr>
            <w:r w:rsidRPr="001622A1">
              <w:t>2</w:t>
            </w:r>
          </w:p>
        </w:tc>
      </w:tr>
      <w:tr w:rsidTr="007B04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p>
        </w:tc>
      </w:tr>
      <w:tr w:rsidTr="007B04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p>
          <w:p w:rsidR="00000000" w:rsidP="001622A1">
            <w:pPr>
              <w:pStyle w:val="BodyText"/>
              <w:rPr>
                <w:lang w:val="en-NZ"/>
              </w:rPr>
            </w:pPr>
            <w:r w:rsidRPr="001622A1">
              <w:t>2</w:t>
            </w:r>
          </w:p>
        </w:tc>
      </w:tr>
      <w:tr w:rsidTr="007B04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p>
        </w:tc>
      </w:tr>
      <w:tr w:rsidTr="007B04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p>
          <w:p w:rsidR="00000000" w:rsidP="001622A1">
            <w:pPr>
              <w:pStyle w:val="BodyText"/>
              <w:rPr>
                <w:lang w:val="en-NZ"/>
              </w:rPr>
            </w:pPr>
            <w:r w:rsidRPr="001622A1">
              <w:t>2</w:t>
            </w:r>
          </w:p>
        </w:tc>
      </w:tr>
      <w:tr w:rsidTr="007B04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p>
        </w:tc>
      </w:tr>
      <w:tr w:rsidTr="007B04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p>
          <w:p w:rsidR="00000000" w:rsidP="001622A1">
            <w:pPr>
              <w:pStyle w:val="BodyText"/>
              <w:rPr>
                <w:lang w:val="en-NZ"/>
              </w:rPr>
            </w:pPr>
            <w:r w:rsidRPr="001622A1">
              <w:t>2</w:t>
            </w:r>
          </w:p>
        </w:tc>
      </w:tr>
      <w:tr w:rsidTr="007B04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p>
        </w:tc>
      </w:tr>
      <w:tr w:rsidTr="007B045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p>
          <w:p w:rsidR="00000000" w:rsidP="001622A1">
            <w:pPr>
              <w:pStyle w:val="BodyText"/>
              <w:rPr>
                <w:lang w:val="en-NZ"/>
              </w:rPr>
            </w:pPr>
            <w:r w:rsidRPr="001622A1">
              <w:t>2</w:t>
            </w:r>
          </w:p>
        </w:tc>
      </w:tr>
      <w:tr w:rsidTr="007B045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p>
        </w:tc>
      </w:tr>
    </w:tbl>
    <w:p w:rsidR="00000000" w:rsidRPr="001622A1" w:rsidP="001622A1">
      <w:pPr>
        <w:pStyle w:val="BodyText"/>
      </w:pPr>
    </w:p>
    <w:tbl>
      <w:tblPr>
        <w:tblW w:w="0" w:type="auto"/>
        <w:tblLayout w:type="fixed"/>
        <w:tblCellMar>
          <w:left w:w="62" w:type="dxa"/>
          <w:right w:w="62" w:type="dxa"/>
        </w:tblCellMar>
        <w:tblLook w:val="0000"/>
      </w:tblPr>
      <w:tblGrid>
        <w:gridCol w:w="326"/>
        <w:gridCol w:w="1834"/>
        <w:gridCol w:w="4737"/>
        <w:gridCol w:w="1563"/>
      </w:tblGrid>
      <w:tr w:rsidTr="007B0459">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p>
          <w:p w:rsidR="00000000" w:rsidP="001622A1">
            <w:pPr>
              <w:pStyle w:val="BodyText"/>
              <w:rPr>
                <w:lang w:val="en-NZ"/>
              </w:rPr>
            </w:pPr>
            <w:r w:rsidRPr="001622A1">
              <w:t>2</w:t>
            </w:r>
          </w:p>
        </w:tc>
      </w:tr>
      <w:tr w:rsidTr="007B045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p>
        </w:tc>
      </w:tr>
      <w:tr w:rsidTr="007B045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5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622A1" w:rsidP="001622A1">
            <w:pPr>
              <w:pStyle w:val="BodyText"/>
            </w:pPr>
            <w:r w:rsidRPr="001622A1">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1622A1" w:rsidP="001622A1">
            <w:pPr>
              <w:pStyle w:val="BodyText"/>
            </w:pPr>
            <w:r w:rsidRPr="001622A1">
              <w:rPr>
                <w:rStyle w:val="SpecialBold"/>
              </w:rPr>
              <w:t>8</w:t>
            </w:r>
            <w:r w:rsidRPr="001622A1">
              <w:t>.</w:t>
            </w:r>
            <w:r w:rsidRPr="001622A1">
              <w:rPr>
                <w:rStyle w:val="SpecialBold"/>
              </w:rPr>
              <w:t>7</w:t>
            </w:r>
            <w:r w:rsidRPr="001622A1">
              <w:t xml:space="preserve">) </w:t>
            </w:r>
          </w:p>
          <w:p w:rsidR="00000000" w:rsidP="001622A1">
            <w:pPr>
              <w:pStyle w:val="BodyText"/>
              <w:rPr>
                <w:lang w:val="en-NZ"/>
              </w:rPr>
            </w:pPr>
            <w:r w:rsidRPr="001622A1">
              <w:t xml:space="preserve">Evidence that competency in this unit incorporates skills enabling employment is in the context of the following performance. See Volume 2, Part 5 for definitions and an explanation of skills enabling employment. </w:t>
            </w:r>
          </w:p>
        </w:tc>
      </w:tr>
      <w:tr w:rsidTr="007B045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r w:rsidRPr="001622A1">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rPr>
                <w:rStyle w:val="SpecialBold"/>
              </w:rPr>
              <w:t>Example of Application</w:t>
            </w:r>
          </w:p>
        </w:tc>
      </w:tr>
      <w:tr w:rsidTr="007B04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r>
      <w:tr w:rsidTr="007B04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Completion of tasks within an acceptable timeframe and performance with some supervision.</w:t>
            </w:r>
          </w:p>
        </w:tc>
      </w:tr>
      <w:tr w:rsidTr="007B04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r>
      <w:tr w:rsidTr="007B04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Comprehension and application of theoretical knowledge to well-developed skills.</w:t>
            </w:r>
          </w:p>
        </w:tc>
      </w:tr>
      <w:tr w:rsidTr="007B04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r>
      <w:tr w:rsidTr="007B04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Focused on improvement in own and other team member's performance in the workplace.</w:t>
            </w:r>
          </w:p>
        </w:tc>
      </w:tr>
      <w:tr w:rsidTr="007B04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r>
      <w:tr w:rsidTr="007B04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Working understanding of the processes and systems which apply to the workplace.</w:t>
            </w:r>
          </w:p>
        </w:tc>
      </w:tr>
      <w:tr w:rsidTr="007B04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r>
      <w:tr w:rsidTr="007B04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Achieving work tasks in a timely manner and ensuring that the work team achieves its stated work goals.</w:t>
            </w:r>
          </w:p>
        </w:tc>
      </w:tr>
      <w:tr w:rsidTr="007B045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2A1">
            <w:pPr>
              <w:pStyle w:val="BodyText"/>
              <w:rPr>
                <w:lang w:val="en-NZ"/>
              </w:rPr>
            </w:pPr>
            <w:r w:rsidRPr="001622A1">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2A1">
            <w:pPr>
              <w:pStyle w:val="BodyText"/>
              <w:rPr>
                <w:lang w:val="en-NZ"/>
              </w:rPr>
            </w:pPr>
            <w:r w:rsidRPr="001622A1">
              <w:t>Refer to the following example of application:</w:t>
            </w:r>
          </w:p>
        </w:tc>
      </w:tr>
      <w:tr w:rsidTr="007B045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622A1" w:rsidP="001622A1">
            <w:pPr>
              <w:pStyle w:val="BodyText"/>
            </w:pPr>
            <w:r w:rsidRPr="001622A1">
              <w:t>Se</w:t>
            </w:r>
            <w:r w:rsidRPr="001622A1">
              <w:t>ek advice and apply solutions to problems relevant to the workplace environment.</w:t>
            </w:r>
          </w:p>
        </w:tc>
      </w:tr>
    </w:tbl>
    <w:p w:rsidR="007B0459" w:rsidP="001622A1">
      <w:pPr>
        <w:pStyle w:val="BodyText"/>
      </w:pPr>
    </w:p>
    <w:p w:rsidR="007B0459" w:rsidP="001622A1">
      <w:pPr>
        <w:pStyle w:val="BodyText"/>
      </w:pPr>
    </w:p>
    <w:p w:rsidR="00000000" w:rsidRPr="001622A1" w:rsidP="001622A1">
      <w:pPr>
        <w:pStyle w:val="Heading1"/>
      </w:pPr>
      <w:bookmarkStart w:id="11" w:name="O_256067"/>
      <w:bookmarkEnd w:id="11"/>
      <w:r w:rsidRPr="001622A1">
        <w:t>Range Statement</w:t>
      </w:r>
    </w:p>
    <w:tbl>
      <w:tblPr>
        <w:tblW w:w="0" w:type="auto"/>
        <w:tblLayout w:type="fixed"/>
        <w:tblCellMar>
          <w:left w:w="62" w:type="dxa"/>
          <w:right w:w="62" w:type="dxa"/>
        </w:tblCellMar>
        <w:tblLook w:val="0000"/>
      </w:tblPr>
      <w:tblGrid>
        <w:gridCol w:w="8460"/>
      </w:tblGrid>
      <w:tr w:rsidTr="007B04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22A1">
            <w:pPr>
              <w:pStyle w:val="ListBullet"/>
              <w:rPr>
                <w:lang w:val="en-NZ"/>
              </w:rPr>
            </w:pPr>
            <w:r w:rsidRPr="001622A1">
              <w:rPr>
                <w:rStyle w:val="SpecialBold"/>
              </w:rPr>
              <w:t>RANGE STATEMENT</w:t>
            </w:r>
          </w:p>
        </w:tc>
      </w:tr>
      <w:tr w:rsidTr="007B04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rPr>
                <w:rStyle w:val="SpecialBold"/>
              </w:rPr>
              <w:t>7</w:t>
            </w:r>
            <w:r w:rsidRPr="001622A1">
              <w:t xml:space="preserve">) This relates to the competency standard unit as a whole, providing the range of contexts and </w:t>
            </w:r>
            <w:r w:rsidRPr="001622A1">
              <w:t>conditions to which the Performance Criteria apply. It allows for different work environments and situations that will affect performance.</w:t>
            </w:r>
          </w:p>
        </w:tc>
      </w:tr>
      <w:tr w:rsidTr="007B04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Plant and equipment may include: gas turbines; gas turbine emission control equipment; gas turbine exhaust gas control dampers; heat recovery steam generators and auxiliary plant; heat recovery steam generator supplementary duct firing equipment; fuel deli</w:t>
            </w:r>
            <w:r w:rsidRPr="001622A1">
              <w:t>very systems; fuel management systems; flame detection equipment; steam temperature control equipment; AC and DC electrical distribution systems; electrical switchgear; electric motors; electric motor driven pumps and fans; diesel engine driven auxiliary p</w:t>
            </w:r>
            <w:r w:rsidRPr="001622A1">
              <w:t>lant; station water distribution systems; hydraulic power oil systems; compressed air systems; distributed control systems; supervisory, protection, alarm and control equipment.</w:t>
            </w:r>
          </w:p>
          <w:p w:rsidR="00000000" w:rsidRPr="001622A1" w:rsidP="001622A1">
            <w:pPr>
              <w:pStyle w:val="BodyText"/>
            </w:pPr>
            <w:r w:rsidRPr="001622A1">
              <w:t>Safety standards may include relevant sections of Occupational Health and Safe</w:t>
            </w:r>
            <w:r w:rsidRPr="001622A1">
              <w:t>ty legislation, enterprise safety rules, relevant State and federal legislation, national standards for plant and Australian standards.</w:t>
            </w:r>
          </w:p>
          <w:p w:rsidR="00000000" w:rsidRPr="001622A1" w:rsidP="001622A1">
            <w:pPr>
              <w:pStyle w:val="BodyText"/>
            </w:pPr>
            <w:r w:rsidRPr="001622A1">
              <w:t>Information and documentation sources may include verbal or written communications; enterprise safety rules documentatio</w:t>
            </w:r>
            <w:r w:rsidRPr="001622A1">
              <w:t>n; enterprise operating instructions; computer-based and computer accessed documentation; enterprise/site standing and operating instructions; enterprise log books; manufacturer's operation and maintenance manuals; and equipment and alarm manuals.</w:t>
            </w:r>
          </w:p>
          <w:p w:rsidR="00000000" w:rsidRPr="001622A1" w:rsidP="001622A1">
            <w:pPr>
              <w:pStyle w:val="BodyText"/>
            </w:pPr>
            <w:r w:rsidRPr="001622A1">
              <w:t>Technica</w:t>
            </w:r>
            <w:r w:rsidRPr="001622A1">
              <w:t>l and operational indicators may include stimuli (auditory, olfactory, tactile, visual), local indicators and recorders, computers and alarms (visible and/or audible).</w:t>
            </w:r>
          </w:p>
          <w:p w:rsidR="00000000" w:rsidRPr="001622A1" w:rsidP="001622A1">
            <w:pPr>
              <w:pStyle w:val="BodyText"/>
            </w:pPr>
            <w:r w:rsidRPr="001622A1">
              <w:t>Communications may be by direct personal interaction or by means of telephone, verbal or</w:t>
            </w:r>
            <w:r w:rsidRPr="001622A1">
              <w:t xml:space="preserve"> text-based telephone messaging, two way radio, pager, computer (electronic mail) and/or operating logs (written or verbal).</w:t>
            </w:r>
          </w:p>
          <w:p w:rsidR="00000000" w:rsidRPr="001622A1" w:rsidP="001622A1">
            <w:pPr>
              <w:pStyle w:val="BodyText"/>
            </w:pPr>
            <w:r w:rsidRPr="001622A1">
              <w:t>Appropriate personnel for consultation, giving or receiving direction may include: supervisor/team leader or equivalent, power plan</w:t>
            </w:r>
            <w:r w:rsidRPr="001622A1">
              <w:t>t operations personnel or equivalent, technical and engineering officers or equivalent, maintenance staff, other operating staff or equivalent, system controller/network controller, field operator, restricted H.V. operators, independent generators and cust</w:t>
            </w:r>
            <w:r w:rsidRPr="001622A1">
              <w:t>omers and contractor staff.</w:t>
            </w:r>
          </w:p>
          <w:p w:rsidR="00000000" w:rsidRPr="001622A1" w:rsidP="001622A1">
            <w:pPr>
              <w:pStyle w:val="BodyText"/>
            </w:pPr>
            <w:r w:rsidRPr="001622A1">
              <w:t>Operating environment may be remote from the plant and equipment being operated, (in cases where operation is assisted by remote indication of operating parameters and plant status), during inclement or otherwise harsh weather c</w:t>
            </w:r>
            <w:r w:rsidRPr="001622A1">
              <w:t>onditions, in hot/wet/noisy/dusty/elevated/confined or enclosed areas or during night periods.</w:t>
            </w:r>
          </w:p>
          <w:p w:rsidR="00000000" w:rsidRPr="001622A1" w:rsidP="001622A1">
            <w:pPr>
              <w:pStyle w:val="BodyText"/>
            </w:pPr>
            <w:r w:rsidRPr="001622A1">
              <w:t>Plant operations (systems requirements) may include:</w:t>
            </w:r>
          </w:p>
          <w:p w:rsidR="00000000" w:rsidRPr="001622A1" w:rsidP="001622A1">
            <w:pPr>
              <w:pStyle w:val="BodyText"/>
            </w:pPr>
            <w:r w:rsidRPr="001622A1">
              <w:t>Load changes over the full range of operation up to and including maximum continuous rating, operational tes</w:t>
            </w:r>
            <w:r w:rsidRPr="001622A1">
              <w:t>ting.</w:t>
            </w:r>
          </w:p>
          <w:p w:rsidR="00000000" w:rsidRPr="001622A1" w:rsidP="001622A1">
            <w:pPr>
              <w:pStyle w:val="BodyText"/>
            </w:pPr>
            <w:r w:rsidRPr="001622A1">
              <w:t xml:space="preserve">Operational tests may include: </w:t>
            </w:r>
          </w:p>
          <w:p w:rsidR="00000000" w:rsidRPr="001622A1" w:rsidP="001622A1">
            <w:pPr>
              <w:pStyle w:val="BodyText"/>
            </w:pPr>
            <w:r w:rsidRPr="001622A1">
              <w:t>Loss of a major auxiliary control response checks; stand-by plant "cut-in" tests; dampers/valves operating checks and post start tests.</w:t>
            </w:r>
          </w:p>
          <w:p w:rsidR="00000000" w:rsidRPr="001622A1" w:rsidP="001622A1">
            <w:pPr>
              <w:pStyle w:val="BodyText"/>
            </w:pPr>
            <w:r w:rsidRPr="001622A1">
              <w:t xml:space="preserve">Faults and abnormal operating conditions may include: </w:t>
            </w:r>
          </w:p>
          <w:p w:rsidR="00000000" w:rsidRPr="001622A1" w:rsidP="001622A1">
            <w:pPr>
              <w:pStyle w:val="BodyText"/>
            </w:pPr>
            <w:r w:rsidRPr="001622A1">
              <w:t>Gas Turbine trip, excessive</w:t>
            </w:r>
            <w:r w:rsidRPr="001622A1">
              <w:t>ly high or low steam/water drum level, loss of a major auxiliary; loss of electrical supply to switchboards, drive motors or valve actuators; feedwater chemical operating limits exceeded; automatic control loop(s) malfunctions; high temperatures on/in, hea</w:t>
            </w:r>
            <w:r w:rsidRPr="001622A1">
              <w:t>t recovery steam generator heating surfaces/tubes/headers, low temperatures on/in, heat recovery steam generator heating surfaces/tubes/headers; High/low superheater or reheater steam temperatures; high temperatures on/in: motor and/or pump bearings, lubri</w:t>
            </w:r>
            <w:r w:rsidRPr="001622A1">
              <w:t>cating oil or motor windings; heat exchange element tube leaks; excessive drum water level split; excessively high heating/cooling rates; loss of flame on supplementary firing combustors; fuel delivery system malfunction; fuel preparation and delivery syst</w:t>
            </w:r>
            <w:r w:rsidRPr="001622A1">
              <w:t>ems fires; high differential pressures on oil/air filters and strainers; failed field devices; failed/malfunctioning actuators/dampers/valves; feedwater pumps malfunctions; heat recovery steam generator protection operation.</w:t>
            </w:r>
          </w:p>
          <w:p w:rsidR="00000000" w:rsidRPr="001622A1" w:rsidP="001622A1">
            <w:pPr>
              <w:pStyle w:val="BodyText"/>
            </w:pPr>
            <w:r w:rsidRPr="001622A1">
              <w:t>Generic terms are used througho</w:t>
            </w:r>
            <w:r w:rsidRPr="001622A1">
              <w:t>ut this Training Package for vocational standard shall be regarded as part of the Range Statement in which competency is demonstrated. The definition of these and other terms are given in Volume 2, Part 1.</w:t>
            </w:r>
          </w:p>
        </w:tc>
      </w:tr>
    </w:tbl>
    <w:p w:rsidR="007B0459" w:rsidP="001622A1">
      <w:pPr>
        <w:pStyle w:val="BodyText"/>
      </w:pPr>
    </w:p>
    <w:p w:rsidR="007B0459" w:rsidP="001622A1">
      <w:pPr>
        <w:pStyle w:val="BodyText"/>
      </w:pPr>
    </w:p>
    <w:p w:rsidR="00000000" w:rsidRPr="001622A1" w:rsidP="001622A1">
      <w:pPr>
        <w:pStyle w:val="Heading1"/>
      </w:pPr>
      <w:bookmarkStart w:id="12" w:name="O_297080"/>
      <w:bookmarkEnd w:id="12"/>
      <w:r w:rsidRPr="001622A1">
        <w:t>Unit Sector(s)</w:t>
      </w:r>
    </w:p>
    <w:p w:rsidR="00000000" w:rsidRPr="001622A1" w:rsidP="001622A1">
      <w:pPr>
        <w:pStyle w:val="BodyText"/>
      </w:pPr>
      <w:r w:rsidRPr="001622A1">
        <w:t>Not Applicable</w:t>
      </w:r>
    </w:p>
    <w:p w:rsidR="00000000" w:rsidRPr="001622A1" w:rsidP="001622A1">
      <w:pPr>
        <w:pStyle w:val="AllowPageBreak"/>
      </w:pPr>
    </w:p>
    <w:p w:rsidR="00000000" w:rsidRPr="001622A1" w:rsidP="001622A1">
      <w:pPr>
        <w:pStyle w:val="Heading1"/>
      </w:pPr>
      <w:bookmarkStart w:id="13" w:name="O_230902"/>
      <w:bookmarkEnd w:id="13"/>
      <w:r w:rsidRPr="001622A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B04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2</w:t>
            </w:r>
            <w:r w:rsidRPr="001622A1">
              <w:t>.</w:t>
            </w:r>
            <w:r w:rsidRPr="001622A1">
              <w:rPr>
                <w:rStyle w:val="SpecialBold"/>
              </w:rPr>
              <w:t>2</w:t>
            </w:r>
            <w:r w:rsidRPr="001622A1">
              <w:t xml:space="preserve">) </w:t>
            </w:r>
          </w:p>
          <w:p w:rsidR="00000000" w:rsidP="001622A1">
            <w:pPr>
              <w:pStyle w:val="BodyText"/>
              <w:rPr>
                <w:lang w:val="en-NZ"/>
              </w:rPr>
            </w:pPr>
            <w:r w:rsidRPr="001622A1">
              <w:t>Participants are best equipped to achieve this unit if they have reading, writing and numeracy skills indicated by the following scales. Description of each scale is given in Volume 2, Part 3 Literacy and Numeracy</w:t>
            </w:r>
          </w:p>
        </w:tc>
      </w:tr>
      <w:tr w:rsidTr="007B04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Reading</w:t>
            </w:r>
          </w:p>
        </w:tc>
        <w:tc>
          <w:tcPr>
            <w:tcW w:w="805"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4</w:t>
            </w:r>
          </w:p>
        </w:tc>
        <w:tc>
          <w:tcPr>
            <w:tcW w:w="1184"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Writing</w:t>
            </w:r>
          </w:p>
        </w:tc>
        <w:tc>
          <w:tcPr>
            <w:tcW w:w="805"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4</w:t>
            </w:r>
          </w:p>
        </w:tc>
        <w:tc>
          <w:tcPr>
            <w:tcW w:w="1172"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t>Numeracy</w:t>
            </w:r>
          </w:p>
        </w:tc>
        <w:tc>
          <w:tcPr>
            <w:tcW w:w="805"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4</w:t>
            </w:r>
          </w:p>
        </w:tc>
      </w:tr>
    </w:tbl>
    <w:p w:rsidR="007B0459" w:rsidP="001622A1">
      <w:pPr>
        <w:pStyle w:val="BodyText"/>
      </w:pPr>
    </w:p>
    <w:p w:rsidR="007B0459" w:rsidP="001622A1">
      <w:pPr>
        <w:pStyle w:val="BodyText"/>
      </w:pPr>
    </w:p>
    <w:p w:rsidR="00000000" w:rsidRPr="001622A1" w:rsidP="001622A1">
      <w:pPr>
        <w:pStyle w:val="Heading1"/>
      </w:pPr>
      <w:bookmarkStart w:id="14" w:name="O_230904"/>
      <w:bookmarkEnd w:id="14"/>
      <w:r w:rsidRPr="001622A1">
        <w:t>Competency Field</w:t>
      </w:r>
    </w:p>
    <w:tbl>
      <w:tblPr>
        <w:tblW w:w="0" w:type="auto"/>
        <w:tblLayout w:type="fixed"/>
        <w:tblCellMar>
          <w:left w:w="62" w:type="dxa"/>
          <w:right w:w="62" w:type="dxa"/>
        </w:tblCellMar>
        <w:tblLook w:val="0000"/>
      </w:tblPr>
      <w:tblGrid>
        <w:gridCol w:w="2700"/>
        <w:gridCol w:w="5760"/>
      </w:tblGrid>
      <w:tr w:rsidTr="007B04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622A1">
            <w:pPr>
              <w:pStyle w:val="BodyText"/>
              <w:rPr>
                <w:lang w:val="en-NZ"/>
              </w:rPr>
            </w:pPr>
            <w:r w:rsidRPr="001622A1">
              <w:rPr>
                <w:rStyle w:val="SpecialBold"/>
              </w:rPr>
              <w:t>4</w:t>
            </w:r>
            <w:r w:rsidRPr="001622A1">
              <w:t xml:space="preserve">) </w:t>
            </w:r>
          </w:p>
        </w:tc>
      </w:tr>
      <w:tr w:rsidTr="007B04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22A1" w:rsidP="001622A1">
            <w:pPr>
              <w:pStyle w:val="BodyText"/>
            </w:pPr>
            <w:r w:rsidRPr="001622A1">
              <w:t>Operations</w:t>
            </w:r>
          </w:p>
        </w:tc>
      </w:tr>
    </w:tbl>
    <w:p w:rsidR="007B0459" w:rsidP="001622A1">
      <w:pPr>
        <w:pStyle w:val="BodyText"/>
      </w:pPr>
    </w:p>
    <w:p w:rsidR="007B0459" w:rsidP="001622A1">
      <w:pPr>
        <w:pStyle w:val="BodyText"/>
      </w:pPr>
    </w:p>
    <w:p w:rsidR="00000000" w:rsidRPr="001622A1" w:rsidP="001622A1"/>
    <w:sectPr w:rsidSect="001622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459" w:rsidP="007B04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59" w:rsidP="00162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B0459" w:rsidP="001622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0459" w:rsidP="001622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459" w:rsidP="007B04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59" w:rsidP="001622A1">
    <w:pPr>
      <w:pStyle w:val="Header"/>
      <w:framePr w:wrap="around"/>
    </w:pPr>
    <w:r>
      <w:fldChar w:fldCharType="begin"/>
    </w:r>
    <w:r>
      <w:instrText xml:space="preserve"> TITLE   \* MERGEFORMAT </w:instrText>
    </w:r>
    <w:r>
      <w:fldChar w:fldCharType="separate"/>
    </w:r>
    <w:r>
      <w:t>UEPOPS433A Operate and Monitor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0459" w:rsidP="001622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667C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2235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2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2A1"/>
    <w:pPr>
      <w:spacing w:before="360" w:after="60"/>
      <w:outlineLvl w:val="0"/>
    </w:pPr>
    <w:rPr>
      <w:sz w:val="32"/>
    </w:rPr>
  </w:style>
  <w:style w:type="paragraph" w:styleId="Heading2">
    <w:name w:val="heading 2"/>
    <w:basedOn w:val="HeadingBase"/>
    <w:next w:val="BodyText"/>
    <w:link w:val="Heading2Char"/>
    <w:qFormat/>
    <w:rsid w:val="001622A1"/>
    <w:pPr>
      <w:keepLines/>
      <w:spacing w:before="240" w:after="120"/>
      <w:outlineLvl w:val="1"/>
    </w:pPr>
    <w:rPr>
      <w:sz w:val="28"/>
      <w:szCs w:val="40"/>
    </w:rPr>
  </w:style>
  <w:style w:type="paragraph" w:styleId="Heading3">
    <w:name w:val="heading 3"/>
    <w:basedOn w:val="HeadingBase"/>
    <w:next w:val="BodyText"/>
    <w:link w:val="Heading3Char"/>
    <w:qFormat/>
    <w:rsid w:val="001622A1"/>
    <w:pPr>
      <w:spacing w:before="180" w:after="120"/>
      <w:outlineLvl w:val="2"/>
    </w:pPr>
    <w:rPr>
      <w:spacing w:val="-10"/>
      <w:kern w:val="32"/>
    </w:rPr>
  </w:style>
  <w:style w:type="paragraph" w:styleId="Heading4">
    <w:name w:val="heading 4"/>
    <w:basedOn w:val="HeadingBase"/>
    <w:next w:val="BodyText"/>
    <w:link w:val="Heading4Char"/>
    <w:qFormat/>
    <w:rsid w:val="001622A1"/>
    <w:pPr>
      <w:spacing w:before="160" w:after="120"/>
      <w:outlineLvl w:val="3"/>
    </w:pPr>
    <w:rPr>
      <w:sz w:val="22"/>
    </w:rPr>
  </w:style>
  <w:style w:type="paragraph" w:styleId="Heading5">
    <w:name w:val="heading 5"/>
    <w:basedOn w:val="HeadingBase"/>
    <w:next w:val="Normal"/>
    <w:link w:val="Heading5Char"/>
    <w:qFormat/>
    <w:rsid w:val="001622A1"/>
    <w:pPr>
      <w:spacing w:before="80"/>
      <w:outlineLvl w:val="4"/>
    </w:pPr>
    <w:rPr>
      <w:color w:val="918585"/>
      <w:sz w:val="20"/>
    </w:rPr>
  </w:style>
  <w:style w:type="paragraph" w:styleId="Heading6">
    <w:name w:val="heading 6"/>
    <w:basedOn w:val="HeadingBase"/>
    <w:next w:val="Normal"/>
    <w:link w:val="Heading6Char"/>
    <w:qFormat/>
    <w:rsid w:val="001622A1"/>
    <w:pPr>
      <w:spacing w:before="60"/>
      <w:outlineLvl w:val="5"/>
    </w:pPr>
    <w:rPr>
      <w:color w:val="918585"/>
      <w:sz w:val="20"/>
    </w:rPr>
  </w:style>
  <w:style w:type="paragraph" w:styleId="Heading7">
    <w:name w:val="heading 7"/>
    <w:basedOn w:val="Normal"/>
    <w:next w:val="Normal"/>
    <w:link w:val="Heading7Char"/>
    <w:qFormat/>
    <w:rsid w:val="001622A1"/>
    <w:pPr>
      <w:ind w:left="720"/>
      <w:outlineLvl w:val="6"/>
    </w:pPr>
    <w:rPr>
      <w:i/>
    </w:rPr>
  </w:style>
  <w:style w:type="paragraph" w:styleId="Heading8">
    <w:name w:val="heading 8"/>
    <w:basedOn w:val="Normal"/>
    <w:next w:val="Normal"/>
    <w:link w:val="Heading8Char"/>
    <w:qFormat/>
    <w:rsid w:val="001622A1"/>
    <w:pPr>
      <w:ind w:left="720"/>
      <w:outlineLvl w:val="7"/>
    </w:pPr>
    <w:rPr>
      <w:i/>
    </w:rPr>
  </w:style>
  <w:style w:type="paragraph" w:styleId="Heading9">
    <w:name w:val="heading 9"/>
    <w:basedOn w:val="Normal"/>
    <w:next w:val="Normal"/>
    <w:link w:val="Heading9Char"/>
    <w:qFormat/>
    <w:rsid w:val="001622A1"/>
    <w:pPr>
      <w:ind w:left="720"/>
      <w:outlineLvl w:val="8"/>
    </w:pPr>
    <w:rPr>
      <w:i/>
    </w:rPr>
  </w:style>
  <w:style w:type="character" w:default="1" w:styleId="DefaultParagraphFont">
    <w:name w:val="Default Paragraph Font"/>
    <w:uiPriority w:val="1"/>
    <w:unhideWhenUsed/>
    <w:rsid w:val="00162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2A1"/>
  </w:style>
  <w:style w:type="character" w:customStyle="1" w:styleId="Heading1Char">
    <w:name w:val="Heading 1 Char"/>
    <w:basedOn w:val="DefaultParagraphFont"/>
    <w:link w:val="Heading1"/>
    <w:rsid w:val="001622A1"/>
    <w:rPr>
      <w:rFonts w:ascii="Times New Roman" w:eastAsia="Times New Roman" w:hAnsi="Times New Roman" w:cs="Times New Roman"/>
      <w:b/>
      <w:sz w:val="32"/>
      <w:szCs w:val="20"/>
      <w:lang w:eastAsia="en-US"/>
    </w:rPr>
  </w:style>
  <w:style w:type="paragraph" w:styleId="BodyText">
    <w:name w:val="Body Text"/>
    <w:basedOn w:val="Normal"/>
    <w:link w:val="BodyTextChar"/>
    <w:rsid w:val="001622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2A1"/>
    <w:rPr>
      <w:rFonts w:ascii="Times New Roman" w:eastAsia="Times New Roman" w:hAnsi="Times New Roman" w:cs="Times New Roman"/>
      <w:sz w:val="24"/>
      <w:lang w:val="en-US" w:eastAsia="en-US"/>
    </w:rPr>
  </w:style>
  <w:style w:type="paragraph" w:styleId="Footer">
    <w:name w:val="footer"/>
    <w:basedOn w:val="Normal"/>
    <w:link w:val="FooterChar"/>
    <w:rsid w:val="00162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2A1"/>
    <w:rPr>
      <w:rFonts w:ascii="Times New Roman" w:eastAsia="Times New Roman" w:hAnsi="Times New Roman" w:cs="Times New Roman"/>
      <w:sz w:val="16"/>
      <w:lang w:val="en-US" w:eastAsia="en-US"/>
    </w:rPr>
  </w:style>
  <w:style w:type="paragraph" w:styleId="ListBullet">
    <w:name w:val="List Bullet"/>
    <w:basedOn w:val="List"/>
    <w:rsid w:val="001622A1"/>
    <w:pPr>
      <w:numPr>
        <w:numId w:val="13"/>
      </w:numPr>
      <w:tabs>
        <w:tab w:val="clear" w:pos="340"/>
      </w:tabs>
      <w:spacing w:before="40" w:after="40"/>
    </w:pPr>
  </w:style>
  <w:style w:type="character" w:customStyle="1" w:styleId="SpecialBold">
    <w:name w:val="Special Bold"/>
    <w:basedOn w:val="DefaultParagraphFont"/>
    <w:rsid w:val="001622A1"/>
    <w:rPr>
      <w:b/>
      <w:spacing w:val="0"/>
    </w:rPr>
  </w:style>
  <w:style w:type="paragraph" w:styleId="Header">
    <w:name w:val="header"/>
    <w:basedOn w:val="Normal"/>
    <w:link w:val="HeaderChar"/>
    <w:rsid w:val="00162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2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22A1"/>
    <w:pPr>
      <w:spacing w:before="240" w:after="120"/>
      <w:outlineLvl w:val="0"/>
    </w:pPr>
    <w:rPr>
      <w:rFonts w:ascii="Times New Roman" w:hAnsi="Times New Roman"/>
      <w:b/>
      <w:sz w:val="28"/>
    </w:rPr>
  </w:style>
  <w:style w:type="paragraph" w:customStyle="1" w:styleId="AllowPageBreak">
    <w:name w:val="AllowPageBreak"/>
    <w:rsid w:val="001622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22A1"/>
    <w:pPr>
      <w:numPr>
        <w:numId w:val="2"/>
      </w:numPr>
      <w:tabs>
        <w:tab w:val="clear" w:pos="1021"/>
      </w:tabs>
      <w:ind w:left="1037" w:hanging="357"/>
    </w:pPr>
  </w:style>
  <w:style w:type="character" w:customStyle="1" w:styleId="Heading2Char">
    <w:name w:val="Heading 2 Char"/>
    <w:basedOn w:val="DefaultParagraphFont"/>
    <w:link w:val="Heading2"/>
    <w:rsid w:val="00162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2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2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2A1"/>
    <w:rPr>
      <w:rFonts w:ascii="Courier New" w:eastAsia="Times New Roman" w:hAnsi="Courier New" w:cs="Times New Roman"/>
      <w:i/>
      <w:szCs w:val="20"/>
      <w:lang w:val="en-US" w:eastAsia="en-US"/>
    </w:rPr>
  </w:style>
  <w:style w:type="paragraph" w:customStyle="1" w:styleId="HeadingBase">
    <w:name w:val="Heading Base"/>
    <w:rsid w:val="00162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2A1"/>
    <w:pPr>
      <w:tabs>
        <w:tab w:val="right" w:leader="dot" w:pos="9072"/>
      </w:tabs>
      <w:ind w:left="567"/>
    </w:pPr>
    <w:rPr>
      <w:szCs w:val="22"/>
    </w:rPr>
  </w:style>
  <w:style w:type="paragraph" w:customStyle="1" w:styleId="TOCBase">
    <w:name w:val="TOC Base"/>
    <w:rsid w:val="00162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2A1"/>
    <w:pPr>
      <w:tabs>
        <w:tab w:val="right" w:leader="dot" w:pos="9072"/>
      </w:tabs>
      <w:spacing w:before="40" w:after="40"/>
      <w:ind w:left="284"/>
    </w:pPr>
    <w:rPr>
      <w:rFonts w:ascii="Times New Roman" w:hAnsi="Times New Roman"/>
    </w:rPr>
  </w:style>
  <w:style w:type="paragraph" w:styleId="TOC1">
    <w:name w:val="toc 1"/>
    <w:basedOn w:val="TOCBase"/>
    <w:next w:val="Normal"/>
    <w:rsid w:val="001622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2A1"/>
    <w:pPr>
      <w:spacing w:before="5040"/>
      <w:jc w:val="center"/>
    </w:pPr>
    <w:rPr>
      <w:sz w:val="48"/>
      <w:szCs w:val="72"/>
      <w:lang w:val="en-US"/>
    </w:rPr>
  </w:style>
  <w:style w:type="character" w:customStyle="1" w:styleId="TitleChar">
    <w:name w:val="Title Char"/>
    <w:basedOn w:val="DefaultParagraphFont"/>
    <w:link w:val="Title"/>
    <w:rsid w:val="00162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2A1"/>
    <w:pPr>
      <w:tabs>
        <w:tab w:val="left" w:pos="3600"/>
        <w:tab w:val="left" w:pos="3958"/>
      </w:tabs>
    </w:pPr>
  </w:style>
  <w:style w:type="paragraph" w:styleId="List">
    <w:name w:val="List"/>
    <w:basedOn w:val="BodyText"/>
    <w:next w:val="BodyText"/>
    <w:rsid w:val="001622A1"/>
    <w:pPr>
      <w:tabs>
        <w:tab w:val="left" w:pos="340"/>
      </w:tabs>
      <w:spacing w:before="60" w:after="60"/>
      <w:ind w:left="340" w:hanging="340"/>
    </w:pPr>
  </w:style>
  <w:style w:type="paragraph" w:customStyle="1" w:styleId="Note">
    <w:name w:val="Note"/>
    <w:basedOn w:val="BodyText"/>
    <w:rsid w:val="00162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2A1"/>
    <w:pPr>
      <w:framePr w:wrap="auto" w:hAnchor="text" w:y="6049"/>
    </w:pPr>
    <w:rPr>
      <w:color w:val="000000"/>
      <w:sz w:val="40"/>
    </w:rPr>
  </w:style>
  <w:style w:type="paragraph" w:customStyle="1" w:styleId="TOCTitle">
    <w:name w:val="TOCTitle"/>
    <w:basedOn w:val="Heading1"/>
    <w:rsid w:val="001622A1"/>
    <w:pPr>
      <w:spacing w:after="240"/>
      <w:jc w:val="center"/>
      <w:outlineLvl w:val="9"/>
    </w:pPr>
    <w:rPr>
      <w:caps/>
    </w:rPr>
  </w:style>
  <w:style w:type="paragraph" w:customStyle="1" w:styleId="Version">
    <w:name w:val="Version"/>
    <w:rsid w:val="001622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2A1"/>
    <w:pPr>
      <w:numPr>
        <w:numId w:val="14"/>
      </w:numPr>
      <w:tabs>
        <w:tab w:val="clear" w:pos="680"/>
      </w:tabs>
    </w:pPr>
  </w:style>
  <w:style w:type="paragraph" w:styleId="Index1">
    <w:name w:val="index 1"/>
    <w:basedOn w:val="Normal"/>
    <w:next w:val="Normal"/>
    <w:semiHidden/>
    <w:rsid w:val="001622A1"/>
    <w:pPr>
      <w:keepNext w:val="0"/>
      <w:tabs>
        <w:tab w:val="right" w:pos="4176"/>
      </w:tabs>
      <w:ind w:left="198" w:hanging="198"/>
    </w:pPr>
    <w:rPr>
      <w:rFonts w:ascii="Garamond" w:hAnsi="Garamond"/>
    </w:rPr>
  </w:style>
  <w:style w:type="paragraph" w:styleId="IndexHeading">
    <w:name w:val="index heading"/>
    <w:basedOn w:val="Normal"/>
    <w:next w:val="Index1"/>
    <w:semiHidden/>
    <w:rsid w:val="001622A1"/>
    <w:pPr>
      <w:spacing w:before="120" w:after="120"/>
    </w:pPr>
    <w:rPr>
      <w:rFonts w:ascii="Arial" w:hAnsi="Arial"/>
      <w:b/>
      <w:color w:val="918585"/>
      <w:sz w:val="24"/>
    </w:rPr>
  </w:style>
  <w:style w:type="paragraph" w:customStyle="1" w:styleId="Chapter">
    <w:name w:val="Chapter"/>
    <w:basedOn w:val="Normal"/>
    <w:rsid w:val="001622A1"/>
    <w:pPr>
      <w:spacing w:before="240"/>
    </w:pPr>
    <w:rPr>
      <w:rFonts w:ascii="Times New Roman" w:hAnsi="Times New Roman"/>
      <w:smallCaps/>
      <w:spacing w:val="80"/>
      <w:sz w:val="28"/>
    </w:rPr>
  </w:style>
  <w:style w:type="paragraph" w:customStyle="1" w:styleId="InChapter">
    <w:name w:val="InChapter"/>
    <w:basedOn w:val="Heading3"/>
    <w:rsid w:val="001622A1"/>
    <w:pPr>
      <w:spacing w:after="240"/>
      <w:outlineLvl w:val="9"/>
    </w:pPr>
    <w:rPr>
      <w:noProof/>
    </w:rPr>
  </w:style>
  <w:style w:type="paragraph" w:styleId="Index2">
    <w:name w:val="index 2"/>
    <w:basedOn w:val="Normal"/>
    <w:next w:val="Normal"/>
    <w:semiHidden/>
    <w:rsid w:val="001622A1"/>
    <w:pPr>
      <w:tabs>
        <w:tab w:val="right" w:pos="4176"/>
      </w:tabs>
      <w:ind w:left="568" w:hanging="284"/>
    </w:pPr>
    <w:rPr>
      <w:rFonts w:ascii="Garamond" w:hAnsi="Garamond"/>
    </w:rPr>
  </w:style>
  <w:style w:type="paragraph" w:customStyle="1" w:styleId="Byline">
    <w:name w:val="Byline"/>
    <w:rsid w:val="00162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2A1"/>
    <w:pPr>
      <w:tabs>
        <w:tab w:val="clear" w:pos="3600"/>
        <w:tab w:val="clear" w:pos="3958"/>
      </w:tabs>
      <w:jc w:val="right"/>
    </w:pPr>
  </w:style>
  <w:style w:type="character" w:styleId="Emphasis">
    <w:name w:val="Emphasis"/>
    <w:basedOn w:val="DefaultParagraphFont"/>
    <w:qFormat/>
    <w:rsid w:val="001622A1"/>
    <w:rPr>
      <w:i/>
    </w:rPr>
  </w:style>
  <w:style w:type="paragraph" w:styleId="Caption">
    <w:name w:val="caption"/>
    <w:basedOn w:val="BodyText"/>
    <w:next w:val="Normal"/>
    <w:qFormat/>
    <w:rsid w:val="001622A1"/>
    <w:pPr>
      <w:framePr w:w="2268" w:hSpace="181" w:vSpace="181" w:wrap="around" w:vAnchor="text" w:hAnchor="page" w:x="1135" w:y="285" w:anchorLock="1"/>
    </w:pPr>
    <w:rPr>
      <w:i/>
    </w:rPr>
  </w:style>
  <w:style w:type="paragraph" w:customStyle="1" w:styleId="MiniTOCTitle">
    <w:name w:val="MiniTOCTitle"/>
    <w:basedOn w:val="Heading4"/>
    <w:rsid w:val="001622A1"/>
    <w:pPr>
      <w:spacing w:before="240"/>
      <w:outlineLvl w:val="9"/>
    </w:pPr>
    <w:rPr>
      <w:noProof/>
      <w:sz w:val="24"/>
    </w:rPr>
  </w:style>
  <w:style w:type="paragraph" w:customStyle="1" w:styleId="MiniTOCItem">
    <w:name w:val="MiniTOCItem"/>
    <w:basedOn w:val="ListBullet"/>
    <w:rsid w:val="001622A1"/>
    <w:pPr>
      <w:numPr>
        <w:numId w:val="0"/>
      </w:numPr>
      <w:tabs>
        <w:tab w:val="right" w:leader="dot" w:pos="6521"/>
      </w:tabs>
      <w:spacing w:before="0" w:after="0"/>
    </w:pPr>
  </w:style>
  <w:style w:type="paragraph" w:customStyle="1" w:styleId="TOFTitle">
    <w:name w:val="TOFTitle"/>
    <w:basedOn w:val="TOCTitle"/>
    <w:rsid w:val="001622A1"/>
  </w:style>
  <w:style w:type="paragraph" w:styleId="TableofFigures">
    <w:name w:val="table of figures"/>
    <w:basedOn w:val="Normal"/>
    <w:next w:val="Normal"/>
    <w:semiHidden/>
    <w:rsid w:val="001622A1"/>
    <w:pPr>
      <w:tabs>
        <w:tab w:val="right" w:leader="dot" w:pos="9072"/>
      </w:tabs>
      <w:ind w:left="970" w:hanging="403"/>
    </w:pPr>
    <w:rPr>
      <w:rFonts w:ascii="Times New Roman" w:hAnsi="Times New Roman"/>
      <w:b/>
    </w:rPr>
  </w:style>
  <w:style w:type="paragraph" w:styleId="ListNumber">
    <w:name w:val="List Number"/>
    <w:basedOn w:val="List"/>
    <w:rsid w:val="001622A1"/>
    <w:pPr>
      <w:numPr>
        <w:numId w:val="11"/>
      </w:numPr>
    </w:pPr>
  </w:style>
  <w:style w:type="character" w:customStyle="1" w:styleId="WingdingSymbols">
    <w:name w:val="Wingding Symbols"/>
    <w:rsid w:val="001622A1"/>
    <w:rPr>
      <w:rFonts w:ascii="Wingdings" w:hAnsi="Wingdings"/>
    </w:rPr>
  </w:style>
  <w:style w:type="paragraph" w:customStyle="1" w:styleId="TableHeading">
    <w:name w:val="Table Heading"/>
    <w:basedOn w:val="HeadingBase"/>
    <w:rsid w:val="001622A1"/>
    <w:pPr>
      <w:keepLines/>
      <w:pBdr>
        <w:bottom w:val="single" w:sz="6" w:space="1" w:color="918585"/>
      </w:pBdr>
      <w:spacing w:before="240"/>
    </w:pPr>
  </w:style>
  <w:style w:type="character" w:customStyle="1" w:styleId="HotSpot">
    <w:name w:val="HotSpot"/>
    <w:rsid w:val="001622A1"/>
    <w:rPr>
      <w:color w:val="0033CC"/>
      <w:u w:val="none"/>
    </w:rPr>
  </w:style>
  <w:style w:type="paragraph" w:customStyle="1" w:styleId="BodyTextRight">
    <w:name w:val="Body Text Right"/>
    <w:basedOn w:val="BodyText"/>
    <w:rsid w:val="001622A1"/>
    <w:pPr>
      <w:spacing w:before="0" w:after="0"/>
      <w:jc w:val="right"/>
    </w:pPr>
  </w:style>
  <w:style w:type="paragraph" w:styleId="Index3">
    <w:name w:val="index 3"/>
    <w:basedOn w:val="ListNumber2"/>
    <w:next w:val="Normal"/>
    <w:semiHidden/>
    <w:rsid w:val="001622A1"/>
    <w:pPr>
      <w:numPr>
        <w:numId w:val="0"/>
      </w:numPr>
      <w:tabs>
        <w:tab w:val="right" w:leader="dot" w:pos="4176"/>
      </w:tabs>
    </w:pPr>
  </w:style>
  <w:style w:type="paragraph" w:styleId="ListNumber2">
    <w:name w:val="List Number 2"/>
    <w:basedOn w:val="List2"/>
    <w:rsid w:val="001622A1"/>
    <w:pPr>
      <w:numPr>
        <w:numId w:val="10"/>
      </w:numPr>
      <w:tabs>
        <w:tab w:val="clear" w:pos="1060"/>
      </w:tabs>
    </w:pPr>
  </w:style>
  <w:style w:type="paragraph" w:customStyle="1" w:styleId="MarginNote">
    <w:name w:val="Margin Note"/>
    <w:basedOn w:val="BodyText"/>
    <w:rsid w:val="00162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2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2A1"/>
    <w:rPr>
      <w:sz w:val="32"/>
    </w:rPr>
  </w:style>
  <w:style w:type="paragraph" w:customStyle="1" w:styleId="HeadingProcedure">
    <w:name w:val="Heading Procedure"/>
    <w:basedOn w:val="HeadingBase"/>
    <w:next w:val="Normal"/>
    <w:rsid w:val="001622A1"/>
    <w:pPr>
      <w:tabs>
        <w:tab w:val="left" w:pos="0"/>
      </w:tabs>
      <w:spacing w:before="120" w:after="60"/>
    </w:pPr>
    <w:rPr>
      <w:i/>
      <w:color w:val="918585"/>
      <w:sz w:val="22"/>
    </w:rPr>
  </w:style>
  <w:style w:type="paragraph" w:customStyle="1" w:styleId="TableBodyText">
    <w:name w:val="Table Body Text"/>
    <w:basedOn w:val="BodyText"/>
    <w:rsid w:val="001622A1"/>
    <w:pPr>
      <w:spacing w:before="60" w:after="60"/>
    </w:pPr>
  </w:style>
  <w:style w:type="paragraph" w:styleId="ListContinue">
    <w:name w:val="List Continue"/>
    <w:basedOn w:val="List"/>
    <w:rsid w:val="001622A1"/>
    <w:pPr>
      <w:ind w:firstLine="0"/>
    </w:pPr>
  </w:style>
  <w:style w:type="paragraph" w:customStyle="1" w:styleId="ListNote">
    <w:name w:val="List Note"/>
    <w:basedOn w:val="List"/>
    <w:rsid w:val="001622A1"/>
    <w:pPr>
      <w:pBdr>
        <w:top w:val="single" w:sz="6" w:space="2" w:color="918585"/>
        <w:bottom w:val="single" w:sz="6" w:space="2" w:color="918585"/>
      </w:pBdr>
      <w:tabs>
        <w:tab w:val="left" w:pos="1021"/>
      </w:tabs>
      <w:ind w:firstLine="0"/>
    </w:pPr>
  </w:style>
  <w:style w:type="paragraph" w:customStyle="1" w:styleId="Warning">
    <w:name w:val="Warning"/>
    <w:basedOn w:val="BodyText"/>
    <w:rsid w:val="001622A1"/>
    <w:pPr>
      <w:shd w:val="clear" w:color="auto" w:fill="D9D9D9"/>
      <w:tabs>
        <w:tab w:val="left" w:pos="992"/>
      </w:tabs>
      <w:ind w:left="119" w:right="119"/>
    </w:pPr>
    <w:rPr>
      <w:sz w:val="20"/>
    </w:rPr>
  </w:style>
  <w:style w:type="paragraph" w:customStyle="1" w:styleId="MarginIcons">
    <w:name w:val="Margin Icons"/>
    <w:basedOn w:val="BodyText"/>
    <w:rsid w:val="00162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2A1"/>
    <w:rPr>
      <w:rFonts w:ascii="Courier New" w:hAnsi="Courier New"/>
    </w:rPr>
  </w:style>
  <w:style w:type="paragraph" w:customStyle="1" w:styleId="NoteBullet">
    <w:name w:val="Note Bullet"/>
    <w:basedOn w:val="Note"/>
    <w:rsid w:val="001622A1"/>
    <w:pPr>
      <w:tabs>
        <w:tab w:val="clear" w:pos="680"/>
      </w:tabs>
      <w:spacing w:before="60" w:after="60"/>
    </w:pPr>
  </w:style>
  <w:style w:type="paragraph" w:customStyle="1" w:styleId="SubHeading2">
    <w:name w:val="SubHeading2"/>
    <w:basedOn w:val="HeadingBase"/>
    <w:rsid w:val="001622A1"/>
    <w:pPr>
      <w:spacing w:before="240" w:after="60"/>
    </w:pPr>
    <w:rPr>
      <w:sz w:val="20"/>
    </w:rPr>
  </w:style>
  <w:style w:type="paragraph" w:customStyle="1" w:styleId="SubHeading1">
    <w:name w:val="SubHeading1"/>
    <w:basedOn w:val="HeadingBase"/>
    <w:rsid w:val="001622A1"/>
    <w:pPr>
      <w:spacing w:before="240" w:after="60"/>
    </w:pPr>
    <w:rPr>
      <w:color w:val="918585"/>
      <w:sz w:val="22"/>
    </w:rPr>
  </w:style>
  <w:style w:type="paragraph" w:customStyle="1" w:styleId="SideHeading">
    <w:name w:val="Side Heading"/>
    <w:basedOn w:val="HeadingBase"/>
    <w:rsid w:val="00162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2A1"/>
    <w:pPr>
      <w:numPr>
        <w:numId w:val="12"/>
      </w:numPr>
    </w:pPr>
  </w:style>
  <w:style w:type="paragraph" w:styleId="PlainText">
    <w:name w:val="Plain Text"/>
    <w:basedOn w:val="Normal"/>
    <w:link w:val="PlainTextChar"/>
    <w:rsid w:val="001622A1"/>
    <w:rPr>
      <w:sz w:val="20"/>
    </w:rPr>
  </w:style>
  <w:style w:type="character" w:customStyle="1" w:styleId="PlainTextChar">
    <w:name w:val="Plain Text Char"/>
    <w:basedOn w:val="DefaultParagraphFont"/>
    <w:link w:val="PlainText"/>
    <w:rsid w:val="001622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2A1"/>
    <w:rPr>
      <w:b/>
      <w:smallCaps/>
    </w:rPr>
  </w:style>
  <w:style w:type="paragraph" w:customStyle="1" w:styleId="TableListNumber">
    <w:name w:val="Table List Number"/>
    <w:basedOn w:val="ListNumber"/>
    <w:rsid w:val="001622A1"/>
    <w:pPr>
      <w:numPr>
        <w:numId w:val="0"/>
      </w:numPr>
    </w:pPr>
  </w:style>
  <w:style w:type="paragraph" w:styleId="TOC4">
    <w:name w:val="toc 4"/>
    <w:basedOn w:val="TOCBase"/>
    <w:next w:val="Normal"/>
    <w:semiHidden/>
    <w:rsid w:val="001622A1"/>
    <w:pPr>
      <w:tabs>
        <w:tab w:val="right" w:leader="dot" w:pos="9071"/>
      </w:tabs>
      <w:ind w:left="1701"/>
    </w:pPr>
  </w:style>
  <w:style w:type="paragraph" w:customStyle="1" w:styleId="ListAlpha">
    <w:name w:val="List Alpha"/>
    <w:basedOn w:val="List"/>
    <w:rsid w:val="001622A1"/>
    <w:pPr>
      <w:numPr>
        <w:numId w:val="9"/>
      </w:numPr>
    </w:pPr>
  </w:style>
  <w:style w:type="paragraph" w:customStyle="1" w:styleId="ListAlpha2">
    <w:name w:val="List Alpha 2"/>
    <w:basedOn w:val="List2"/>
    <w:rsid w:val="001622A1"/>
    <w:pPr>
      <w:numPr>
        <w:numId w:val="8"/>
      </w:numPr>
    </w:pPr>
  </w:style>
  <w:style w:type="paragraph" w:styleId="List2">
    <w:name w:val="List 2"/>
    <w:basedOn w:val="BodyText"/>
    <w:rsid w:val="001622A1"/>
    <w:pPr>
      <w:tabs>
        <w:tab w:val="left" w:pos="680"/>
      </w:tabs>
      <w:spacing w:before="60" w:after="60"/>
      <w:ind w:left="680" w:hanging="340"/>
    </w:pPr>
  </w:style>
  <w:style w:type="paragraph" w:styleId="List3">
    <w:name w:val="List 3"/>
    <w:basedOn w:val="BodyText"/>
    <w:rsid w:val="001622A1"/>
    <w:pPr>
      <w:tabs>
        <w:tab w:val="left" w:pos="1021"/>
      </w:tabs>
      <w:spacing w:before="60" w:after="60"/>
      <w:ind w:left="1020" w:hanging="340"/>
    </w:pPr>
  </w:style>
  <w:style w:type="paragraph" w:styleId="List4">
    <w:name w:val="List 4"/>
    <w:basedOn w:val="BodyText"/>
    <w:rsid w:val="001622A1"/>
    <w:pPr>
      <w:tabs>
        <w:tab w:val="left" w:pos="1361"/>
      </w:tabs>
      <w:spacing w:before="60" w:after="60"/>
      <w:ind w:left="1361" w:hanging="340"/>
    </w:pPr>
  </w:style>
  <w:style w:type="paragraph" w:styleId="List5">
    <w:name w:val="List 5"/>
    <w:basedOn w:val="BodyText"/>
    <w:rsid w:val="001622A1"/>
    <w:pPr>
      <w:tabs>
        <w:tab w:val="left" w:pos="1701"/>
      </w:tabs>
      <w:spacing w:before="60" w:after="60"/>
      <w:ind w:left="1701" w:hanging="340"/>
    </w:pPr>
  </w:style>
  <w:style w:type="paragraph" w:styleId="ListBullet4">
    <w:name w:val="List Bullet 4"/>
    <w:basedOn w:val="List4"/>
    <w:rsid w:val="001622A1"/>
    <w:pPr>
      <w:numPr>
        <w:numId w:val="3"/>
      </w:numPr>
    </w:pPr>
  </w:style>
  <w:style w:type="paragraph" w:styleId="ListBullet5">
    <w:name w:val="List Bullet 5"/>
    <w:basedOn w:val="List5"/>
    <w:rsid w:val="001622A1"/>
    <w:pPr>
      <w:numPr>
        <w:numId w:val="4"/>
      </w:numPr>
    </w:pPr>
  </w:style>
  <w:style w:type="paragraph" w:styleId="ListContinue2">
    <w:name w:val="List Continue 2"/>
    <w:basedOn w:val="List2"/>
    <w:rsid w:val="001622A1"/>
    <w:pPr>
      <w:ind w:firstLine="0"/>
    </w:pPr>
  </w:style>
  <w:style w:type="paragraph" w:styleId="ListContinue3">
    <w:name w:val="List Continue 3"/>
    <w:basedOn w:val="List3"/>
    <w:rsid w:val="001622A1"/>
    <w:pPr>
      <w:ind w:left="1021" w:firstLine="0"/>
    </w:pPr>
  </w:style>
  <w:style w:type="paragraph" w:styleId="ListContinue4">
    <w:name w:val="List Continue 4"/>
    <w:basedOn w:val="List4"/>
    <w:rsid w:val="001622A1"/>
    <w:pPr>
      <w:ind w:firstLine="0"/>
    </w:pPr>
  </w:style>
  <w:style w:type="paragraph" w:styleId="ListContinue5">
    <w:name w:val="List Continue 5"/>
    <w:basedOn w:val="List5"/>
    <w:rsid w:val="001622A1"/>
    <w:pPr>
      <w:ind w:firstLine="0"/>
    </w:pPr>
  </w:style>
  <w:style w:type="paragraph" w:styleId="ListNumber3">
    <w:name w:val="List Number 3"/>
    <w:basedOn w:val="List3"/>
    <w:rsid w:val="001622A1"/>
    <w:pPr>
      <w:numPr>
        <w:numId w:val="5"/>
      </w:numPr>
    </w:pPr>
  </w:style>
  <w:style w:type="paragraph" w:styleId="ListNumber4">
    <w:name w:val="List Number 4"/>
    <w:basedOn w:val="List4"/>
    <w:rsid w:val="001622A1"/>
    <w:pPr>
      <w:numPr>
        <w:numId w:val="6"/>
      </w:numPr>
    </w:pPr>
  </w:style>
  <w:style w:type="paragraph" w:styleId="ListNumber5">
    <w:name w:val="List Number 5"/>
    <w:basedOn w:val="List5"/>
    <w:rsid w:val="001622A1"/>
    <w:pPr>
      <w:numPr>
        <w:numId w:val="7"/>
      </w:numPr>
    </w:pPr>
  </w:style>
  <w:style w:type="paragraph" w:styleId="BlockText">
    <w:name w:val="Block Text"/>
    <w:basedOn w:val="Normal"/>
    <w:rsid w:val="001622A1"/>
    <w:pPr>
      <w:spacing w:after="120"/>
      <w:ind w:left="1440" w:right="1440"/>
    </w:pPr>
  </w:style>
  <w:style w:type="character" w:customStyle="1" w:styleId="Subscript">
    <w:name w:val="Subscript"/>
    <w:basedOn w:val="DefaultParagraphFont"/>
    <w:rsid w:val="001622A1"/>
    <w:rPr>
      <w:sz w:val="16"/>
      <w:vertAlign w:val="subscript"/>
    </w:rPr>
  </w:style>
  <w:style w:type="character" w:customStyle="1" w:styleId="Superscript">
    <w:name w:val="Superscript"/>
    <w:basedOn w:val="DefaultParagraphFont"/>
    <w:rsid w:val="001622A1"/>
    <w:rPr>
      <w:sz w:val="16"/>
      <w:vertAlign w:val="superscript"/>
    </w:rPr>
  </w:style>
  <w:style w:type="character" w:customStyle="1" w:styleId="Symbols">
    <w:name w:val="Symbols"/>
    <w:basedOn w:val="DefaultParagraphFont"/>
    <w:rsid w:val="001622A1"/>
    <w:rPr>
      <w:rFonts w:ascii="Symbol" w:hAnsi="Symbol"/>
    </w:rPr>
  </w:style>
  <w:style w:type="character" w:customStyle="1" w:styleId="MenuOptions">
    <w:name w:val="Menu Options"/>
    <w:basedOn w:val="DefaultParagraphFont"/>
    <w:rsid w:val="001622A1"/>
    <w:rPr>
      <w:rFonts w:ascii="Arial Narrow" w:hAnsi="Arial Narrow"/>
      <w:smallCaps/>
    </w:rPr>
  </w:style>
  <w:style w:type="character" w:customStyle="1" w:styleId="Buttons">
    <w:name w:val="Buttons"/>
    <w:basedOn w:val="DefaultParagraphFont"/>
    <w:rsid w:val="001622A1"/>
    <w:rPr>
      <w:b/>
    </w:rPr>
  </w:style>
  <w:style w:type="character" w:customStyle="1" w:styleId="Underlined">
    <w:name w:val="Underlined"/>
    <w:basedOn w:val="DefaultParagraphFont"/>
    <w:rsid w:val="001622A1"/>
    <w:rPr>
      <w:u w:val="single"/>
    </w:rPr>
  </w:style>
  <w:style w:type="paragraph" w:customStyle="1" w:styleId="TableBodyTextRight">
    <w:name w:val="Table Body Text Right"/>
    <w:basedOn w:val="TableBodyText"/>
    <w:rsid w:val="001622A1"/>
    <w:pPr>
      <w:widowControl w:val="0"/>
      <w:autoSpaceDE w:val="0"/>
      <w:autoSpaceDN w:val="0"/>
      <w:adjustRightInd w:val="0"/>
      <w:jc w:val="right"/>
    </w:pPr>
    <w:rPr>
      <w:rFonts w:cs="Arial"/>
      <w:szCs w:val="18"/>
    </w:rPr>
  </w:style>
  <w:style w:type="paragraph" w:customStyle="1" w:styleId="CopyrightText">
    <w:name w:val="Copyright Text"/>
    <w:basedOn w:val="BodyText"/>
    <w:rsid w:val="001622A1"/>
    <w:rPr>
      <w:sz w:val="18"/>
    </w:rPr>
  </w:style>
  <w:style w:type="paragraph" w:customStyle="1" w:styleId="BodySmallRight">
    <w:name w:val="Body Small Right"/>
    <w:basedOn w:val="BodyTextRight"/>
    <w:rsid w:val="001622A1"/>
    <w:rPr>
      <w:sz w:val="18"/>
      <w:szCs w:val="18"/>
    </w:rPr>
  </w:style>
  <w:style w:type="paragraph" w:customStyle="1" w:styleId="MarginEdition">
    <w:name w:val="Margin Edition"/>
    <w:basedOn w:val="MarginNote"/>
    <w:rsid w:val="001622A1"/>
    <w:pPr>
      <w:spacing w:before="0" w:after="0"/>
    </w:pPr>
    <w:rPr>
      <w:rFonts w:ascii="Times New Roman" w:hAnsi="Times New Roman"/>
      <w:color w:val="999999"/>
    </w:rPr>
  </w:style>
  <w:style w:type="paragraph" w:customStyle="1" w:styleId="Spacer">
    <w:name w:val="Spacer"/>
    <w:basedOn w:val="Normal"/>
    <w:rsid w:val="001622A1"/>
    <w:rPr>
      <w:sz w:val="2"/>
      <w:szCs w:val="2"/>
    </w:rPr>
  </w:style>
  <w:style w:type="character" w:customStyle="1" w:styleId="Small">
    <w:name w:val="Small"/>
    <w:basedOn w:val="DefaultParagraphFont"/>
    <w:rsid w:val="001622A1"/>
    <w:rPr>
      <w:sz w:val="16"/>
    </w:rPr>
  </w:style>
  <w:style w:type="paragraph" w:customStyle="1" w:styleId="WideTable">
    <w:name w:val="Wide Table"/>
    <w:basedOn w:val="Normal"/>
    <w:rsid w:val="001622A1"/>
    <w:pPr>
      <w:ind w:left="-1418"/>
    </w:pPr>
    <w:rPr>
      <w:sz w:val="2"/>
      <w:szCs w:val="2"/>
    </w:rPr>
  </w:style>
  <w:style w:type="character" w:styleId="PageNumber">
    <w:name w:val="page number"/>
    <w:basedOn w:val="DefaultParagraphFont"/>
    <w:rsid w:val="001622A1"/>
  </w:style>
  <w:style w:type="paragraph" w:styleId="Quote">
    <w:name w:val="Quote"/>
    <w:basedOn w:val="Heading1"/>
    <w:link w:val="QuoteChar"/>
    <w:qFormat/>
    <w:rsid w:val="001622A1"/>
    <w:rPr>
      <w:b w:val="0"/>
      <w:sz w:val="72"/>
      <w:szCs w:val="72"/>
      <w:lang w:val="en-NZ"/>
    </w:rPr>
  </w:style>
  <w:style w:type="character" w:customStyle="1" w:styleId="QuoteChar">
    <w:name w:val="Quote Char"/>
    <w:basedOn w:val="DefaultParagraphFont"/>
    <w:link w:val="Quote"/>
    <w:rsid w:val="00162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2A1"/>
    <w:pPr>
      <w:pageBreakBefore/>
    </w:pPr>
  </w:style>
  <w:style w:type="paragraph" w:customStyle="1" w:styleId="Border">
    <w:name w:val="Border"/>
    <w:basedOn w:val="Normal"/>
    <w:qFormat/>
    <w:rsid w:val="00162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2A1"/>
    <w:rPr>
      <w:b/>
      <w:bCs/>
      <w:i/>
      <w:iCs/>
      <w:color w:val="auto"/>
    </w:rPr>
  </w:style>
  <w:style w:type="paragraph" w:styleId="IntenseQuote">
    <w:name w:val="Intense Quote"/>
    <w:basedOn w:val="Normal"/>
    <w:next w:val="Normal"/>
    <w:link w:val="IntenseQuoteChar"/>
    <w:uiPriority w:val="30"/>
    <w:qFormat/>
    <w:rsid w:val="00162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2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2A1"/>
    <w:rPr>
      <w:smallCaps/>
      <w:color w:val="auto"/>
      <w:u w:val="single"/>
    </w:rPr>
  </w:style>
  <w:style w:type="character" w:styleId="IntenseReference">
    <w:name w:val="Intense Reference"/>
    <w:basedOn w:val="DefaultParagraphFont"/>
    <w:uiPriority w:val="32"/>
    <w:qFormat/>
    <w:rsid w:val="001622A1"/>
    <w:rPr>
      <w:b/>
      <w:bCs/>
      <w:smallCaps/>
      <w:color w:val="auto"/>
      <w:spacing w:val="5"/>
      <w:u w:val="single"/>
    </w:rPr>
  </w:style>
  <w:style w:type="paragraph" w:customStyle="1" w:styleId="2ColumnHeading">
    <w:name w:val="2Column Heading"/>
    <w:basedOn w:val="BodyText"/>
    <w:qFormat/>
    <w:rsid w:val="001622A1"/>
    <w:pPr>
      <w:spacing w:after="60"/>
      <w:ind w:left="-2268"/>
    </w:pPr>
    <w:rPr>
      <w:b/>
    </w:rPr>
  </w:style>
  <w:style w:type="paragraph" w:customStyle="1" w:styleId="Heading1TOC">
    <w:name w:val="Heading1 TOC"/>
    <w:basedOn w:val="Normal"/>
    <w:qFormat/>
    <w:rsid w:val="001622A1"/>
    <w:pPr>
      <w:spacing w:before="240" w:after="120"/>
    </w:pPr>
    <w:rPr>
      <w:rFonts w:ascii="Times New Roman" w:hAnsi="Times New Roman"/>
      <w:b/>
      <w:sz w:val="32"/>
    </w:rPr>
  </w:style>
  <w:style w:type="paragraph" w:customStyle="1" w:styleId="Heading2TOC">
    <w:name w:val="Heading2 TOC"/>
    <w:basedOn w:val="Normal"/>
    <w:qFormat/>
    <w:rsid w:val="001622A1"/>
    <w:pPr>
      <w:spacing w:before="240" w:after="60"/>
    </w:pPr>
    <w:rPr>
      <w:rFonts w:ascii="Times New Roman" w:hAnsi="Times New Roman"/>
      <w:b/>
      <w:sz w:val="28"/>
    </w:rPr>
  </w:style>
  <w:style w:type="character" w:customStyle="1" w:styleId="Underline">
    <w:name w:val="Underline"/>
    <w:basedOn w:val="DefaultParagraphFont"/>
    <w:qFormat/>
    <w:rsid w:val="001622A1"/>
    <w:rPr>
      <w:u w:val="single"/>
    </w:rPr>
  </w:style>
  <w:style w:type="character" w:customStyle="1" w:styleId="BoldandItalics">
    <w:name w:val="Bold and Italics"/>
    <w:qFormat/>
    <w:rsid w:val="001622A1"/>
    <w:rPr>
      <w:b/>
      <w:i/>
      <w:u w:val="none"/>
    </w:rPr>
  </w:style>
  <w:style w:type="paragraph" w:styleId="BalloonText">
    <w:name w:val="Balloon Text"/>
    <w:basedOn w:val="Normal"/>
    <w:link w:val="BalloonTextChar"/>
    <w:rsid w:val="001622A1"/>
    <w:rPr>
      <w:rFonts w:ascii="Tahoma" w:hAnsi="Tahoma" w:cs="Tahoma"/>
      <w:sz w:val="16"/>
      <w:szCs w:val="16"/>
    </w:rPr>
  </w:style>
  <w:style w:type="character" w:customStyle="1" w:styleId="BalloonTextChar">
    <w:name w:val="Balloon Text Char"/>
    <w:basedOn w:val="DefaultParagraphFont"/>
    <w:link w:val="BalloonText"/>
    <w:rsid w:val="001622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2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2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3039</Words>
  <Characters>18826</Characters>
  <Application>Microsoft Office Word</Application>
  <DocSecurity>0</DocSecurity>
  <Lines>698</Lines>
  <Paragraphs>291</Paragraphs>
  <ScaleCrop>false</ScaleCrop>
  <Company>Author-it Software Corporation Ltd.</Company>
  <LinksUpToDate>false</LinksUpToDate>
  <CharactersWithSpaces>21710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UEPOPS433A Operate and Monitor a Heat Recovery Steam Generator Unit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2012-05-26T22:29:00Z</dcterms:created>
  <dcterms:modified xsi:type="dcterms:W3CDTF">2012-05-26T22:29:00Z</dcterms:modified>
</cp:coreProperties>
</file>