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347" w:rsidP="00D60347">
      <w:pPr>
        <w:pStyle w:val="Title"/>
      </w:pPr>
      <w:r>
        <w:fldChar w:fldCharType="begin"/>
      </w:r>
      <w:r>
        <w:instrText xml:space="preserve"> TITLE   \* MERGEFORMAT </w:instrText>
      </w:r>
      <w:r>
        <w:fldChar w:fldCharType="separate"/>
      </w:r>
      <w:r>
        <w:t>UEPOPS411A Run Up a Steam Turbine</w:t>
      </w:r>
      <w:r>
        <w:fldChar w:fldCharType="end"/>
      </w:r>
    </w:p>
    <w:p w:rsidR="00D60347" w:rsidP="00D60347">
      <w:pPr>
        <w:pStyle w:val="Version"/>
        <w:sectPr w:rsidSect="003306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63F" w:rsidP="0033063F">
      <w:pPr>
        <w:pStyle w:val="SuperHeading"/>
      </w:pPr>
      <w:r w:rsidRPr="0033063F">
        <w:t>UEPOPS411A Run Up a Steam Turbine</w:t>
      </w:r>
    </w:p>
    <w:p w:rsidR="00000000" w:rsidRPr="0033063F" w:rsidP="0033063F">
      <w:pPr>
        <w:pStyle w:val="Heading1"/>
      </w:pPr>
      <w:bookmarkStart w:id="1" w:name="O_275365"/>
      <w:bookmarkEnd w:id="1"/>
      <w:r w:rsidRPr="0033063F">
        <w:t>Modification History</w:t>
      </w:r>
    </w:p>
    <w:p w:rsidR="00000000" w:rsidRPr="0033063F" w:rsidP="0033063F">
      <w:pPr>
        <w:pStyle w:val="BodyText"/>
      </w:pPr>
      <w:r w:rsidRPr="0033063F">
        <w:t>Not Applicable</w:t>
      </w:r>
    </w:p>
    <w:p w:rsidR="00000000" w:rsidRPr="0033063F" w:rsidP="0033063F">
      <w:pPr>
        <w:pStyle w:val="AllowPageBreak"/>
      </w:pPr>
    </w:p>
    <w:p w:rsidR="00000000" w:rsidRPr="0033063F" w:rsidP="0033063F">
      <w:pPr>
        <w:pStyle w:val="Heading1"/>
      </w:pPr>
      <w:bookmarkStart w:id="2" w:name="O_230795"/>
      <w:bookmarkEnd w:id="2"/>
      <w:r w:rsidRPr="0033063F">
        <w:t>Unit Descriptor</w:t>
      </w:r>
    </w:p>
    <w:tbl>
      <w:tblPr>
        <w:tblW w:w="0" w:type="auto"/>
        <w:tblLayout w:type="fixed"/>
        <w:tblCellMar>
          <w:left w:w="62" w:type="dxa"/>
          <w:right w:w="62" w:type="dxa"/>
        </w:tblCellMar>
        <w:tblLook w:val="0000"/>
      </w:tblPr>
      <w:tblGrid>
        <w:gridCol w:w="2700"/>
        <w:gridCol w:w="5760"/>
      </w:tblGrid>
      <w:tr w:rsidTr="00D603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1</w:t>
            </w:r>
            <w:r w:rsidRPr="0033063F">
              <w:t xml:space="preserve">) </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This unit deals with the skills and knowledge required to conduct a steam turbine run up to a stable operating condition.</w:t>
            </w:r>
          </w:p>
        </w:tc>
      </w:tr>
    </w:tbl>
    <w:p w:rsidR="00D60347" w:rsidP="0033063F">
      <w:pPr>
        <w:pStyle w:val="BodyText"/>
      </w:pPr>
    </w:p>
    <w:p w:rsidR="00D60347" w:rsidP="0033063F">
      <w:pPr>
        <w:pStyle w:val="BodyText"/>
      </w:pPr>
    </w:p>
    <w:p w:rsidR="00000000" w:rsidRPr="0033063F" w:rsidP="0033063F">
      <w:pPr>
        <w:pStyle w:val="Heading1"/>
      </w:pPr>
      <w:bookmarkStart w:id="3" w:name="O_230798"/>
      <w:bookmarkEnd w:id="3"/>
      <w:r w:rsidRPr="0033063F">
        <w:t>Application of the Unit</w:t>
      </w:r>
    </w:p>
    <w:tbl>
      <w:tblPr>
        <w:tblW w:w="0" w:type="auto"/>
        <w:tblLayout w:type="fixed"/>
        <w:tblCellMar>
          <w:left w:w="62" w:type="dxa"/>
          <w:right w:w="62" w:type="dxa"/>
        </w:tblCellMar>
        <w:tblLook w:val="0000"/>
      </w:tblPr>
      <w:tblGrid>
        <w:gridCol w:w="2700"/>
        <w:gridCol w:w="5760"/>
      </w:tblGrid>
      <w:tr w:rsidTr="00D603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3</w:t>
            </w:r>
            <w:r w:rsidRPr="0033063F">
              <w:t xml:space="preserve">) </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This unit is intended to augment formally acquired competenc</w:t>
            </w:r>
            <w:r w:rsidRPr="0033063F">
              <w:t>ies. It is suitable for employment-based programs under an approved contract of training.</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3</w:t>
            </w:r>
            <w:r w:rsidRPr="0033063F">
              <w:t>.</w:t>
            </w:r>
            <w:r w:rsidRPr="0033063F">
              <w:rPr>
                <w:rStyle w:val="SpecialBold"/>
              </w:rPr>
              <w:t>1</w:t>
            </w:r>
            <w:r w:rsidRPr="0033063F">
              <w:t xml:space="preserve">) </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The skills and knowledge described in this unit may require a licence to practise in the workplace in some States or Territories. There may also be additional assessment activities required by regulatory authorities for the issue of the licence to practise</w:t>
            </w:r>
            <w:r w:rsidRPr="0033063F">
              <w:t xml:space="preserve">. </w:t>
            </w:r>
          </w:p>
          <w:p w:rsidR="00000000" w:rsidRPr="0033063F" w:rsidP="0033063F">
            <w:pPr>
              <w:pStyle w:val="BodyText"/>
            </w:pPr>
            <w:r w:rsidRPr="0033063F">
              <w:t>Practice in this unit is subject to regulations directly related to Occupational Health and Safety and where applicable contracts of training such as apprenticeships and the like.</w:t>
            </w:r>
          </w:p>
        </w:tc>
      </w:tr>
    </w:tbl>
    <w:p w:rsidR="00D60347" w:rsidP="0033063F">
      <w:pPr>
        <w:pStyle w:val="BodyText"/>
      </w:pPr>
    </w:p>
    <w:p w:rsidR="00D60347" w:rsidP="0033063F">
      <w:pPr>
        <w:pStyle w:val="BodyText"/>
      </w:pPr>
    </w:p>
    <w:p w:rsidR="00000000" w:rsidRPr="0033063F" w:rsidP="0033063F">
      <w:pPr>
        <w:pStyle w:val="Heading1"/>
      </w:pPr>
      <w:bookmarkStart w:id="4" w:name="O_282899"/>
      <w:bookmarkEnd w:id="4"/>
      <w:r w:rsidRPr="0033063F">
        <w:t>Licensing/Regulatory Information</w:t>
      </w:r>
    </w:p>
    <w:p w:rsidR="00000000" w:rsidRPr="0033063F" w:rsidP="0033063F">
      <w:pPr>
        <w:pStyle w:val="BodyText"/>
      </w:pPr>
      <w:r w:rsidRPr="0033063F">
        <w:t>Not Applicable</w:t>
      </w:r>
    </w:p>
    <w:p w:rsidR="00000000" w:rsidRPr="0033063F" w:rsidP="0033063F">
      <w:pPr>
        <w:pStyle w:val="AllowPageBreak"/>
      </w:pPr>
    </w:p>
    <w:p w:rsidR="00000000" w:rsidRPr="0033063F" w:rsidP="0033063F">
      <w:pPr>
        <w:pStyle w:val="Heading1"/>
      </w:pPr>
      <w:bookmarkStart w:id="5" w:name="O_230796"/>
      <w:bookmarkEnd w:id="5"/>
      <w:r w:rsidRPr="0033063F">
        <w:t>Pre-Requisites</w:t>
      </w:r>
    </w:p>
    <w:tbl>
      <w:tblPr>
        <w:tblW w:w="0" w:type="auto"/>
        <w:tblLayout w:type="fixed"/>
        <w:tblCellMar>
          <w:left w:w="62" w:type="dxa"/>
          <w:right w:w="62" w:type="dxa"/>
        </w:tblCellMar>
        <w:tblLook w:val="0000"/>
      </w:tblPr>
      <w:tblGrid>
        <w:gridCol w:w="2700"/>
        <w:gridCol w:w="5760"/>
      </w:tblGrid>
      <w:tr w:rsidTr="00D603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Prerequisite Unit</w:t>
            </w:r>
            <w:r w:rsidRPr="0033063F">
              <w:t>(</w:t>
            </w:r>
            <w:r w:rsidRPr="0033063F">
              <w:rPr>
                <w:rStyle w:val="SpecialBold"/>
              </w:rPr>
              <w:t>s</w:t>
            </w:r>
            <w:r w:rsidRPr="0033063F">
              <w:t>)</w:t>
            </w:r>
          </w:p>
        </w:tc>
        <w:tc>
          <w:tcPr>
            <w:tcW w:w="57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2</w:t>
            </w:r>
            <w:r w:rsidRPr="0033063F">
              <w:t xml:space="preserve">) </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2</w:t>
            </w:r>
            <w:r w:rsidRPr="0033063F">
              <w:t>.</w:t>
            </w:r>
            <w:r w:rsidRPr="0033063F">
              <w:rPr>
                <w:rStyle w:val="SpecialBold"/>
              </w:rPr>
              <w:t>1</w:t>
            </w:r>
            <w:r w:rsidRPr="0033063F">
              <w:t xml:space="preserve">) </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There are no prerequisite units.</w:t>
            </w:r>
          </w:p>
        </w:tc>
      </w:tr>
    </w:tbl>
    <w:p w:rsidR="00D60347" w:rsidP="0033063F">
      <w:pPr>
        <w:pStyle w:val="BodyText"/>
      </w:pPr>
    </w:p>
    <w:p w:rsidR="00D60347" w:rsidP="0033063F">
      <w:pPr>
        <w:pStyle w:val="BodyText"/>
      </w:pPr>
    </w:p>
    <w:p w:rsidR="00000000" w:rsidRPr="0033063F" w:rsidP="0033063F">
      <w:pPr>
        <w:pStyle w:val="Heading1"/>
      </w:pPr>
      <w:bookmarkStart w:id="6" w:name="O_285614"/>
      <w:bookmarkEnd w:id="6"/>
      <w:r w:rsidRPr="0033063F">
        <w:t>Employability Skills Information</w:t>
      </w:r>
    </w:p>
    <w:p w:rsidR="00000000" w:rsidRPr="0033063F" w:rsidP="0033063F">
      <w:pPr>
        <w:pStyle w:val="BodyText"/>
      </w:pPr>
      <w:r w:rsidRPr="0033063F">
        <w:t>Refer to the Evidence Guide</w:t>
      </w:r>
    </w:p>
    <w:p w:rsidR="00000000" w:rsidRPr="0033063F" w:rsidP="0033063F">
      <w:pPr>
        <w:pStyle w:val="AllowPageBreak"/>
      </w:pPr>
    </w:p>
    <w:p w:rsidR="00000000" w:rsidRPr="0033063F" w:rsidP="0033063F">
      <w:pPr>
        <w:pStyle w:val="Heading1"/>
      </w:pPr>
      <w:bookmarkStart w:id="7" w:name="O_293411"/>
      <w:bookmarkEnd w:id="7"/>
      <w:r w:rsidRPr="0033063F">
        <w:t>Elements and Performance Criteria Pre-Content</w:t>
      </w:r>
    </w:p>
    <w:tbl>
      <w:tblPr>
        <w:tblW w:w="0" w:type="auto"/>
        <w:tblLayout w:type="fixed"/>
        <w:tblCellMar>
          <w:left w:w="62" w:type="dxa"/>
          <w:right w:w="62" w:type="dxa"/>
        </w:tblCellMar>
        <w:tblLook w:val="0000"/>
      </w:tblPr>
      <w:tblGrid>
        <w:gridCol w:w="2700"/>
        <w:gridCol w:w="5760"/>
      </w:tblGrid>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5</w:t>
            </w:r>
            <w:r w:rsidRPr="0033063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Performance Criteria describe the required performance needed to demonstrate achievement of the element. Assessment of performance is to be consistent with the Evidence Guide.</w:t>
            </w:r>
          </w:p>
        </w:tc>
      </w:tr>
    </w:tbl>
    <w:p w:rsidR="00000000" w:rsidRPr="0033063F" w:rsidP="0033063F">
      <w:pPr>
        <w:pStyle w:val="BodyText"/>
      </w:pPr>
    </w:p>
    <w:p w:rsidR="00000000" w:rsidRPr="0033063F" w:rsidP="0033063F">
      <w:pPr>
        <w:pStyle w:val="AllowPageBreak"/>
      </w:pPr>
    </w:p>
    <w:p w:rsidR="00000000" w:rsidRPr="0033063F" w:rsidP="0033063F">
      <w:pPr>
        <w:pStyle w:val="Heading1"/>
      </w:pPr>
      <w:bookmarkStart w:id="8" w:name="O_240079"/>
      <w:bookmarkEnd w:id="8"/>
      <w:r w:rsidRPr="0033063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603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PERFORMANCE CRITERIA</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1</w:t>
            </w:r>
          </w:p>
        </w:tc>
        <w:tc>
          <w:tcPr>
            <w:tcW w:w="2296" w:type="dxa"/>
            <w:vMerge w:val="restart"/>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Plan and prepare work</w:t>
            </w: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1.1</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Safety issues are identified to comply with enterprise/site requirements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1.2</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Work requirements are identified from relevant personnel and documentation</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1.3</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Pre-operational checks are carried out on plant according to manufacturer's recommendations and site requirements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1.4</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The turbine running up and loading schedule are ascertained from relevant documentation and in accordance with enterprise/site requirements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1.5</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Where appropriate, the teams and individuals roles and responsibilities within the team are identified and, w</w:t>
            </w:r>
            <w:r w:rsidRPr="0033063F">
              <w:t>here required, assist in the provision of the on-the-job training.</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2</w:t>
            </w:r>
          </w:p>
        </w:tc>
        <w:tc>
          <w:tcPr>
            <w:tcW w:w="2296"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Operate plant</w:t>
            </w: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2.1</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Plant is operated in accordance with enterprise and manufacturer's operating procedures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2.2</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Plant is monitored and observed to detect deviations from normal operatin</w:t>
            </w:r>
            <w:r w:rsidRPr="0033063F">
              <w:t>g conditions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2.3</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Corrective actions are taken to rectify abnormalities in accordance with manufacturer's and enterprise/site procedures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3</w:t>
            </w:r>
          </w:p>
        </w:tc>
        <w:tc>
          <w:tcPr>
            <w:tcW w:w="2296"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Test plant operation</w:t>
            </w: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3.1</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Tests are performed in accordance with defined procedures applicable to the operational test</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3.2</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System and plant are observed for correct operational response</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3.3</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Corrective action is taken when response is not in accordance with documentation, plan</w:t>
            </w:r>
            <w:r w:rsidRPr="0033063F">
              <w:t>t integrity or personnel safety requirements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3.4</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Plant is returned to required operational status upon completion of test</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4</w:t>
            </w:r>
          </w:p>
        </w:tc>
        <w:tc>
          <w:tcPr>
            <w:tcW w:w="2296" w:type="dxa"/>
            <w:vMerge w:val="restart"/>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Analyse system faults</w:t>
            </w: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4.1</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Causes of abnormal plant operating conditions are identified by analysing the technical and operational information in a logical and sequential manner</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4.2</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Corrective action taken is in accordance with enterprise/site procedures</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4.3</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Plant integrity and personnel safety is maintained through consultation with appropriate personnel, and reference to plant, technical and operational documentation</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4.4</w:t>
            </w:r>
          </w:p>
        </w:tc>
        <w:tc>
          <w:tcPr>
            <w:tcW w:w="48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Appropriate personnel are notified when defects are detected</w:t>
            </w:r>
          </w:p>
        </w:tc>
      </w:tr>
      <w:tr w:rsidTr="00D603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5</w:t>
            </w:r>
          </w:p>
        </w:tc>
        <w:tc>
          <w:tcPr>
            <w:tcW w:w="2296"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Complete documentatio</w:t>
            </w:r>
            <w:r w:rsidRPr="0033063F">
              <w:t>n</w:t>
            </w:r>
          </w:p>
        </w:tc>
        <w:tc>
          <w:tcPr>
            <w:tcW w:w="9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5.1</w:t>
            </w:r>
          </w:p>
        </w:tc>
        <w:tc>
          <w:tcPr>
            <w:tcW w:w="48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Documentation is updated and plant problems, movements, abnormalities and status are reported and logged in accordance with enterprise/site procedures</w:t>
            </w:r>
          </w:p>
        </w:tc>
      </w:tr>
    </w:tbl>
    <w:p w:rsidR="00D60347" w:rsidP="0033063F">
      <w:pPr>
        <w:pStyle w:val="BodyText"/>
      </w:pPr>
    </w:p>
    <w:p w:rsidR="00D60347" w:rsidP="0033063F">
      <w:pPr>
        <w:pStyle w:val="BodyText"/>
      </w:pPr>
    </w:p>
    <w:p w:rsidR="00000000" w:rsidRPr="0033063F" w:rsidP="0033063F">
      <w:pPr>
        <w:pStyle w:val="Heading1"/>
      </w:pPr>
      <w:bookmarkStart w:id="9" w:name="O_263870"/>
      <w:bookmarkEnd w:id="9"/>
      <w:r w:rsidRPr="0033063F">
        <w:t>Required Skills and Knowledge</w:t>
      </w:r>
    </w:p>
    <w:tbl>
      <w:tblPr>
        <w:tblW w:w="0" w:type="auto"/>
        <w:tblLayout w:type="fixed"/>
        <w:tblCellMar>
          <w:left w:w="62" w:type="dxa"/>
          <w:right w:w="62" w:type="dxa"/>
        </w:tblCellMar>
        <w:tblLook w:val="0000"/>
      </w:tblPr>
      <w:tblGrid>
        <w:gridCol w:w="2700"/>
        <w:gridCol w:w="5760"/>
      </w:tblGrid>
      <w:tr w:rsidTr="00D6034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REQUIRED SKILLS AND KNOWLEDGE</w:t>
            </w:r>
          </w:p>
        </w:tc>
      </w:tr>
      <w:tr w:rsidTr="00D603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6</w:t>
            </w:r>
            <w:r w:rsidRPr="0033063F">
              <w:t>) This descri</w:t>
            </w:r>
            <w:r w:rsidRPr="0033063F">
              <w:t>bes the essential skills and knowledge and their level, required for this unit.</w:t>
            </w:r>
          </w:p>
        </w:tc>
      </w:tr>
      <w:tr w:rsidTr="00D603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Evidence shall show that knowledge has been acquired running up a steam turbine.</w:t>
            </w:r>
          </w:p>
          <w:p w:rsidR="00000000" w:rsidP="0033063F">
            <w:pPr>
              <w:pStyle w:val="BodyText"/>
              <w:rPr>
                <w:lang w:val="en-NZ"/>
              </w:rPr>
            </w:pPr>
            <w:r w:rsidRPr="0033063F">
              <w:t>The extent of the Essential Knowledge and Associated Skills required follows:</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Evidence shall show that knowledge has been acquired for safe working practices of:</w:t>
            </w:r>
          </w:p>
          <w:p w:rsidR="00000000" w:rsidRPr="0033063F" w:rsidP="0033063F">
            <w:pPr>
              <w:pStyle w:val="ListBullet3"/>
            </w:pPr>
            <w:r w:rsidRPr="0033063F">
              <w:t>Relevant Occupational Health and Safety regulations</w:t>
            </w:r>
          </w:p>
          <w:p w:rsidR="00000000" w:rsidRPr="0033063F" w:rsidP="0033063F">
            <w:pPr>
              <w:pStyle w:val="ListBullet3"/>
            </w:pPr>
            <w:r w:rsidRPr="0033063F">
              <w:t>Relevant statutory legislation</w:t>
            </w:r>
          </w:p>
          <w:p w:rsidR="00000000" w:rsidRPr="0033063F" w:rsidP="0033063F">
            <w:pPr>
              <w:pStyle w:val="ListBullet3"/>
            </w:pPr>
            <w:r w:rsidRPr="0033063F">
              <w:t>Relevant enterprise/site safety procedures</w:t>
            </w:r>
          </w:p>
          <w:p w:rsidR="00000000" w:rsidRPr="0033063F" w:rsidP="0033063F">
            <w:pPr>
              <w:pStyle w:val="ListBullet3"/>
            </w:pPr>
            <w:r w:rsidRPr="0033063F">
              <w:t>Enterprise/site emergency procedures and tech</w:t>
            </w:r>
            <w:r w:rsidRPr="0033063F">
              <w:t>niques</w:t>
            </w:r>
          </w:p>
          <w:p w:rsidR="00000000" w:rsidRPr="0033063F" w:rsidP="0033063F">
            <w:pPr>
              <w:pStyle w:val="ListBullet3"/>
            </w:pPr>
            <w:r w:rsidRPr="0033063F">
              <w:t>Relevant plant and equipment, its location and operating parameters</w:t>
            </w:r>
          </w:p>
          <w:p w:rsidR="00000000" w:rsidRPr="0033063F" w:rsidP="0033063F">
            <w:pPr>
              <w:pStyle w:val="ListBullet3"/>
            </w:pPr>
            <w:r w:rsidRPr="0033063F">
              <w:t>Plant status</w:t>
            </w:r>
          </w:p>
          <w:p w:rsidR="00000000" w:rsidRPr="0033063F" w:rsidP="0033063F">
            <w:pPr>
              <w:pStyle w:val="ListBullet3"/>
            </w:pPr>
            <w:r w:rsidRPr="0033063F">
              <w:t>Environmental legislation</w:t>
            </w:r>
          </w:p>
          <w:p w:rsidR="00000000" w:rsidRPr="0033063F" w:rsidP="0033063F">
            <w:pPr>
              <w:pStyle w:val="ListBullet3"/>
            </w:pPr>
            <w:r w:rsidRPr="0033063F">
              <w:t>Enterprise recording procedures</w:t>
            </w:r>
          </w:p>
          <w:p w:rsidR="00000000" w:rsidRPr="0033063F" w:rsidP="0033063F">
            <w:pPr>
              <w:pStyle w:val="ListBullet3"/>
            </w:pPr>
            <w:r w:rsidRPr="0033063F">
              <w:t>Communication principles</w:t>
            </w:r>
          </w:p>
          <w:p w:rsidR="00000000" w:rsidRPr="0033063F" w:rsidP="0033063F">
            <w:pPr>
              <w:pStyle w:val="ListBullet3"/>
            </w:pPr>
            <w:r w:rsidRPr="0033063F">
              <w:t>Control and data acquisition systems</w:t>
            </w:r>
          </w:p>
          <w:p w:rsidR="00000000" w:rsidRPr="0033063F" w:rsidP="0033063F">
            <w:pPr>
              <w:pStyle w:val="ListBullet3"/>
            </w:pPr>
            <w:r w:rsidRPr="0033063F">
              <w:t>Computers and software</w:t>
            </w:r>
          </w:p>
          <w:p w:rsidR="00000000" w:rsidRPr="0033063F" w:rsidP="0033063F">
            <w:pPr>
              <w:pStyle w:val="ListBullet3"/>
            </w:pPr>
            <w:r w:rsidRPr="0033063F">
              <w:t>Supervisory, alarm, protection and control equipment</w:t>
            </w:r>
          </w:p>
          <w:p w:rsidR="00000000" w:rsidRPr="0033063F" w:rsidP="0033063F">
            <w:pPr>
              <w:pStyle w:val="ListBullet3"/>
            </w:pPr>
            <w:r w:rsidRPr="0033063F">
              <w:t>Emergency procedures</w:t>
            </w:r>
          </w:p>
          <w:p w:rsidR="00000000" w:rsidRPr="0033063F" w:rsidP="0033063F">
            <w:pPr>
              <w:pStyle w:val="ListBullet3"/>
            </w:pPr>
            <w:r w:rsidRPr="0033063F">
              <w:t>Valve and actuator types and characteristics</w:t>
            </w:r>
          </w:p>
          <w:p w:rsidR="00000000" w:rsidRPr="0033063F" w:rsidP="0033063F">
            <w:pPr>
              <w:pStyle w:val="ListBullet3"/>
            </w:pPr>
            <w:r w:rsidRPr="0033063F">
              <w:t>Turbine speed control equipment</w:t>
            </w:r>
          </w:p>
          <w:p w:rsidR="00000000" w:rsidRPr="0033063F" w:rsidP="0033063F">
            <w:pPr>
              <w:pStyle w:val="ListBullet3"/>
            </w:pPr>
            <w:r w:rsidRPr="0033063F">
              <w:t>Heat transfer principles</w:t>
            </w:r>
          </w:p>
          <w:p w:rsidR="00000000" w:rsidRPr="0033063F" w:rsidP="0033063F">
            <w:pPr>
              <w:pStyle w:val="ListBullet3"/>
            </w:pPr>
            <w:r w:rsidRPr="0033063F">
              <w:t>The system components and interaction</w:t>
            </w:r>
          </w:p>
          <w:p w:rsidR="00000000" w:rsidRPr="0033063F" w:rsidP="0033063F">
            <w:pPr>
              <w:pStyle w:val="ListBullet3"/>
            </w:pPr>
            <w:r w:rsidRPr="0033063F">
              <w:t>Electricity distribution system, AC and DC</w:t>
            </w:r>
          </w:p>
          <w:p w:rsidR="00000000" w:rsidRPr="0033063F" w:rsidP="0033063F">
            <w:pPr>
              <w:pStyle w:val="ListBullet3"/>
            </w:pPr>
            <w:r w:rsidRPr="0033063F">
              <w:t>The system components and their interaction with other plant and equipment external to that covered by this competency</w:t>
            </w:r>
          </w:p>
          <w:p w:rsidR="00000000" w:rsidRPr="0033063F" w:rsidP="0033063F">
            <w:pPr>
              <w:pStyle w:val="ListBullet3"/>
            </w:pPr>
            <w:r w:rsidRPr="0033063F">
              <w:t>Station water distribution systems</w:t>
            </w:r>
          </w:p>
          <w:p w:rsidR="00000000" w:rsidRPr="0033063F" w:rsidP="0033063F">
            <w:pPr>
              <w:pStyle w:val="ListBullet3"/>
            </w:pPr>
            <w:r w:rsidRPr="0033063F">
              <w:t>Fire protection control systems</w:t>
            </w:r>
          </w:p>
          <w:p w:rsidR="00000000" w:rsidRPr="0033063F" w:rsidP="0033063F">
            <w:pPr>
              <w:pStyle w:val="ListBullet3"/>
            </w:pPr>
            <w:r w:rsidRPr="0033063F">
              <w:t>Power and control oil systems</w:t>
            </w:r>
          </w:p>
          <w:p w:rsidR="00000000" w:rsidRPr="0033063F" w:rsidP="0033063F">
            <w:pPr>
              <w:pStyle w:val="ListBullet3"/>
            </w:pPr>
            <w:r w:rsidRPr="0033063F">
              <w:t>Compressed air systems</w:t>
            </w:r>
          </w:p>
          <w:p w:rsidR="00000000" w:rsidRPr="0033063F" w:rsidP="0033063F">
            <w:pPr>
              <w:pStyle w:val="ListBullet3"/>
            </w:pPr>
            <w:r w:rsidRPr="0033063F">
              <w:t>Turbine life exp</w:t>
            </w:r>
            <w:r w:rsidRPr="0033063F">
              <w:t>enditure and control</w:t>
            </w:r>
          </w:p>
          <w:p w:rsidR="00000000" w:rsidRPr="0033063F" w:rsidP="0033063F">
            <w:pPr>
              <w:pStyle w:val="ListBullet3"/>
            </w:pPr>
            <w:r w:rsidRPr="0033063F">
              <w:t>Turbine bypass system</w:t>
            </w:r>
          </w:p>
          <w:p w:rsidR="00000000" w:rsidRPr="0033063F" w:rsidP="0033063F">
            <w:pPr>
              <w:pStyle w:val="ListBullet3"/>
            </w:pPr>
            <w:r w:rsidRPr="0033063F">
              <w:t xml:space="preserve">Vacuum raising and turbine gland sealing systems; </w:t>
            </w:r>
          </w:p>
          <w:p w:rsidR="00000000" w:rsidRPr="0033063F" w:rsidP="0033063F">
            <w:pPr>
              <w:pStyle w:val="ListBullet3"/>
            </w:pPr>
            <w:r w:rsidRPr="0033063F">
              <w:t>Introduction to power production plant</w:t>
            </w:r>
          </w:p>
          <w:p w:rsidR="00000000" w:rsidRPr="0033063F" w:rsidP="0033063F">
            <w:pPr>
              <w:pStyle w:val="ListBullet3"/>
            </w:pPr>
            <w:r w:rsidRPr="0033063F">
              <w:t>Typical arrangements of power production plant</w:t>
            </w:r>
          </w:p>
          <w:p w:rsidR="00000000" w:rsidRPr="0033063F" w:rsidP="0033063F">
            <w:pPr>
              <w:pStyle w:val="ListBullet3"/>
            </w:pPr>
            <w:r w:rsidRPr="0033063F">
              <w:t>Mathematics</w:t>
            </w:r>
          </w:p>
          <w:p w:rsidR="00000000" w:rsidRPr="0033063F" w:rsidP="0033063F">
            <w:pPr>
              <w:pStyle w:val="ListBullet3"/>
            </w:pPr>
            <w:r w:rsidRPr="0033063F">
              <w:t>Mechanics</w:t>
            </w:r>
          </w:p>
          <w:p w:rsidR="00000000" w:rsidRPr="0033063F" w:rsidP="0033063F">
            <w:pPr>
              <w:pStyle w:val="ListBullet3"/>
            </w:pPr>
            <w:r w:rsidRPr="0033063F">
              <w:t>Thermodynamics</w:t>
            </w:r>
          </w:p>
          <w:p w:rsidR="00000000" w:rsidRPr="0033063F" w:rsidP="0033063F">
            <w:pPr>
              <w:pStyle w:val="ListBullet3"/>
            </w:pPr>
            <w:r w:rsidRPr="0033063F">
              <w:t>Properties of matter</w:t>
            </w:r>
          </w:p>
          <w:p w:rsidR="00000000" w:rsidRPr="0033063F" w:rsidP="0033063F">
            <w:pPr>
              <w:pStyle w:val="ListBullet3"/>
            </w:pPr>
            <w:r w:rsidRPr="0033063F">
              <w:t>Lubrication and bearings</w:t>
            </w:r>
          </w:p>
          <w:p w:rsidR="00000000" w:rsidRPr="0033063F" w:rsidP="0033063F">
            <w:pPr>
              <w:pStyle w:val="ListBullet3"/>
            </w:pPr>
            <w:r w:rsidRPr="0033063F">
              <w:t>Pumps</w:t>
            </w:r>
          </w:p>
          <w:p w:rsidR="00000000" w:rsidRPr="0033063F" w:rsidP="0033063F">
            <w:pPr>
              <w:pStyle w:val="ListBullet3"/>
            </w:pPr>
            <w:r w:rsidRPr="0033063F">
              <w:t>Liquid pumping systems</w:t>
            </w:r>
          </w:p>
          <w:p w:rsidR="00000000" w:rsidRPr="0033063F" w:rsidP="0033063F">
            <w:pPr>
              <w:pStyle w:val="ListBullet3"/>
            </w:pPr>
            <w:r w:rsidRPr="0033063F">
              <w:t>Power plant cycle</w:t>
            </w:r>
          </w:p>
          <w:p w:rsidR="00000000" w:rsidRPr="0033063F" w:rsidP="0033063F">
            <w:pPr>
              <w:pStyle w:val="ListBullet3"/>
            </w:pPr>
            <w:r w:rsidRPr="0033063F">
              <w:t>General responsibilities for power production plant operations</w:t>
            </w:r>
          </w:p>
          <w:p w:rsidR="00000000" w:rsidRPr="0033063F" w:rsidP="0033063F">
            <w:pPr>
              <w:pStyle w:val="ListBullet3"/>
            </w:pPr>
            <w:r w:rsidRPr="0033063F">
              <w:t>Turbine construction and operating principles</w:t>
            </w:r>
          </w:p>
          <w:p w:rsidR="00000000" w:rsidRPr="0033063F" w:rsidP="0033063F">
            <w:pPr>
              <w:pStyle w:val="ListBullet3"/>
            </w:pPr>
            <w:r w:rsidRPr="0033063F">
              <w:t>Turbine lubrication systems</w:t>
            </w:r>
          </w:p>
          <w:p w:rsidR="00000000" w:rsidRPr="0033063F" w:rsidP="0033063F">
            <w:pPr>
              <w:pStyle w:val="ListBullet3"/>
            </w:pPr>
            <w:r w:rsidRPr="0033063F">
              <w:t>Condensate and feedwater systems</w:t>
            </w:r>
          </w:p>
          <w:p w:rsidR="00000000" w:rsidRPr="0033063F" w:rsidP="0033063F">
            <w:pPr>
              <w:pStyle w:val="ListBullet3"/>
            </w:pPr>
            <w:r w:rsidRPr="0033063F">
              <w:t>Feedwater heat</w:t>
            </w:r>
            <w:r w:rsidRPr="0033063F">
              <w:t>ing and drainage systems</w:t>
            </w:r>
          </w:p>
          <w:p w:rsidR="00000000" w:rsidRPr="0033063F" w:rsidP="0033063F">
            <w:pPr>
              <w:pStyle w:val="ListBullet3"/>
            </w:pPr>
            <w:r w:rsidRPr="0033063F">
              <w:t>Circulating water system</w:t>
            </w:r>
          </w:p>
          <w:p w:rsidR="00000000" w:rsidRPr="0033063F" w:rsidP="0033063F">
            <w:pPr>
              <w:pStyle w:val="ListBullet3"/>
            </w:pPr>
            <w:r w:rsidRPr="0033063F">
              <w:t>Condenser systems</w:t>
            </w:r>
          </w:p>
          <w:p w:rsidR="00000000" w:rsidRPr="0033063F" w:rsidP="0033063F">
            <w:pPr>
              <w:pStyle w:val="ListBullet3"/>
            </w:pPr>
            <w:r w:rsidRPr="0033063F">
              <w:t>Turbine operations</w:t>
            </w:r>
          </w:p>
          <w:p w:rsidR="00000000" w:rsidRPr="0033063F" w:rsidP="0033063F">
            <w:pPr>
              <w:pStyle w:val="ListBullet3"/>
            </w:pPr>
            <w:r w:rsidRPr="0033063F">
              <w:t>Turbine efficiency</w:t>
            </w:r>
          </w:p>
          <w:p w:rsidR="00000000" w:rsidRPr="0033063F" w:rsidP="0033063F">
            <w:pPr>
              <w:pStyle w:val="ListBullet3"/>
            </w:pPr>
            <w:r w:rsidRPr="0033063F">
              <w:t>Electrical principles</w:t>
            </w:r>
          </w:p>
          <w:p w:rsidR="00000000" w:rsidRPr="0033063F" w:rsidP="0033063F">
            <w:pPr>
              <w:pStyle w:val="ListBullet3"/>
            </w:pPr>
            <w:r w:rsidRPr="0033063F">
              <w:t>Transformers</w:t>
            </w:r>
          </w:p>
          <w:p w:rsidR="00000000" w:rsidRPr="0033063F" w:rsidP="0033063F">
            <w:pPr>
              <w:pStyle w:val="ListBullet3"/>
            </w:pPr>
            <w:r w:rsidRPr="0033063F">
              <w:t>Electric motors</w:t>
            </w:r>
          </w:p>
          <w:p w:rsidR="00000000" w:rsidRPr="0033063F" w:rsidP="0033063F">
            <w:pPr>
              <w:pStyle w:val="ListBullet3"/>
            </w:pPr>
            <w:r w:rsidRPr="0033063F">
              <w:t>Switchgear</w:t>
            </w:r>
          </w:p>
          <w:p w:rsidR="00000000" w:rsidRPr="0033063F" w:rsidP="0033063F">
            <w:pPr>
              <w:pStyle w:val="ListBullet3"/>
            </w:pPr>
            <w:r w:rsidRPr="0033063F">
              <w:t>Heating of electrical equipment</w:t>
            </w:r>
          </w:p>
          <w:p w:rsidR="00000000" w:rsidRPr="0033063F" w:rsidP="0033063F">
            <w:pPr>
              <w:pStyle w:val="ListBullet3"/>
            </w:pPr>
            <w:r w:rsidRPr="0033063F">
              <w:t>Electrical protection</w:t>
            </w:r>
          </w:p>
          <w:p w:rsidR="00000000" w:rsidRPr="0033063F" w:rsidP="0033063F">
            <w:pPr>
              <w:pStyle w:val="ListBullet3"/>
            </w:pPr>
            <w:r w:rsidRPr="0033063F">
              <w:t>Schematic diagrams</w:t>
            </w:r>
          </w:p>
          <w:p w:rsidR="00000000" w:rsidP="0033063F">
            <w:pPr>
              <w:pStyle w:val="ListBullet3"/>
              <w:rPr>
                <w:lang w:val="en-NZ"/>
              </w:rPr>
            </w:pPr>
            <w:r w:rsidRPr="0033063F">
              <w:t>Safe operating principles</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Specific skills needed to achieve the Performance Criteria:</w:t>
            </w:r>
          </w:p>
          <w:p w:rsidR="00000000" w:rsidRPr="0033063F" w:rsidP="0033063F">
            <w:pPr>
              <w:pStyle w:val="ListBullet3"/>
            </w:pPr>
            <w:r w:rsidRPr="0033063F">
              <w:t>Apply relevant Occupational Health and Safety regulations</w:t>
            </w:r>
          </w:p>
          <w:p w:rsidR="00000000" w:rsidRPr="0033063F" w:rsidP="0033063F">
            <w:pPr>
              <w:pStyle w:val="ListBullet3"/>
            </w:pPr>
            <w:r w:rsidRPr="0033063F">
              <w:t>Apply relevant statutory legislation</w:t>
            </w:r>
          </w:p>
          <w:p w:rsidR="00000000" w:rsidRPr="0033063F" w:rsidP="0033063F">
            <w:pPr>
              <w:pStyle w:val="ListBullet3"/>
            </w:pPr>
            <w:r w:rsidRPr="0033063F">
              <w:t>Apply relevant enterprise/site safety procedures</w:t>
            </w:r>
          </w:p>
          <w:p w:rsidR="00000000" w:rsidRPr="0033063F" w:rsidP="0033063F">
            <w:pPr>
              <w:pStyle w:val="ListBullet3"/>
            </w:pPr>
            <w:r w:rsidRPr="0033063F">
              <w:t>Apply enterprise/site e</w:t>
            </w:r>
            <w:r w:rsidRPr="0033063F">
              <w:t>mergency procedures and techniques</w:t>
            </w:r>
          </w:p>
          <w:p w:rsidR="00000000" w:rsidRPr="0033063F" w:rsidP="0033063F">
            <w:pPr>
              <w:pStyle w:val="ListBullet3"/>
            </w:pPr>
            <w:r w:rsidRPr="0033063F">
              <w:t>Apply enterprise recording procedures</w:t>
            </w:r>
          </w:p>
          <w:p w:rsidR="00000000" w:rsidRPr="0033063F" w:rsidP="0033063F">
            <w:pPr>
              <w:pStyle w:val="ListBullet3"/>
            </w:pPr>
            <w:r w:rsidRPr="0033063F">
              <w:t>Identify plant status</w:t>
            </w:r>
          </w:p>
          <w:p w:rsidR="00000000" w:rsidRPr="0033063F" w:rsidP="0033063F">
            <w:pPr>
              <w:pStyle w:val="ListBullet3"/>
            </w:pPr>
            <w:r w:rsidRPr="0033063F">
              <w:t>Prepare plant/equipment for operation</w:t>
            </w:r>
          </w:p>
          <w:p w:rsidR="00000000" w:rsidRPr="0033063F" w:rsidP="0033063F">
            <w:pPr>
              <w:pStyle w:val="ListBullet3"/>
            </w:pPr>
            <w:r w:rsidRPr="0033063F">
              <w:t>Organise resources</w:t>
            </w:r>
          </w:p>
          <w:p w:rsidR="00000000" w:rsidRPr="0033063F" w:rsidP="0033063F">
            <w:pPr>
              <w:pStyle w:val="ListBullet3"/>
            </w:pPr>
            <w:r w:rsidRPr="0033063F">
              <w:t>Operate turbine plant and equipment</w:t>
            </w:r>
          </w:p>
          <w:p w:rsidR="00000000" w:rsidRPr="0033063F" w:rsidP="0033063F">
            <w:pPr>
              <w:pStyle w:val="ListBullet3"/>
            </w:pPr>
            <w:r w:rsidRPr="0033063F">
              <w:t>Apply diagnostic and testing techniques</w:t>
            </w:r>
          </w:p>
          <w:p w:rsidR="00000000" w:rsidRPr="0033063F" w:rsidP="0033063F">
            <w:pPr>
              <w:pStyle w:val="ListBullet3"/>
            </w:pPr>
            <w:r w:rsidRPr="0033063F">
              <w:t>Identify and respond to abnormal plant operating conditions</w:t>
            </w:r>
          </w:p>
          <w:p w:rsidR="00000000" w:rsidRPr="0033063F" w:rsidP="0033063F">
            <w:pPr>
              <w:pStyle w:val="ListBullet3"/>
            </w:pPr>
            <w:r w:rsidRPr="0033063F">
              <w:t>Plan and prioritise work</w:t>
            </w:r>
          </w:p>
          <w:p w:rsidR="00000000" w:rsidRPr="0033063F" w:rsidP="0033063F">
            <w:pPr>
              <w:pStyle w:val="ListBullet3"/>
            </w:pPr>
            <w:r w:rsidRPr="0033063F">
              <w:t>Use relevant hand tools</w:t>
            </w:r>
          </w:p>
          <w:p w:rsidR="00000000" w:rsidRPr="0033063F" w:rsidP="0033063F">
            <w:pPr>
              <w:pStyle w:val="ListBullet3"/>
            </w:pPr>
            <w:r w:rsidRPr="0033063F">
              <w:t xml:space="preserve">Communicate effectively </w:t>
            </w:r>
          </w:p>
          <w:p w:rsidR="00000000" w:rsidRPr="0033063F" w:rsidP="0033063F">
            <w:pPr>
              <w:pStyle w:val="ListBullet3"/>
            </w:pPr>
            <w:r w:rsidRPr="0033063F">
              <w:t>Apply data analysis techniques and tools</w:t>
            </w:r>
          </w:p>
          <w:p w:rsidR="00000000" w:rsidRPr="0033063F" w:rsidP="0033063F">
            <w:pPr>
              <w:pStyle w:val="ListBullet3"/>
            </w:pPr>
            <w:r w:rsidRPr="0033063F">
              <w:t>Use diagrams, drawings and symbols</w:t>
            </w:r>
          </w:p>
          <w:p w:rsidR="00000000" w:rsidRPr="0033063F" w:rsidP="0033063F">
            <w:pPr>
              <w:pStyle w:val="ListBullet3"/>
            </w:pPr>
            <w:r w:rsidRPr="0033063F">
              <w:t>Coordinate the operation of equipment to maint</w:t>
            </w:r>
            <w:r w:rsidRPr="0033063F">
              <w:t>ain plant integrity, personnel safety, continuity of supply and optimum efficiency.</w:t>
            </w:r>
          </w:p>
        </w:tc>
      </w:tr>
    </w:tbl>
    <w:p w:rsidR="00D60347" w:rsidP="0033063F">
      <w:pPr>
        <w:pStyle w:val="BodyText"/>
      </w:pPr>
    </w:p>
    <w:p w:rsidR="00D60347" w:rsidP="0033063F">
      <w:pPr>
        <w:pStyle w:val="BodyText"/>
      </w:pPr>
    </w:p>
    <w:p w:rsidR="00000000" w:rsidRPr="0033063F" w:rsidP="0033063F">
      <w:pPr>
        <w:pStyle w:val="Heading1"/>
      </w:pPr>
      <w:bookmarkStart w:id="10" w:name="O_248062"/>
      <w:bookmarkEnd w:id="10"/>
      <w:r w:rsidRPr="0033063F">
        <w:t>Evidence Guide</w:t>
      </w:r>
    </w:p>
    <w:tbl>
      <w:tblPr>
        <w:tblW w:w="0" w:type="auto"/>
        <w:tblLayout w:type="fixed"/>
        <w:tblCellMar>
          <w:left w:w="62" w:type="dxa"/>
          <w:right w:w="62" w:type="dxa"/>
        </w:tblCellMar>
        <w:tblLook w:val="0000"/>
      </w:tblPr>
      <w:tblGrid>
        <w:gridCol w:w="2160"/>
        <w:gridCol w:w="1620"/>
        <w:gridCol w:w="3117"/>
        <w:gridCol w:w="1563"/>
      </w:tblGrid>
      <w:tr w:rsidTr="00D6034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EVIDENCE GUIDE</w:t>
            </w:r>
          </w:p>
        </w:tc>
      </w:tr>
      <w:tr w:rsidTr="00D6034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8</w:t>
            </w:r>
            <w:r w:rsidRPr="0033063F">
              <w:t xml:space="preserve">) This provides essential advice for assessment of the competency standard unit and  must be read </w:t>
            </w:r>
            <w:r w:rsidRPr="0033063F">
              <w:t>in conjunction with the Performance Criteria and the Range Statement of the unit and  the Training Package Assessment Guidelines.</w:t>
            </w:r>
          </w:p>
          <w:p w:rsidR="00000000" w:rsidP="0033063F">
            <w:pPr>
              <w:pStyle w:val="BodyText"/>
              <w:rPr>
                <w:lang w:val="en-NZ"/>
              </w:rPr>
            </w:pPr>
            <w:r w:rsidRPr="0033063F">
              <w:t>The Evidence Guide forms an integral part of this competency standard unit and shall be used in conjunction with all component</w:t>
            </w:r>
            <w:r w:rsidRPr="0033063F">
              <w:t>s parts of this unit and, performed in accordance with the Assessment Guidelines of this Training Package.</w:t>
            </w:r>
          </w:p>
        </w:tc>
      </w:tr>
      <w:tr w:rsidTr="00D603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8</w:t>
            </w:r>
            <w:r w:rsidRPr="0033063F">
              <w:t>.</w:t>
            </w:r>
            <w:r w:rsidRPr="0033063F">
              <w:rPr>
                <w:rStyle w:val="SpecialBold"/>
              </w:rPr>
              <w:t>1</w:t>
            </w:r>
            <w:r w:rsidRPr="0033063F">
              <w:t xml:space="preserve">) </w:t>
            </w:r>
          </w:p>
          <w:p w:rsidR="00000000" w:rsidRPr="0033063F" w:rsidP="0033063F">
            <w:pPr>
              <w:pStyle w:val="BodyText"/>
            </w:pPr>
            <w:r w:rsidRPr="0033063F">
              <w:t>Longitude competency development approaches to assessment, such as Profiling, require data to be reliably gathered in a form that can be consistently interpreted over time. This approach is best utilised in Apprenticeship programs and reduces assessment in</w:t>
            </w:r>
            <w:r w:rsidRPr="0033063F">
              <w:t>tervention. It is the Industry preferred model for apprenticeships. However, where summative (or final) assessment is used it is to include the application of the competency in the normal work environment or, at a minimum, the application of the competency</w:t>
            </w:r>
            <w:r w:rsidRPr="0033063F">
              <w:t xml:space="preserve"> in a realistically simulated work environment. It is recognised that, in some circumstances, assessment in part or full can occur outside the workplace. However, it must be in accord with Industry and regulatory policy.</w:t>
            </w:r>
          </w:p>
          <w:p w:rsidR="00000000" w:rsidRPr="0033063F" w:rsidP="0033063F">
            <w:pPr>
              <w:pStyle w:val="BodyText"/>
            </w:pPr>
            <w:r w:rsidRPr="0033063F">
              <w:t>Methods chosen for a particular ass</w:t>
            </w:r>
            <w:r w:rsidRPr="0033063F">
              <w:t>essment will be influenced by various factors. These include the extent of the assessment, the most effective locations for the assessment activities to take place, access to physical resources, additional safety measures that may be required and the criti</w:t>
            </w:r>
            <w:r w:rsidRPr="0033063F">
              <w:t>cal nature of the competencies being assessed.</w:t>
            </w:r>
          </w:p>
          <w:p w:rsidR="00000000" w:rsidRPr="0033063F" w:rsidP="0033063F">
            <w:pPr>
              <w:pStyle w:val="BodyText"/>
            </w:pPr>
            <w:r w:rsidRPr="0033063F">
              <w:t>The critical safety nature of working with electricity, electrical equipment, gas or any other hazardous substance/material carries risk in deeming a person competent. Hence, sources of evidence need to be 'ri</w:t>
            </w:r>
            <w:r w:rsidRPr="0033063F">
              <w:t>ch' in nature so as to minimise error in judgment.</w:t>
            </w:r>
          </w:p>
          <w:p w:rsidR="00000000" w:rsidP="0033063F">
            <w:pPr>
              <w:pStyle w:val="BodyText"/>
              <w:rPr>
                <w:lang w:val="en-NZ"/>
              </w:rPr>
            </w:pPr>
            <w:r w:rsidRPr="0033063F">
              <w:t xml:space="preserve">Activities associated with normal every day work have a bearing on the decision as to how much and how detailed the data gathered will contribute to its 'richness'. Some skills are more critical to safety </w:t>
            </w:r>
            <w:r w:rsidRPr="0033063F">
              <w:t>and operational requirements while the same skills may be more or less frequently practised. These points are raised for the assessors to consider when choosing an assessment method and developing assessment instruments. Sample assessment instruments are i</w:t>
            </w:r>
            <w:r w:rsidRPr="0033063F">
              <w:t>ncluded in the Assessment Guidelines of this Training Package.</w:t>
            </w:r>
          </w:p>
        </w:tc>
      </w:tr>
      <w:tr w:rsidTr="00D603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8</w:t>
            </w:r>
            <w:r w:rsidRPr="0033063F">
              <w:t>.</w:t>
            </w:r>
            <w:r w:rsidRPr="0033063F">
              <w:rPr>
                <w:rStyle w:val="SpecialBold"/>
              </w:rPr>
              <w:t>2</w:t>
            </w:r>
            <w:r w:rsidRPr="0033063F">
              <w:t xml:space="preserve">) </w:t>
            </w:r>
          </w:p>
          <w:p w:rsidR="00000000" w:rsidP="0033063F">
            <w:pPr>
              <w:pStyle w:val="BodyText"/>
              <w:rPr>
                <w:lang w:val="en-NZ"/>
              </w:rPr>
            </w:pPr>
            <w:r w:rsidRPr="0033063F">
              <w:t>Before the critical aspects of evidence are considered all prerequisites shall be met.</w:t>
            </w:r>
          </w:p>
        </w:tc>
      </w:tr>
      <w:tr w:rsidTr="00D603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33063F">
            <w:pPr>
              <w:pStyle w:val="ListBullet"/>
              <w:rPr>
                <w:lang w:val="en-NZ"/>
              </w:rPr>
            </w:pPr>
            <w:r w:rsidRPr="0033063F">
              <w:t>A representative body of Performance Criteria demonstrated within the timeframes typically expected of the discipline, work function and industrial environment. In particular this shall incorporate evidence that shows a candidate is able to:</w:t>
            </w:r>
          </w:p>
        </w:tc>
      </w:tr>
      <w:tr w:rsidTr="00D603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ListBullet3"/>
            </w:pPr>
            <w:r w:rsidRPr="0033063F">
              <w:t>Implemen</w:t>
            </w:r>
            <w:r w:rsidRPr="0033063F">
              <w:t>t OHS workplace procedures and practices including the use of risk control measures as specified in the Performance Criteria and Range Statement</w:t>
            </w:r>
          </w:p>
          <w:p w:rsidR="00000000" w:rsidRPr="0033063F" w:rsidP="0033063F">
            <w:pPr>
              <w:pStyle w:val="ListBullet3"/>
            </w:pPr>
            <w:r w:rsidRPr="0033063F">
              <w:t>Apply sustainable energy principles and practices as specified in the Performance Criteria and Range Statement</w:t>
            </w:r>
          </w:p>
          <w:p w:rsidR="00000000" w:rsidRPr="0033063F" w:rsidP="0033063F">
            <w:pPr>
              <w:pStyle w:val="ListBullet3"/>
            </w:pPr>
            <w:r w:rsidRPr="0033063F">
              <w:t>Demonstrate an understanding of the essential knowledge and associated skills as described in 6) Essential Knowledge and Associated Skills of this unit</w:t>
            </w:r>
          </w:p>
          <w:p w:rsidR="00000000" w:rsidRPr="0033063F" w:rsidP="0033063F">
            <w:pPr>
              <w:pStyle w:val="ListBullet3"/>
            </w:pPr>
            <w:r w:rsidRPr="0033063F">
              <w:t>Demonstrate an appropriate level of skills enabling employment</w:t>
            </w:r>
          </w:p>
          <w:p w:rsidR="00000000" w:rsidP="0033063F">
            <w:pPr>
              <w:pStyle w:val="ListBullet3"/>
              <w:rPr>
                <w:lang w:val="en-NZ"/>
              </w:rPr>
            </w:pPr>
            <w:r w:rsidRPr="0033063F">
              <w:t xml:space="preserve">Conduct work observing the relevant Anti </w:t>
            </w:r>
            <w:r w:rsidRPr="0033063F">
              <w:t>Discrimination legislation, regulations, polices and workplace procedure</w:t>
            </w:r>
          </w:p>
        </w:tc>
      </w:tr>
      <w:tr w:rsidTr="00D603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3063F">
            <w:pPr>
              <w:pStyle w:val="ListBullet"/>
              <w:rPr>
                <w:lang w:val="en-NZ"/>
              </w:rPr>
            </w:pPr>
            <w:r w:rsidRPr="0033063F">
              <w:t>Demonstrated performance across a representative range of contexts from the prescribed items below:</w:t>
            </w:r>
          </w:p>
        </w:tc>
      </w:tr>
      <w:tr w:rsidTr="00D603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ListBullet3"/>
            </w:pPr>
            <w:r w:rsidRPr="0033063F">
              <w:t>The knowledge and application of relevant sections of: Occupational Health and Safety legislation; Statutory legislation; Enterprise/site safety procedures; Enterprise/site emergency procedures</w:t>
            </w:r>
          </w:p>
          <w:p w:rsidR="00000000" w:rsidRPr="0033063F" w:rsidP="0033063F">
            <w:pPr>
              <w:pStyle w:val="ListBullet3"/>
            </w:pPr>
            <w:r w:rsidRPr="0033063F">
              <w:t>The preparation and planning of work</w:t>
            </w:r>
          </w:p>
          <w:p w:rsidR="00000000" w:rsidRPr="0033063F" w:rsidP="0033063F">
            <w:pPr>
              <w:pStyle w:val="ListBullet3"/>
            </w:pPr>
            <w:r w:rsidRPr="0033063F">
              <w:t>The operation of turbine plant and equipment</w:t>
            </w:r>
          </w:p>
          <w:p w:rsidR="00000000" w:rsidRPr="0033063F" w:rsidP="0033063F">
            <w:pPr>
              <w:pStyle w:val="ListBullet3"/>
            </w:pPr>
            <w:r w:rsidRPr="0033063F">
              <w:t>Operationally testing plant</w:t>
            </w:r>
          </w:p>
          <w:p w:rsidR="00000000" w:rsidRPr="0033063F" w:rsidP="0033063F">
            <w:pPr>
              <w:pStyle w:val="ListBullet3"/>
            </w:pPr>
            <w:r w:rsidRPr="0033063F">
              <w:t>Analysing plant faults</w:t>
            </w:r>
          </w:p>
          <w:p w:rsidR="00000000" w:rsidRPr="0033063F" w:rsidP="0033063F">
            <w:pPr>
              <w:pStyle w:val="ListBullet3"/>
            </w:pPr>
            <w:r w:rsidRPr="0033063F">
              <w:t>The knowledge of the system components and their interaction</w:t>
            </w:r>
          </w:p>
          <w:p w:rsidR="00000000" w:rsidRPr="0033063F" w:rsidP="0033063F">
            <w:pPr>
              <w:pStyle w:val="ListBullet3"/>
            </w:pPr>
            <w:r w:rsidRPr="0033063F">
              <w:t>The knowledge of turbine operational processes</w:t>
            </w:r>
          </w:p>
          <w:p w:rsidR="00000000" w:rsidRPr="0033063F" w:rsidP="0033063F">
            <w:pPr>
              <w:pStyle w:val="ListBullet3"/>
            </w:pPr>
            <w:r w:rsidRPr="0033063F">
              <w:t>The knowledge of turbine supervision and control sys</w:t>
            </w:r>
            <w:r w:rsidRPr="0033063F">
              <w:t>tems</w:t>
            </w:r>
          </w:p>
          <w:p w:rsidR="00000000" w:rsidRPr="0033063F" w:rsidP="0033063F">
            <w:pPr>
              <w:pStyle w:val="ListBullet3"/>
            </w:pPr>
            <w:r w:rsidRPr="0033063F">
              <w:t>The knowledge of heat transfer principles</w:t>
            </w:r>
          </w:p>
          <w:p w:rsidR="00000000" w:rsidP="0033063F">
            <w:pPr>
              <w:pStyle w:val="ListBullet3"/>
              <w:rPr>
                <w:lang w:val="en-NZ"/>
              </w:rPr>
            </w:pPr>
            <w:r w:rsidRPr="0033063F">
              <w:t>Dealing with an unplanned event by drawing on essential knowledge and skills to provide appropriate solutions incorporated in the holistic assessment with the above listed items.</w:t>
            </w:r>
          </w:p>
        </w:tc>
      </w:tr>
      <w:tr w:rsidTr="00D603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8</w:t>
            </w:r>
            <w:r w:rsidRPr="0033063F">
              <w:t>.</w:t>
            </w:r>
            <w:r w:rsidRPr="0033063F">
              <w:rPr>
                <w:rStyle w:val="SpecialBold"/>
              </w:rPr>
              <w:t>3</w:t>
            </w:r>
            <w:r w:rsidRPr="0033063F">
              <w:t xml:space="preserve">) </w:t>
            </w:r>
          </w:p>
          <w:p w:rsidR="00000000" w:rsidRPr="0033063F" w:rsidP="0033063F">
            <w:pPr>
              <w:pStyle w:val="BodyText"/>
            </w:pPr>
            <w:r w:rsidRPr="0033063F">
              <w:t>This unit should be assessed as it relates to normal work practice using procedures, information and resources typical of a workplace. This should include:</w:t>
            </w:r>
          </w:p>
          <w:p w:rsidR="00000000" w:rsidRPr="0033063F" w:rsidP="0033063F">
            <w:pPr>
              <w:pStyle w:val="ListBullet"/>
            </w:pPr>
            <w:r w:rsidRPr="0033063F">
              <w:t>OHS policy and work procedures and instructions.</w:t>
            </w:r>
          </w:p>
          <w:p w:rsidR="00000000" w:rsidRPr="0033063F" w:rsidP="0033063F">
            <w:pPr>
              <w:pStyle w:val="ListBullet"/>
            </w:pPr>
            <w:r w:rsidRPr="0033063F">
              <w:t>Suitable work environment, facilities, equipment and materials to undertake actual work as prescribed by this unit.</w:t>
            </w:r>
          </w:p>
          <w:p w:rsidR="00000000" w:rsidRPr="0033063F" w:rsidP="0033063F">
            <w:pPr>
              <w:pStyle w:val="BodyText"/>
            </w:pPr>
            <w:r w:rsidRPr="0033063F">
              <w:t>Competency Standards should be assessed in the workplace or simulated workplace and under t</w:t>
            </w:r>
            <w:r w:rsidRPr="0033063F">
              <w:t>he normal range of workplace conditions.</w:t>
            </w:r>
          </w:p>
          <w:p w:rsidR="00000000" w:rsidP="0033063F">
            <w:pPr>
              <w:pStyle w:val="BodyText"/>
              <w:rPr>
                <w:lang w:val="en-NZ"/>
              </w:rPr>
            </w:pPr>
            <w:r w:rsidRPr="0033063F">
              <w:t>Assessment of this unit will be supported with documentary evidence, by means of endorsement stating type and application of work.</w:t>
            </w:r>
          </w:p>
        </w:tc>
      </w:tr>
      <w:tr w:rsidTr="00D603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In addition to the resources listed above in Context of assessment', evidence sh</w:t>
            </w:r>
            <w:r w:rsidRPr="0033063F">
              <w:t>ould show competency working in limited spaces with different types of plant and equipment as well as different structural/construction types and methods and in a variety of environments.</w:t>
            </w:r>
          </w:p>
        </w:tc>
      </w:tr>
      <w:tr w:rsidTr="00D603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8</w:t>
            </w:r>
            <w:r w:rsidRPr="0033063F">
              <w:t>.</w:t>
            </w:r>
            <w:r w:rsidRPr="0033063F">
              <w:rPr>
                <w:rStyle w:val="SpecialBold"/>
              </w:rPr>
              <w:t>4</w:t>
            </w:r>
            <w:r w:rsidRPr="0033063F">
              <w:t xml:space="preserve">) </w:t>
            </w:r>
          </w:p>
          <w:p w:rsidR="00000000" w:rsidRPr="0033063F" w:rsidP="0033063F">
            <w:pPr>
              <w:pStyle w:val="BodyText"/>
            </w:pPr>
            <w:r w:rsidRPr="0033063F">
              <w:t>This unit shall be assessed by methods given in Volume 1, Part 3 "Assessment Guidelines".</w:t>
            </w:r>
          </w:p>
          <w:p w:rsidR="00000000" w:rsidP="0033063F">
            <w:pPr>
              <w:pStyle w:val="BodyText"/>
              <w:rPr>
                <w:lang w:val="en-NZ"/>
              </w:rPr>
            </w:pPr>
            <w:r w:rsidRPr="0033063F">
              <w:t>Note:</w:t>
            </w:r>
            <w:r w:rsidRPr="0033063F">
              <w:br/>
              <w:t>Competent performance with inherent safe working practices is expected in the Industry to which this unit applies. This requires that the specified essential kn</w:t>
            </w:r>
            <w:r w:rsidRPr="0033063F">
              <w:t>owledge and associated skills are assessed in a structured environment which is primarily intended for learning/assessment and incorporates all necessary equipment and facilities for learners to develop and demonstrate the essential knowledge and skills de</w:t>
            </w:r>
            <w:r w:rsidRPr="0033063F">
              <w:t>scribed in this unit.</w:t>
            </w:r>
          </w:p>
        </w:tc>
      </w:tr>
      <w:tr w:rsidTr="00D603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8</w:t>
            </w:r>
            <w:r w:rsidRPr="0033063F">
              <w:t>.</w:t>
            </w:r>
            <w:r w:rsidRPr="0033063F">
              <w:rPr>
                <w:rStyle w:val="SpecialBold"/>
              </w:rPr>
              <w:t>5</w:t>
            </w:r>
            <w:r w:rsidRPr="0033063F">
              <w:t xml:space="preserve">) </w:t>
            </w:r>
          </w:p>
        </w:tc>
      </w:tr>
      <w:tr w:rsidTr="00D603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There are no recommended concurrent assessments with this unit, however in some cases efficiencies may be gained in terms of learning and assessment effort being con</w:t>
            </w:r>
            <w:r w:rsidRPr="0033063F">
              <w:t>currently managed with allied competency standard units where listed.</w:t>
            </w:r>
          </w:p>
        </w:tc>
      </w:tr>
      <w:tr w:rsidTr="00D603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Nil</w:t>
            </w:r>
          </w:p>
        </w:tc>
        <w:tc>
          <w:tcPr>
            <w:tcW w:w="4680" w:type="dxa"/>
            <w:gridSpan w:val="2"/>
            <w:tcBorders>
              <w:top w:val="nil"/>
              <w:left w:val="nil"/>
              <w:bottom w:val="nil"/>
              <w:right w:val="nil"/>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3063F" w:rsidP="0033063F">
            <w:pPr>
              <w:pStyle w:val="BodyText"/>
            </w:pPr>
            <w:r w:rsidRPr="0033063F">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8</w:t>
            </w:r>
            <w:r w:rsidRPr="0033063F">
              <w:t>.</w:t>
            </w:r>
            <w:r w:rsidRPr="0033063F">
              <w:rPr>
                <w:rStyle w:val="SpecialBold"/>
              </w:rPr>
              <w:t>6</w:t>
            </w:r>
            <w:r w:rsidRPr="0033063F">
              <w:t xml:space="preserve">) </w:t>
            </w:r>
          </w:p>
          <w:p w:rsidR="00000000" w:rsidP="0033063F">
            <w:pPr>
              <w:pStyle w:val="BodyText"/>
              <w:rPr>
                <w:lang w:val="en-NZ"/>
              </w:rPr>
            </w:pPr>
            <w:r w:rsidRPr="0033063F">
              <w:t>Evidence that particular key competencies have been achieved within this unit is in the context of the following Performance Criteria of evidence. See Volume 2, Part 4 for an explanation of Key competencies and levels of this Training Package.</w:t>
            </w:r>
          </w:p>
        </w:tc>
      </w:tr>
      <w:tr w:rsidTr="00D6034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r w:rsidRPr="0033063F">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r w:rsidRPr="0033063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rPr>
                <w:rStyle w:val="SpecialBold"/>
              </w:rPr>
              <w:t>Performance Level</w:t>
            </w:r>
          </w:p>
        </w:tc>
      </w:tr>
      <w:tr w:rsidTr="00D603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p w:rsidR="00000000" w:rsidP="0033063F">
            <w:pPr>
              <w:pStyle w:val="BodyText"/>
              <w:rPr>
                <w:lang w:val="en-NZ"/>
              </w:rPr>
            </w:pPr>
            <w:r w:rsidRPr="0033063F">
              <w:t>2</w:t>
            </w:r>
          </w:p>
        </w:tc>
      </w:tr>
      <w:tr w:rsidTr="00D603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p w:rsidR="00000000" w:rsidP="0033063F">
            <w:pPr>
              <w:pStyle w:val="BodyText"/>
              <w:rPr>
                <w:lang w:val="en-NZ"/>
              </w:rPr>
            </w:pPr>
            <w:r w:rsidRPr="0033063F">
              <w:t>2</w:t>
            </w:r>
          </w:p>
        </w:tc>
      </w:tr>
      <w:tr w:rsidTr="00D603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p w:rsidR="00000000" w:rsidP="0033063F">
            <w:pPr>
              <w:pStyle w:val="BodyText"/>
              <w:rPr>
                <w:lang w:val="en-NZ"/>
              </w:rPr>
            </w:pPr>
            <w:r w:rsidRPr="0033063F">
              <w:t>2</w:t>
            </w:r>
          </w:p>
        </w:tc>
      </w:tr>
      <w:tr w:rsidTr="00D603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p w:rsidR="00000000" w:rsidP="0033063F">
            <w:pPr>
              <w:pStyle w:val="BodyText"/>
              <w:rPr>
                <w:lang w:val="en-NZ"/>
              </w:rPr>
            </w:pPr>
            <w:r w:rsidRPr="0033063F">
              <w:t>2</w:t>
            </w:r>
          </w:p>
        </w:tc>
      </w:tr>
      <w:tr w:rsidTr="00D603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p w:rsidR="00000000" w:rsidP="0033063F">
            <w:pPr>
              <w:pStyle w:val="BodyText"/>
              <w:rPr>
                <w:lang w:val="en-NZ"/>
              </w:rPr>
            </w:pPr>
            <w:r w:rsidRPr="0033063F">
              <w:t>2</w:t>
            </w:r>
          </w:p>
        </w:tc>
      </w:tr>
      <w:tr w:rsidTr="00D603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p w:rsidR="00000000" w:rsidP="0033063F">
            <w:pPr>
              <w:pStyle w:val="BodyText"/>
              <w:rPr>
                <w:lang w:val="en-NZ"/>
              </w:rPr>
            </w:pPr>
            <w:r w:rsidRPr="0033063F">
              <w:t>2</w:t>
            </w:r>
          </w:p>
        </w:tc>
      </w:tr>
      <w:tr w:rsidTr="00D603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p w:rsidR="00000000" w:rsidP="0033063F">
            <w:pPr>
              <w:pStyle w:val="BodyText"/>
              <w:rPr>
                <w:lang w:val="en-NZ"/>
              </w:rPr>
            </w:pPr>
            <w:r w:rsidRPr="0033063F">
              <w:t>2</w:t>
            </w:r>
          </w:p>
        </w:tc>
      </w:tr>
      <w:tr w:rsidTr="00D603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Access, communicate, measure and provide information to monitor operations</w:t>
            </w:r>
            <w:r w:rsidRPr="0033063F">
              <w:t xml:space="preserve">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p>
        </w:tc>
      </w:tr>
    </w:tbl>
    <w:p w:rsidR="00000000" w:rsidRPr="0033063F" w:rsidP="0033063F">
      <w:pPr>
        <w:pStyle w:val="BodyText"/>
      </w:pPr>
    </w:p>
    <w:tbl>
      <w:tblPr>
        <w:tblW w:w="0" w:type="auto"/>
        <w:tblLayout w:type="fixed"/>
        <w:tblCellMar>
          <w:left w:w="62" w:type="dxa"/>
          <w:right w:w="62" w:type="dxa"/>
        </w:tblCellMar>
        <w:tblLook w:val="0000"/>
      </w:tblPr>
      <w:tblGrid>
        <w:gridCol w:w="326"/>
        <w:gridCol w:w="1834"/>
        <w:gridCol w:w="6300"/>
      </w:tblGrid>
      <w:tr w:rsidTr="00D60347">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p>
        </w:tc>
      </w:tr>
      <w:tr w:rsidTr="00D6034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3063F" w:rsidP="0033063F">
            <w:pPr>
              <w:pStyle w:val="BodyText"/>
            </w:pPr>
            <w:r w:rsidRPr="0033063F">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3063F" w:rsidP="0033063F">
            <w:pPr>
              <w:pStyle w:val="BodyText"/>
            </w:pPr>
            <w:r w:rsidRPr="0033063F">
              <w:rPr>
                <w:rStyle w:val="SpecialBold"/>
              </w:rPr>
              <w:t>8</w:t>
            </w:r>
            <w:r w:rsidRPr="0033063F">
              <w:t>.</w:t>
            </w:r>
            <w:r w:rsidRPr="0033063F">
              <w:rPr>
                <w:rStyle w:val="SpecialBold"/>
              </w:rPr>
              <w:t>7</w:t>
            </w:r>
            <w:r w:rsidRPr="0033063F">
              <w:t xml:space="preserve">) </w:t>
            </w:r>
          </w:p>
          <w:p w:rsidR="00000000" w:rsidP="0033063F">
            <w:pPr>
              <w:pStyle w:val="BodyText"/>
              <w:rPr>
                <w:lang w:val="en-NZ"/>
              </w:rPr>
            </w:pPr>
            <w:r w:rsidRPr="0033063F">
              <w:t xml:space="preserve">Evidence that competency in this unit incorporates skills enabling employment is in the context of the following performance. See Volume 2, Part 5 for definitions and an explanation of skills enabling employment. </w:t>
            </w:r>
          </w:p>
        </w:tc>
      </w:tr>
      <w:tr w:rsidTr="00D6034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r w:rsidRPr="0033063F">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rPr>
                <w:rStyle w:val="SpecialBold"/>
              </w:rPr>
              <w:t>Example of Applica</w:t>
            </w:r>
            <w:r w:rsidRPr="0033063F">
              <w:rPr>
                <w:rStyle w:val="SpecialBold"/>
              </w:rPr>
              <w:t>tion</w:t>
            </w:r>
          </w:p>
        </w:tc>
      </w:tr>
      <w:tr w:rsidTr="00D603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r>
      <w:tr w:rsidTr="00D603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Completion of tasks within an acceptable timeframe and performance with some supervision.</w:t>
            </w:r>
          </w:p>
        </w:tc>
      </w:tr>
      <w:tr w:rsidTr="00D603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r>
      <w:tr w:rsidTr="00D603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Comprehension and application of theoretical knowledge to well-developed skills.</w:t>
            </w:r>
          </w:p>
        </w:tc>
      </w:tr>
      <w:tr w:rsidTr="00D603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r>
      <w:tr w:rsidTr="00D603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Focused on improvement in own and other team member's performance in the workplace.</w:t>
            </w:r>
          </w:p>
        </w:tc>
      </w:tr>
      <w:tr w:rsidTr="00D603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r>
      <w:tr w:rsidTr="00D603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Working understanding of the processes and systems which apply to the workplace.</w:t>
            </w:r>
          </w:p>
        </w:tc>
      </w:tr>
      <w:tr w:rsidTr="00D603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r>
      <w:tr w:rsidTr="00D603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Achieving work tasks in a timely manner and ensuring that the work team a</w:t>
            </w:r>
            <w:r w:rsidRPr="0033063F">
              <w:t>chieves its stated work goals.</w:t>
            </w:r>
          </w:p>
        </w:tc>
      </w:tr>
      <w:tr w:rsidTr="00D603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3F">
            <w:pPr>
              <w:pStyle w:val="BodyText"/>
              <w:rPr>
                <w:lang w:val="en-NZ"/>
              </w:rPr>
            </w:pPr>
            <w:r w:rsidRPr="0033063F">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3F">
            <w:pPr>
              <w:pStyle w:val="BodyText"/>
              <w:rPr>
                <w:lang w:val="en-NZ"/>
              </w:rPr>
            </w:pPr>
            <w:r w:rsidRPr="0033063F">
              <w:t>Refer to the following example of application:</w:t>
            </w:r>
          </w:p>
        </w:tc>
      </w:tr>
      <w:tr w:rsidTr="00D603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3063F" w:rsidP="0033063F">
            <w:pPr>
              <w:pStyle w:val="BodyText"/>
            </w:pPr>
            <w:r w:rsidRPr="0033063F">
              <w:t>Seek advice and apply solutions to problems relevant to the workplace environment.</w:t>
            </w:r>
          </w:p>
        </w:tc>
      </w:tr>
    </w:tbl>
    <w:p w:rsidR="00D60347" w:rsidP="0033063F">
      <w:pPr>
        <w:pStyle w:val="BodyText"/>
      </w:pPr>
    </w:p>
    <w:p w:rsidR="00D60347" w:rsidP="0033063F">
      <w:pPr>
        <w:pStyle w:val="BodyText"/>
      </w:pPr>
    </w:p>
    <w:p w:rsidR="00000000" w:rsidRPr="0033063F" w:rsidP="0033063F">
      <w:pPr>
        <w:pStyle w:val="Heading1"/>
      </w:pPr>
      <w:bookmarkStart w:id="11" w:name="O_256046"/>
      <w:bookmarkEnd w:id="11"/>
      <w:r w:rsidRPr="0033063F">
        <w:t>Range Statement</w:t>
      </w:r>
    </w:p>
    <w:tbl>
      <w:tblPr>
        <w:tblW w:w="0" w:type="auto"/>
        <w:tblLayout w:type="fixed"/>
        <w:tblCellMar>
          <w:left w:w="62" w:type="dxa"/>
          <w:right w:w="62" w:type="dxa"/>
        </w:tblCellMar>
        <w:tblLook w:val="0000"/>
      </w:tblPr>
      <w:tblGrid>
        <w:gridCol w:w="8460"/>
      </w:tblGrid>
      <w:tr w:rsidTr="00D603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RANGE STATEMENT</w:t>
            </w:r>
          </w:p>
        </w:tc>
      </w:tr>
      <w:tr w:rsidTr="00D603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7</w:t>
            </w:r>
            <w:r w:rsidRPr="0033063F">
              <w:t>) This relates to the competency standard unit as a whole, providing the range of contexts and conditions to which the Performance Criteria apply. It allows for different work environments and situations that will affect p</w:t>
            </w:r>
            <w:r w:rsidRPr="0033063F">
              <w:t>erformance.</w:t>
            </w:r>
          </w:p>
        </w:tc>
      </w:tr>
      <w:tr w:rsidTr="00D603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Plant and equipment may include turbine and auxiliary plant; turbine lubrication and power/control oil systems; turbine by-pass system plant; condensate and feedwater system plant; condensate polishing plant; high and low pressure heating syst</w:t>
            </w:r>
            <w:r w:rsidRPr="0033063F">
              <w:t>ems; steam condensing and cooling systems; condenser vacuum raising equipment; turbine glad sealing equipment; cooling water systems plant; boiler feedwater de-aerating equipment; condensate and feedwater chemical treatment equipment; electric motors AC an</w:t>
            </w:r>
            <w:r w:rsidRPr="0033063F">
              <w:t>d DC; electricity distribution systems AC and DC; diesel engine drive auxiliary plant; station water distribution systems; hydraulic oil system; pumps; compressed air systems; computers with equipment control functions; supervisory, alarm and control equip</w:t>
            </w:r>
            <w:r w:rsidRPr="0033063F">
              <w:t>ment; and diesel engine drive auxiliary plant.</w:t>
            </w:r>
          </w:p>
          <w:p w:rsidR="00000000" w:rsidRPr="0033063F" w:rsidP="0033063F">
            <w:pPr>
              <w:pStyle w:val="BodyText"/>
            </w:pPr>
            <w:r w:rsidRPr="0033063F">
              <w:t>Safety standards may include relevant sections of Occupational Health and Safety legislation, enterprise safety rules, Australian standards, national standards for plant and relevant State and federal legislat</w:t>
            </w:r>
            <w:r w:rsidRPr="0033063F">
              <w:t>ion.</w:t>
            </w:r>
          </w:p>
          <w:p w:rsidR="00000000" w:rsidRPr="0033063F" w:rsidP="0033063F">
            <w:pPr>
              <w:pStyle w:val="BodyText"/>
            </w:pPr>
            <w:r w:rsidRPr="0033063F">
              <w:t>Information and documentation sources may include verbal or written communications; enterprise safety rules documentation; enterprise operating instructions; manufacturer's operational and maintenance manuals; equipment and alarm manuals, enterprise l</w:t>
            </w:r>
            <w:r w:rsidRPr="0033063F">
              <w:t>og books, dedicated computer equipment, enterprise standing instructions and plant notes; enterprise standing instructions and plant notes.</w:t>
            </w:r>
          </w:p>
          <w:p w:rsidR="00000000" w:rsidRPr="0033063F" w:rsidP="0033063F">
            <w:pPr>
              <w:pStyle w:val="BodyText"/>
            </w:pPr>
            <w:r w:rsidRPr="0033063F">
              <w:t>Technical and operational indicators may include stimuli (audio, smell, touch, visual), remote or local indicators a</w:t>
            </w:r>
            <w:r w:rsidRPr="0033063F">
              <w:t>nd recorders, computers and alarms (visible and or audible).</w:t>
            </w:r>
          </w:p>
          <w:p w:rsidR="00000000" w:rsidRPr="0033063F" w:rsidP="0033063F">
            <w:pPr>
              <w:pStyle w:val="BodyText"/>
            </w:pPr>
            <w:r w:rsidRPr="0033063F">
              <w:t>Communications may be by means of telephone, two way radio, pager, computer (electronic mail) and operating log (written or verbal).</w:t>
            </w:r>
          </w:p>
          <w:p w:rsidR="00000000" w:rsidRPr="0033063F" w:rsidP="0033063F">
            <w:pPr>
              <w:pStyle w:val="BodyText"/>
            </w:pPr>
            <w:r w:rsidRPr="0033063F">
              <w:t xml:space="preserve">Tests may include loss of a major auxiliary controls response </w:t>
            </w:r>
            <w:r w:rsidRPr="0033063F">
              <w:t>checks, stand-by plant "cut-in" tests, valves operating checks, turbine valve and emergency governor operation test, pre-start tests, performance tests, heater leak checks and alarm and protection tests.</w:t>
            </w:r>
          </w:p>
          <w:p w:rsidR="00000000" w:rsidRPr="0033063F" w:rsidP="0033063F">
            <w:pPr>
              <w:pStyle w:val="BodyText"/>
            </w:pPr>
            <w:r w:rsidRPr="0033063F">
              <w:t>Appropriate personnel to consult, give or receive di</w:t>
            </w:r>
            <w:r w:rsidRPr="0033063F">
              <w:t>rection may include supervisor/team leader or equivalent; other coordinators of energy production or equivalent; technical and engineering officers or equivalent; maintenance staff; other operating staff and contractor staff.</w:t>
            </w:r>
          </w:p>
          <w:p w:rsidR="00000000" w:rsidRPr="0033063F" w:rsidP="0033063F">
            <w:pPr>
              <w:pStyle w:val="BodyText"/>
            </w:pPr>
            <w:r w:rsidRPr="0033063F">
              <w:t>Operating environment may be r</w:t>
            </w:r>
            <w:r w:rsidRPr="0033063F">
              <w:t>emote from plant and equipment being operated; where operation is assisted by remote indicators of plant status and other parameters monitored; in wet/noisy/dusty/hot areas, during night periods; and during inclement or otherwise harsh weather conditions.</w:t>
            </w:r>
          </w:p>
          <w:p w:rsidR="00000000" w:rsidRPr="0033063F" w:rsidP="0033063F">
            <w:pPr>
              <w:pStyle w:val="BodyText"/>
            </w:pPr>
            <w:r w:rsidRPr="0033063F">
              <w:t>Unit operations (systems requirements) may include cold start return to service; warm start return to service with or without turbine bypass; and hot restart return to service, with or without turbine bypass.</w:t>
            </w:r>
          </w:p>
          <w:p w:rsidR="00000000" w:rsidRPr="0033063F" w:rsidP="0033063F">
            <w:pPr>
              <w:pStyle w:val="BodyText"/>
            </w:pPr>
            <w:r w:rsidRPr="0033063F">
              <w:t>Faults and abnormal operating conditions may in</w:t>
            </w:r>
            <w:r w:rsidRPr="0033063F">
              <w:t>clude loss of a major auxiliary; loss of electrical supply to auxiliaries (AC or DC); turbine water ingress; excessively high turbine and turbine valves heating/cooling rates/differentials; high condenser vacuum; condenser tube leak; high dissolved oxygen,</w:t>
            </w:r>
            <w:r w:rsidRPr="0033063F">
              <w:t xml:space="preserve"> conductivity; high turbine bearing temperatures/vibration; high/low bearing oil temperature; loss of turbine bearing oil flow/pressure; low/high pressure heaters malfunctions; turbine bypass system malfunction; actuator/valve mechanical/ electrical faults</w:t>
            </w:r>
            <w:r w:rsidRPr="0033063F">
              <w:t>/failure; failed field devices; and turbine protection.</w:t>
            </w:r>
          </w:p>
          <w:p w:rsidR="00000000" w:rsidRPr="0033063F" w:rsidP="0033063F">
            <w:pPr>
              <w:pStyle w:val="BodyText"/>
            </w:pPr>
            <w:r w:rsidRPr="0033063F">
              <w:t xml:space="preserve">Generic terms are used throughout this Training Package for vocational standard shall be regarded as part of the Range Statement in which competency is demonstrated. The definition of these and other </w:t>
            </w:r>
            <w:r w:rsidRPr="0033063F">
              <w:t>terms are given in Volume 2, Part 1.</w:t>
            </w:r>
          </w:p>
        </w:tc>
      </w:tr>
    </w:tbl>
    <w:p w:rsidR="00D60347" w:rsidP="0033063F">
      <w:pPr>
        <w:pStyle w:val="BodyText"/>
      </w:pPr>
    </w:p>
    <w:p w:rsidR="00D60347" w:rsidP="0033063F">
      <w:pPr>
        <w:pStyle w:val="BodyText"/>
      </w:pPr>
    </w:p>
    <w:p w:rsidR="00000000" w:rsidRPr="0033063F" w:rsidP="0033063F">
      <w:pPr>
        <w:pStyle w:val="Heading1"/>
      </w:pPr>
      <w:bookmarkStart w:id="12" w:name="O_297059"/>
      <w:bookmarkEnd w:id="12"/>
      <w:r w:rsidRPr="0033063F">
        <w:t>Unit Sector(s)</w:t>
      </w:r>
    </w:p>
    <w:p w:rsidR="00000000" w:rsidRPr="0033063F" w:rsidP="0033063F">
      <w:pPr>
        <w:pStyle w:val="BodyText"/>
      </w:pPr>
      <w:r w:rsidRPr="0033063F">
        <w:t>Not Applicable</w:t>
      </w:r>
    </w:p>
    <w:p w:rsidR="00000000" w:rsidRPr="0033063F" w:rsidP="0033063F">
      <w:pPr>
        <w:pStyle w:val="AllowPageBreak"/>
      </w:pPr>
    </w:p>
    <w:p w:rsidR="00000000" w:rsidRPr="0033063F" w:rsidP="0033063F">
      <w:pPr>
        <w:pStyle w:val="Heading1"/>
      </w:pPr>
      <w:bookmarkStart w:id="13" w:name="O_230797"/>
      <w:bookmarkEnd w:id="13"/>
      <w:r w:rsidRPr="0033063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603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2</w:t>
            </w:r>
            <w:r w:rsidRPr="0033063F">
              <w:t>.</w:t>
            </w:r>
            <w:r w:rsidRPr="0033063F">
              <w:rPr>
                <w:rStyle w:val="SpecialBold"/>
              </w:rPr>
              <w:t>2</w:t>
            </w:r>
            <w:r w:rsidRPr="0033063F">
              <w:t xml:space="preserve">) </w:t>
            </w:r>
          </w:p>
          <w:p w:rsidR="00000000" w:rsidP="0033063F">
            <w:pPr>
              <w:pStyle w:val="BodyText"/>
              <w:rPr>
                <w:lang w:val="en-NZ"/>
              </w:rPr>
            </w:pPr>
            <w:r w:rsidRPr="0033063F">
              <w:t>Participants are best equipped to achieve this unit if they have reading, writing and nu</w:t>
            </w:r>
            <w:r w:rsidRPr="0033063F">
              <w:t>meracy skills indicated by the following scales. Description of each scale is given in Volume 2, Part 3 Literacy and Numeracy</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Reading</w:t>
            </w:r>
          </w:p>
        </w:tc>
        <w:tc>
          <w:tcPr>
            <w:tcW w:w="805"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4</w:t>
            </w:r>
          </w:p>
        </w:tc>
        <w:tc>
          <w:tcPr>
            <w:tcW w:w="1184"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Writing</w:t>
            </w:r>
          </w:p>
        </w:tc>
        <w:tc>
          <w:tcPr>
            <w:tcW w:w="805"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4</w:t>
            </w:r>
          </w:p>
        </w:tc>
        <w:tc>
          <w:tcPr>
            <w:tcW w:w="1172"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t>Numeracy</w:t>
            </w:r>
          </w:p>
        </w:tc>
        <w:tc>
          <w:tcPr>
            <w:tcW w:w="805"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4</w:t>
            </w:r>
          </w:p>
        </w:tc>
      </w:tr>
    </w:tbl>
    <w:p w:rsidR="00D60347" w:rsidP="0033063F">
      <w:pPr>
        <w:pStyle w:val="BodyText"/>
      </w:pPr>
    </w:p>
    <w:p w:rsidR="00D60347" w:rsidP="0033063F">
      <w:pPr>
        <w:pStyle w:val="BodyText"/>
      </w:pPr>
    </w:p>
    <w:p w:rsidR="00000000" w:rsidRPr="0033063F" w:rsidP="0033063F">
      <w:pPr>
        <w:pStyle w:val="Heading1"/>
      </w:pPr>
      <w:bookmarkStart w:id="14" w:name="O_230799"/>
      <w:bookmarkEnd w:id="14"/>
      <w:r w:rsidRPr="0033063F">
        <w:t>Competency Field</w:t>
      </w:r>
    </w:p>
    <w:tbl>
      <w:tblPr>
        <w:tblW w:w="0" w:type="auto"/>
        <w:tblLayout w:type="fixed"/>
        <w:tblCellMar>
          <w:left w:w="62" w:type="dxa"/>
          <w:right w:w="62" w:type="dxa"/>
        </w:tblCellMar>
        <w:tblLook w:val="0000"/>
      </w:tblPr>
      <w:tblGrid>
        <w:gridCol w:w="2700"/>
        <w:gridCol w:w="5760"/>
      </w:tblGrid>
      <w:tr w:rsidTr="00D603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3063F">
            <w:pPr>
              <w:pStyle w:val="BodyText"/>
              <w:rPr>
                <w:lang w:val="en-NZ"/>
              </w:rPr>
            </w:pPr>
            <w:r w:rsidRPr="0033063F">
              <w:rPr>
                <w:rStyle w:val="SpecialBold"/>
              </w:rPr>
              <w:t>4</w:t>
            </w:r>
            <w:r w:rsidRPr="0033063F">
              <w:t xml:space="preserve">) </w:t>
            </w:r>
          </w:p>
        </w:tc>
      </w:tr>
      <w:tr w:rsidTr="00D603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063F" w:rsidP="0033063F">
            <w:pPr>
              <w:pStyle w:val="BodyText"/>
            </w:pPr>
            <w:r w:rsidRPr="0033063F">
              <w:t>Operations</w:t>
            </w:r>
          </w:p>
        </w:tc>
      </w:tr>
    </w:tbl>
    <w:p w:rsidR="00D60347" w:rsidP="0033063F">
      <w:pPr>
        <w:pStyle w:val="BodyText"/>
      </w:pPr>
    </w:p>
    <w:p w:rsidR="00D60347" w:rsidP="0033063F">
      <w:pPr>
        <w:pStyle w:val="BodyText"/>
      </w:pPr>
    </w:p>
    <w:p w:rsidR="00000000" w:rsidRPr="0033063F" w:rsidP="0033063F"/>
    <w:sectPr w:rsidSect="003306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347" w:rsidP="00D60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47" w:rsidP="00330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60347" w:rsidP="003306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60347" w:rsidP="003306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347" w:rsidP="00D603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47" w:rsidP="0033063F">
    <w:pPr>
      <w:pStyle w:val="Header"/>
      <w:framePr w:wrap="around"/>
    </w:pPr>
    <w:r>
      <w:fldChar w:fldCharType="begin"/>
    </w:r>
    <w:r>
      <w:instrText xml:space="preserve"> TITLE   \* MERGEFORMAT </w:instrText>
    </w:r>
    <w:r>
      <w:fldChar w:fldCharType="separate"/>
    </w:r>
    <w:r>
      <w:t>UEPOPS411A Run Up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0347" w:rsidP="003306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B2CB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70B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6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63F"/>
    <w:pPr>
      <w:spacing w:before="360" w:after="60"/>
      <w:outlineLvl w:val="0"/>
    </w:pPr>
    <w:rPr>
      <w:sz w:val="32"/>
    </w:rPr>
  </w:style>
  <w:style w:type="paragraph" w:styleId="Heading2">
    <w:name w:val="heading 2"/>
    <w:basedOn w:val="HeadingBase"/>
    <w:next w:val="BodyText"/>
    <w:link w:val="Heading2Char"/>
    <w:qFormat/>
    <w:rsid w:val="0033063F"/>
    <w:pPr>
      <w:keepLines/>
      <w:spacing w:before="240" w:after="120"/>
      <w:outlineLvl w:val="1"/>
    </w:pPr>
    <w:rPr>
      <w:sz w:val="28"/>
      <w:szCs w:val="40"/>
    </w:rPr>
  </w:style>
  <w:style w:type="paragraph" w:styleId="Heading3">
    <w:name w:val="heading 3"/>
    <w:basedOn w:val="HeadingBase"/>
    <w:next w:val="BodyText"/>
    <w:link w:val="Heading3Char"/>
    <w:qFormat/>
    <w:rsid w:val="0033063F"/>
    <w:pPr>
      <w:spacing w:before="180" w:after="120"/>
      <w:outlineLvl w:val="2"/>
    </w:pPr>
    <w:rPr>
      <w:spacing w:val="-10"/>
      <w:kern w:val="32"/>
    </w:rPr>
  </w:style>
  <w:style w:type="paragraph" w:styleId="Heading4">
    <w:name w:val="heading 4"/>
    <w:basedOn w:val="HeadingBase"/>
    <w:next w:val="BodyText"/>
    <w:link w:val="Heading4Char"/>
    <w:qFormat/>
    <w:rsid w:val="0033063F"/>
    <w:pPr>
      <w:spacing w:before="160" w:after="120"/>
      <w:outlineLvl w:val="3"/>
    </w:pPr>
    <w:rPr>
      <w:sz w:val="22"/>
    </w:rPr>
  </w:style>
  <w:style w:type="paragraph" w:styleId="Heading5">
    <w:name w:val="heading 5"/>
    <w:basedOn w:val="HeadingBase"/>
    <w:next w:val="Normal"/>
    <w:link w:val="Heading5Char"/>
    <w:qFormat/>
    <w:rsid w:val="0033063F"/>
    <w:pPr>
      <w:spacing w:before="80"/>
      <w:outlineLvl w:val="4"/>
    </w:pPr>
    <w:rPr>
      <w:color w:val="918585"/>
      <w:sz w:val="20"/>
    </w:rPr>
  </w:style>
  <w:style w:type="paragraph" w:styleId="Heading6">
    <w:name w:val="heading 6"/>
    <w:basedOn w:val="HeadingBase"/>
    <w:next w:val="Normal"/>
    <w:link w:val="Heading6Char"/>
    <w:qFormat/>
    <w:rsid w:val="0033063F"/>
    <w:pPr>
      <w:spacing w:before="60"/>
      <w:outlineLvl w:val="5"/>
    </w:pPr>
    <w:rPr>
      <w:color w:val="918585"/>
      <w:sz w:val="20"/>
    </w:rPr>
  </w:style>
  <w:style w:type="paragraph" w:styleId="Heading7">
    <w:name w:val="heading 7"/>
    <w:basedOn w:val="Normal"/>
    <w:next w:val="Normal"/>
    <w:link w:val="Heading7Char"/>
    <w:qFormat/>
    <w:rsid w:val="0033063F"/>
    <w:pPr>
      <w:ind w:left="720"/>
      <w:outlineLvl w:val="6"/>
    </w:pPr>
    <w:rPr>
      <w:i/>
    </w:rPr>
  </w:style>
  <w:style w:type="paragraph" w:styleId="Heading8">
    <w:name w:val="heading 8"/>
    <w:basedOn w:val="Normal"/>
    <w:next w:val="Normal"/>
    <w:link w:val="Heading8Char"/>
    <w:qFormat/>
    <w:rsid w:val="0033063F"/>
    <w:pPr>
      <w:ind w:left="720"/>
      <w:outlineLvl w:val="7"/>
    </w:pPr>
    <w:rPr>
      <w:i/>
    </w:rPr>
  </w:style>
  <w:style w:type="paragraph" w:styleId="Heading9">
    <w:name w:val="heading 9"/>
    <w:basedOn w:val="Normal"/>
    <w:next w:val="Normal"/>
    <w:link w:val="Heading9Char"/>
    <w:qFormat/>
    <w:rsid w:val="0033063F"/>
    <w:pPr>
      <w:ind w:left="720"/>
      <w:outlineLvl w:val="8"/>
    </w:pPr>
    <w:rPr>
      <w:i/>
    </w:rPr>
  </w:style>
  <w:style w:type="character" w:default="1" w:styleId="DefaultParagraphFont">
    <w:name w:val="Default Paragraph Font"/>
    <w:uiPriority w:val="1"/>
    <w:unhideWhenUsed/>
    <w:rsid w:val="00330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63F"/>
  </w:style>
  <w:style w:type="character" w:customStyle="1" w:styleId="Heading1Char">
    <w:name w:val="Heading 1 Char"/>
    <w:link w:val="Heading1"/>
    <w:rsid w:val="0033063F"/>
    <w:rPr>
      <w:rFonts w:ascii="Times New Roman" w:eastAsia="Times New Roman" w:hAnsi="Times New Roman" w:cs="Times New Roman"/>
      <w:b/>
      <w:sz w:val="32"/>
      <w:szCs w:val="20"/>
      <w:lang w:eastAsia="en-US"/>
    </w:rPr>
  </w:style>
  <w:style w:type="paragraph" w:styleId="BodyText">
    <w:name w:val="Body Text"/>
    <w:basedOn w:val="Normal"/>
    <w:link w:val="BodyTextChar"/>
    <w:rsid w:val="0033063F"/>
    <w:pPr>
      <w:spacing w:before="120" w:after="120"/>
      <w:contextualSpacing/>
    </w:pPr>
    <w:rPr>
      <w:rFonts w:ascii="Times New Roman" w:hAnsi="Times New Roman"/>
      <w:sz w:val="24"/>
      <w:szCs w:val="22"/>
    </w:rPr>
  </w:style>
  <w:style w:type="character" w:customStyle="1" w:styleId="BodyTextChar">
    <w:name w:val="Body Text Char"/>
    <w:link w:val="BodyText"/>
    <w:rsid w:val="0033063F"/>
    <w:rPr>
      <w:rFonts w:ascii="Times New Roman" w:eastAsia="Times New Roman" w:hAnsi="Times New Roman" w:cs="Times New Roman"/>
      <w:sz w:val="24"/>
      <w:lang w:val="en-US" w:eastAsia="en-US"/>
    </w:rPr>
  </w:style>
  <w:style w:type="paragraph" w:styleId="Footer">
    <w:name w:val="footer"/>
    <w:basedOn w:val="Normal"/>
    <w:link w:val="FooterChar"/>
    <w:rsid w:val="00330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063F"/>
    <w:rPr>
      <w:rFonts w:ascii="Times New Roman" w:eastAsia="Times New Roman" w:hAnsi="Times New Roman" w:cs="Times New Roman"/>
      <w:sz w:val="16"/>
      <w:lang w:val="en-US" w:eastAsia="en-US"/>
    </w:rPr>
  </w:style>
  <w:style w:type="paragraph" w:styleId="ListBullet">
    <w:name w:val="List Bullet"/>
    <w:basedOn w:val="List"/>
    <w:rsid w:val="0033063F"/>
    <w:pPr>
      <w:numPr>
        <w:numId w:val="13"/>
      </w:numPr>
      <w:tabs>
        <w:tab w:val="clear" w:pos="340"/>
      </w:tabs>
      <w:spacing w:before="40" w:after="40"/>
    </w:pPr>
  </w:style>
  <w:style w:type="character" w:customStyle="1" w:styleId="SpecialBold">
    <w:name w:val="Special Bold"/>
    <w:rsid w:val="0033063F"/>
    <w:rPr>
      <w:b/>
      <w:spacing w:val="0"/>
    </w:rPr>
  </w:style>
  <w:style w:type="paragraph" w:styleId="Header">
    <w:name w:val="header"/>
    <w:basedOn w:val="Normal"/>
    <w:link w:val="HeaderChar"/>
    <w:rsid w:val="00330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06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063F"/>
    <w:pPr>
      <w:spacing w:before="240" w:after="120"/>
      <w:outlineLvl w:val="0"/>
    </w:pPr>
    <w:rPr>
      <w:rFonts w:ascii="Times New Roman" w:hAnsi="Times New Roman"/>
      <w:b/>
      <w:sz w:val="28"/>
    </w:rPr>
  </w:style>
  <w:style w:type="paragraph" w:customStyle="1" w:styleId="AllowPageBreak">
    <w:name w:val="AllowPageBreak"/>
    <w:rsid w:val="003306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063F"/>
    <w:pPr>
      <w:numPr>
        <w:numId w:val="2"/>
      </w:numPr>
      <w:tabs>
        <w:tab w:val="clear" w:pos="1021"/>
      </w:tabs>
      <w:ind w:left="1037" w:hanging="357"/>
    </w:pPr>
  </w:style>
  <w:style w:type="character" w:customStyle="1" w:styleId="Heading2Char">
    <w:name w:val="Heading 2 Char"/>
    <w:link w:val="Heading2"/>
    <w:rsid w:val="0033063F"/>
    <w:rPr>
      <w:rFonts w:ascii="Times New Roman" w:eastAsia="Times New Roman" w:hAnsi="Times New Roman" w:cs="Times New Roman"/>
      <w:b/>
      <w:sz w:val="28"/>
      <w:szCs w:val="40"/>
      <w:lang w:eastAsia="en-US"/>
    </w:rPr>
  </w:style>
  <w:style w:type="character" w:customStyle="1" w:styleId="Heading3Char">
    <w:name w:val="Heading 3 Char"/>
    <w:link w:val="Heading3"/>
    <w:rsid w:val="003306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063F"/>
    <w:rPr>
      <w:rFonts w:ascii="Times New Roman" w:eastAsia="Times New Roman" w:hAnsi="Times New Roman" w:cs="Times New Roman"/>
      <w:b/>
      <w:szCs w:val="20"/>
      <w:lang w:eastAsia="en-US"/>
    </w:rPr>
  </w:style>
  <w:style w:type="character" w:customStyle="1" w:styleId="Heading5Char">
    <w:name w:val="Heading 5 Char"/>
    <w:link w:val="Heading5"/>
    <w:rsid w:val="003306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0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6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6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63F"/>
    <w:rPr>
      <w:rFonts w:ascii="Courier New" w:eastAsia="Times New Roman" w:hAnsi="Courier New" w:cs="Times New Roman"/>
      <w:i/>
      <w:szCs w:val="20"/>
      <w:lang w:val="en-US" w:eastAsia="en-US"/>
    </w:rPr>
  </w:style>
  <w:style w:type="paragraph" w:customStyle="1" w:styleId="HeadingBase">
    <w:name w:val="Heading Base"/>
    <w:rsid w:val="00330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63F"/>
    <w:pPr>
      <w:tabs>
        <w:tab w:val="right" w:leader="dot" w:pos="9072"/>
      </w:tabs>
      <w:ind w:left="567"/>
    </w:pPr>
    <w:rPr>
      <w:szCs w:val="22"/>
    </w:rPr>
  </w:style>
  <w:style w:type="paragraph" w:customStyle="1" w:styleId="TOCBase">
    <w:name w:val="TOC Base"/>
    <w:rsid w:val="00330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63F"/>
    <w:pPr>
      <w:tabs>
        <w:tab w:val="right" w:leader="dot" w:pos="9072"/>
      </w:tabs>
      <w:spacing w:before="40" w:after="40"/>
      <w:ind w:left="284"/>
    </w:pPr>
    <w:rPr>
      <w:rFonts w:ascii="Times New Roman" w:hAnsi="Times New Roman"/>
    </w:rPr>
  </w:style>
  <w:style w:type="paragraph" w:styleId="TOC1">
    <w:name w:val="toc 1"/>
    <w:basedOn w:val="TOCBase"/>
    <w:next w:val="Normal"/>
    <w:rsid w:val="003306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63F"/>
    <w:pPr>
      <w:spacing w:before="5040"/>
      <w:jc w:val="center"/>
    </w:pPr>
    <w:rPr>
      <w:sz w:val="48"/>
      <w:szCs w:val="72"/>
      <w:lang w:val="en-US"/>
    </w:rPr>
  </w:style>
  <w:style w:type="character" w:customStyle="1" w:styleId="TitleChar">
    <w:name w:val="Title Char"/>
    <w:link w:val="Title"/>
    <w:rsid w:val="00330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63F"/>
    <w:pPr>
      <w:tabs>
        <w:tab w:val="left" w:pos="3600"/>
        <w:tab w:val="left" w:pos="3958"/>
      </w:tabs>
    </w:pPr>
  </w:style>
  <w:style w:type="paragraph" w:styleId="List">
    <w:name w:val="List"/>
    <w:basedOn w:val="BodyText"/>
    <w:next w:val="BodyText"/>
    <w:rsid w:val="0033063F"/>
    <w:pPr>
      <w:tabs>
        <w:tab w:val="left" w:pos="340"/>
      </w:tabs>
      <w:spacing w:before="60" w:after="60"/>
      <w:ind w:left="340" w:hanging="340"/>
    </w:pPr>
  </w:style>
  <w:style w:type="paragraph" w:customStyle="1" w:styleId="Note">
    <w:name w:val="Note"/>
    <w:basedOn w:val="BodyText"/>
    <w:rsid w:val="00330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63F"/>
    <w:pPr>
      <w:framePr w:wrap="auto" w:hAnchor="text" w:y="6049"/>
    </w:pPr>
    <w:rPr>
      <w:color w:val="000000"/>
      <w:sz w:val="40"/>
    </w:rPr>
  </w:style>
  <w:style w:type="paragraph" w:customStyle="1" w:styleId="TOCTitle">
    <w:name w:val="TOCTitle"/>
    <w:basedOn w:val="Heading1"/>
    <w:rsid w:val="0033063F"/>
    <w:pPr>
      <w:spacing w:after="240"/>
      <w:jc w:val="center"/>
      <w:outlineLvl w:val="9"/>
    </w:pPr>
    <w:rPr>
      <w:caps/>
    </w:rPr>
  </w:style>
  <w:style w:type="paragraph" w:customStyle="1" w:styleId="Version">
    <w:name w:val="Version"/>
    <w:rsid w:val="003306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63F"/>
    <w:pPr>
      <w:numPr>
        <w:numId w:val="14"/>
      </w:numPr>
      <w:tabs>
        <w:tab w:val="clear" w:pos="680"/>
      </w:tabs>
    </w:pPr>
  </w:style>
  <w:style w:type="paragraph" w:styleId="Index1">
    <w:name w:val="index 1"/>
    <w:basedOn w:val="Normal"/>
    <w:next w:val="Normal"/>
    <w:semiHidden/>
    <w:rsid w:val="0033063F"/>
    <w:pPr>
      <w:keepNext w:val="0"/>
      <w:tabs>
        <w:tab w:val="right" w:pos="4176"/>
      </w:tabs>
      <w:ind w:left="198" w:hanging="198"/>
    </w:pPr>
    <w:rPr>
      <w:rFonts w:ascii="Garamond" w:hAnsi="Garamond"/>
    </w:rPr>
  </w:style>
  <w:style w:type="paragraph" w:styleId="IndexHeading">
    <w:name w:val="index heading"/>
    <w:basedOn w:val="Normal"/>
    <w:next w:val="Index1"/>
    <w:semiHidden/>
    <w:rsid w:val="0033063F"/>
    <w:pPr>
      <w:spacing w:before="120" w:after="120"/>
    </w:pPr>
    <w:rPr>
      <w:rFonts w:ascii="Arial" w:hAnsi="Arial"/>
      <w:b/>
      <w:color w:val="918585"/>
      <w:sz w:val="24"/>
    </w:rPr>
  </w:style>
  <w:style w:type="paragraph" w:customStyle="1" w:styleId="Chapter">
    <w:name w:val="Chapter"/>
    <w:basedOn w:val="Normal"/>
    <w:rsid w:val="0033063F"/>
    <w:pPr>
      <w:spacing w:before="240"/>
    </w:pPr>
    <w:rPr>
      <w:rFonts w:ascii="Times New Roman" w:hAnsi="Times New Roman"/>
      <w:smallCaps/>
      <w:spacing w:val="80"/>
      <w:sz w:val="28"/>
    </w:rPr>
  </w:style>
  <w:style w:type="paragraph" w:customStyle="1" w:styleId="InChapter">
    <w:name w:val="InChapter"/>
    <w:basedOn w:val="Heading3"/>
    <w:rsid w:val="0033063F"/>
    <w:pPr>
      <w:spacing w:after="240"/>
      <w:outlineLvl w:val="9"/>
    </w:pPr>
    <w:rPr>
      <w:noProof/>
    </w:rPr>
  </w:style>
  <w:style w:type="paragraph" w:styleId="Index2">
    <w:name w:val="index 2"/>
    <w:basedOn w:val="Normal"/>
    <w:next w:val="Normal"/>
    <w:semiHidden/>
    <w:rsid w:val="0033063F"/>
    <w:pPr>
      <w:tabs>
        <w:tab w:val="right" w:pos="4176"/>
      </w:tabs>
      <w:ind w:left="568" w:hanging="284"/>
    </w:pPr>
    <w:rPr>
      <w:rFonts w:ascii="Garamond" w:hAnsi="Garamond"/>
    </w:rPr>
  </w:style>
  <w:style w:type="paragraph" w:customStyle="1" w:styleId="Byline">
    <w:name w:val="Byline"/>
    <w:rsid w:val="00330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63F"/>
    <w:pPr>
      <w:tabs>
        <w:tab w:val="clear" w:pos="3600"/>
        <w:tab w:val="clear" w:pos="3958"/>
      </w:tabs>
      <w:jc w:val="right"/>
    </w:pPr>
  </w:style>
  <w:style w:type="character" w:styleId="Emphasis">
    <w:name w:val="Emphasis"/>
    <w:qFormat/>
    <w:rsid w:val="0033063F"/>
    <w:rPr>
      <w:i/>
    </w:rPr>
  </w:style>
  <w:style w:type="paragraph" w:styleId="Caption">
    <w:name w:val="caption"/>
    <w:basedOn w:val="BodyText"/>
    <w:next w:val="Normal"/>
    <w:qFormat/>
    <w:rsid w:val="0033063F"/>
    <w:pPr>
      <w:framePr w:w="2268" w:hSpace="181" w:vSpace="181" w:wrap="around" w:vAnchor="text" w:hAnchor="page" w:x="1135" w:y="285" w:anchorLock="1"/>
    </w:pPr>
    <w:rPr>
      <w:i/>
    </w:rPr>
  </w:style>
  <w:style w:type="paragraph" w:customStyle="1" w:styleId="MiniTOCTitle">
    <w:name w:val="MiniTOCTitle"/>
    <w:basedOn w:val="Heading4"/>
    <w:rsid w:val="0033063F"/>
    <w:pPr>
      <w:spacing w:before="240"/>
      <w:outlineLvl w:val="9"/>
    </w:pPr>
    <w:rPr>
      <w:noProof/>
      <w:sz w:val="24"/>
    </w:rPr>
  </w:style>
  <w:style w:type="paragraph" w:customStyle="1" w:styleId="MiniTOCItem">
    <w:name w:val="MiniTOCItem"/>
    <w:basedOn w:val="ListBullet"/>
    <w:rsid w:val="0033063F"/>
    <w:pPr>
      <w:numPr>
        <w:numId w:val="0"/>
      </w:numPr>
      <w:tabs>
        <w:tab w:val="right" w:leader="dot" w:pos="6521"/>
      </w:tabs>
      <w:spacing w:before="0" w:after="0"/>
    </w:pPr>
  </w:style>
  <w:style w:type="paragraph" w:customStyle="1" w:styleId="TOFTitle">
    <w:name w:val="TOFTitle"/>
    <w:basedOn w:val="TOCTitle"/>
    <w:rsid w:val="0033063F"/>
  </w:style>
  <w:style w:type="paragraph" w:styleId="TableofFigures">
    <w:name w:val="table of figures"/>
    <w:basedOn w:val="Normal"/>
    <w:next w:val="Normal"/>
    <w:semiHidden/>
    <w:rsid w:val="0033063F"/>
    <w:pPr>
      <w:tabs>
        <w:tab w:val="right" w:leader="dot" w:pos="9072"/>
      </w:tabs>
      <w:ind w:left="970" w:hanging="403"/>
    </w:pPr>
    <w:rPr>
      <w:rFonts w:ascii="Times New Roman" w:hAnsi="Times New Roman"/>
      <w:b/>
    </w:rPr>
  </w:style>
  <w:style w:type="paragraph" w:styleId="ListNumber">
    <w:name w:val="List Number"/>
    <w:basedOn w:val="List"/>
    <w:rsid w:val="0033063F"/>
    <w:pPr>
      <w:numPr>
        <w:numId w:val="11"/>
      </w:numPr>
    </w:pPr>
  </w:style>
  <w:style w:type="character" w:customStyle="1" w:styleId="WingdingSymbols">
    <w:name w:val="Wingding Symbols"/>
    <w:rsid w:val="0033063F"/>
    <w:rPr>
      <w:rFonts w:ascii="Wingdings" w:hAnsi="Wingdings"/>
    </w:rPr>
  </w:style>
  <w:style w:type="paragraph" w:customStyle="1" w:styleId="TableHeading">
    <w:name w:val="Table Heading"/>
    <w:basedOn w:val="HeadingBase"/>
    <w:rsid w:val="0033063F"/>
    <w:pPr>
      <w:keepLines/>
      <w:pBdr>
        <w:bottom w:val="single" w:sz="6" w:space="1" w:color="918585"/>
      </w:pBdr>
      <w:spacing w:before="240"/>
    </w:pPr>
  </w:style>
  <w:style w:type="character" w:customStyle="1" w:styleId="HotSpot">
    <w:name w:val="HotSpot"/>
    <w:rsid w:val="0033063F"/>
    <w:rPr>
      <w:color w:val="0033CC"/>
      <w:u w:val="none"/>
    </w:rPr>
  </w:style>
  <w:style w:type="paragraph" w:customStyle="1" w:styleId="BodyTextRight">
    <w:name w:val="Body Text Right"/>
    <w:basedOn w:val="BodyText"/>
    <w:rsid w:val="0033063F"/>
    <w:pPr>
      <w:spacing w:before="0" w:after="0"/>
      <w:jc w:val="right"/>
    </w:pPr>
  </w:style>
  <w:style w:type="paragraph" w:styleId="Index3">
    <w:name w:val="index 3"/>
    <w:basedOn w:val="ListNumber2"/>
    <w:next w:val="Normal"/>
    <w:semiHidden/>
    <w:rsid w:val="0033063F"/>
    <w:pPr>
      <w:numPr>
        <w:numId w:val="0"/>
      </w:numPr>
      <w:tabs>
        <w:tab w:val="right" w:leader="dot" w:pos="4176"/>
      </w:tabs>
    </w:pPr>
  </w:style>
  <w:style w:type="paragraph" w:styleId="ListNumber2">
    <w:name w:val="List Number 2"/>
    <w:basedOn w:val="List2"/>
    <w:rsid w:val="0033063F"/>
    <w:pPr>
      <w:numPr>
        <w:numId w:val="10"/>
      </w:numPr>
      <w:tabs>
        <w:tab w:val="clear" w:pos="1060"/>
      </w:tabs>
    </w:pPr>
  </w:style>
  <w:style w:type="paragraph" w:customStyle="1" w:styleId="MarginNote">
    <w:name w:val="Margin Note"/>
    <w:basedOn w:val="BodyText"/>
    <w:rsid w:val="00330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06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63F"/>
    <w:rPr>
      <w:sz w:val="32"/>
    </w:rPr>
  </w:style>
  <w:style w:type="paragraph" w:customStyle="1" w:styleId="HeadingProcedure">
    <w:name w:val="Heading Procedure"/>
    <w:basedOn w:val="HeadingBase"/>
    <w:next w:val="Normal"/>
    <w:rsid w:val="0033063F"/>
    <w:pPr>
      <w:tabs>
        <w:tab w:val="left" w:pos="0"/>
      </w:tabs>
      <w:spacing w:before="120" w:after="60"/>
    </w:pPr>
    <w:rPr>
      <w:i/>
      <w:color w:val="918585"/>
      <w:sz w:val="22"/>
    </w:rPr>
  </w:style>
  <w:style w:type="paragraph" w:customStyle="1" w:styleId="TableBodyText">
    <w:name w:val="Table Body Text"/>
    <w:basedOn w:val="BodyText"/>
    <w:rsid w:val="0033063F"/>
    <w:pPr>
      <w:spacing w:before="60" w:after="60"/>
    </w:pPr>
  </w:style>
  <w:style w:type="paragraph" w:styleId="ListContinue">
    <w:name w:val="List Continue"/>
    <w:basedOn w:val="List"/>
    <w:rsid w:val="0033063F"/>
    <w:pPr>
      <w:ind w:firstLine="0"/>
    </w:pPr>
  </w:style>
  <w:style w:type="paragraph" w:customStyle="1" w:styleId="ListNote">
    <w:name w:val="List Note"/>
    <w:basedOn w:val="List"/>
    <w:rsid w:val="0033063F"/>
    <w:pPr>
      <w:pBdr>
        <w:top w:val="single" w:sz="6" w:space="2" w:color="918585"/>
        <w:bottom w:val="single" w:sz="6" w:space="2" w:color="918585"/>
      </w:pBdr>
      <w:tabs>
        <w:tab w:val="left" w:pos="1021"/>
      </w:tabs>
      <w:ind w:firstLine="0"/>
    </w:pPr>
  </w:style>
  <w:style w:type="paragraph" w:customStyle="1" w:styleId="Warning">
    <w:name w:val="Warning"/>
    <w:basedOn w:val="BodyText"/>
    <w:rsid w:val="0033063F"/>
    <w:pPr>
      <w:shd w:val="clear" w:color="auto" w:fill="D9D9D9"/>
      <w:tabs>
        <w:tab w:val="left" w:pos="992"/>
      </w:tabs>
      <w:ind w:left="119" w:right="119"/>
    </w:pPr>
    <w:rPr>
      <w:sz w:val="20"/>
    </w:rPr>
  </w:style>
  <w:style w:type="paragraph" w:customStyle="1" w:styleId="MarginIcons">
    <w:name w:val="Margin Icons"/>
    <w:basedOn w:val="BodyText"/>
    <w:rsid w:val="003306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063F"/>
    <w:rPr>
      <w:rFonts w:ascii="Courier New" w:hAnsi="Courier New"/>
    </w:rPr>
  </w:style>
  <w:style w:type="paragraph" w:customStyle="1" w:styleId="NoteBullet">
    <w:name w:val="Note Bullet"/>
    <w:basedOn w:val="Note"/>
    <w:rsid w:val="0033063F"/>
    <w:pPr>
      <w:tabs>
        <w:tab w:val="clear" w:pos="680"/>
      </w:tabs>
      <w:spacing w:before="60" w:after="60"/>
    </w:pPr>
  </w:style>
  <w:style w:type="paragraph" w:customStyle="1" w:styleId="SubHeading2">
    <w:name w:val="SubHeading2"/>
    <w:basedOn w:val="HeadingBase"/>
    <w:rsid w:val="0033063F"/>
    <w:pPr>
      <w:spacing w:before="240" w:after="60"/>
    </w:pPr>
    <w:rPr>
      <w:sz w:val="20"/>
    </w:rPr>
  </w:style>
  <w:style w:type="paragraph" w:customStyle="1" w:styleId="SubHeading1">
    <w:name w:val="SubHeading1"/>
    <w:basedOn w:val="HeadingBase"/>
    <w:rsid w:val="0033063F"/>
    <w:pPr>
      <w:spacing w:before="240" w:after="60"/>
    </w:pPr>
    <w:rPr>
      <w:color w:val="918585"/>
      <w:sz w:val="22"/>
    </w:rPr>
  </w:style>
  <w:style w:type="paragraph" w:customStyle="1" w:styleId="SideHeading">
    <w:name w:val="Side Heading"/>
    <w:basedOn w:val="HeadingBase"/>
    <w:rsid w:val="00330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63F"/>
    <w:pPr>
      <w:numPr>
        <w:numId w:val="12"/>
      </w:numPr>
    </w:pPr>
  </w:style>
  <w:style w:type="paragraph" w:styleId="PlainText">
    <w:name w:val="Plain Text"/>
    <w:basedOn w:val="Normal"/>
    <w:link w:val="PlainTextChar"/>
    <w:rsid w:val="0033063F"/>
    <w:rPr>
      <w:sz w:val="20"/>
    </w:rPr>
  </w:style>
  <w:style w:type="character" w:customStyle="1" w:styleId="PlainTextChar">
    <w:name w:val="Plain Text Char"/>
    <w:basedOn w:val="DefaultParagraphFont"/>
    <w:link w:val="PlainText"/>
    <w:rsid w:val="0033063F"/>
    <w:rPr>
      <w:rFonts w:ascii="Courier New" w:eastAsia="Times New Roman" w:hAnsi="Courier New" w:cs="Times New Roman"/>
      <w:sz w:val="20"/>
      <w:szCs w:val="20"/>
      <w:lang w:val="en-US" w:eastAsia="en-US"/>
    </w:rPr>
  </w:style>
  <w:style w:type="character" w:customStyle="1" w:styleId="MenuOption">
    <w:name w:val="Menu Option"/>
    <w:rsid w:val="0033063F"/>
    <w:rPr>
      <w:b/>
      <w:smallCaps/>
    </w:rPr>
  </w:style>
  <w:style w:type="paragraph" w:customStyle="1" w:styleId="TableListNumber">
    <w:name w:val="Table List Number"/>
    <w:basedOn w:val="ListNumber"/>
    <w:rsid w:val="0033063F"/>
    <w:pPr>
      <w:numPr>
        <w:numId w:val="0"/>
      </w:numPr>
    </w:pPr>
  </w:style>
  <w:style w:type="paragraph" w:styleId="TOC4">
    <w:name w:val="toc 4"/>
    <w:basedOn w:val="TOCBase"/>
    <w:next w:val="Normal"/>
    <w:semiHidden/>
    <w:rsid w:val="0033063F"/>
    <w:pPr>
      <w:tabs>
        <w:tab w:val="right" w:leader="dot" w:pos="9071"/>
      </w:tabs>
      <w:ind w:left="1701"/>
    </w:pPr>
  </w:style>
  <w:style w:type="paragraph" w:customStyle="1" w:styleId="ListAlpha">
    <w:name w:val="List Alpha"/>
    <w:basedOn w:val="List"/>
    <w:rsid w:val="0033063F"/>
    <w:pPr>
      <w:numPr>
        <w:numId w:val="9"/>
      </w:numPr>
    </w:pPr>
  </w:style>
  <w:style w:type="paragraph" w:customStyle="1" w:styleId="ListAlpha2">
    <w:name w:val="List Alpha 2"/>
    <w:basedOn w:val="List2"/>
    <w:rsid w:val="0033063F"/>
    <w:pPr>
      <w:numPr>
        <w:numId w:val="8"/>
      </w:numPr>
    </w:pPr>
  </w:style>
  <w:style w:type="paragraph" w:styleId="List2">
    <w:name w:val="List 2"/>
    <w:basedOn w:val="BodyText"/>
    <w:rsid w:val="0033063F"/>
    <w:pPr>
      <w:tabs>
        <w:tab w:val="left" w:pos="680"/>
      </w:tabs>
      <w:spacing w:before="60" w:after="60"/>
      <w:ind w:left="680" w:hanging="340"/>
    </w:pPr>
  </w:style>
  <w:style w:type="paragraph" w:styleId="List3">
    <w:name w:val="List 3"/>
    <w:basedOn w:val="BodyText"/>
    <w:rsid w:val="0033063F"/>
    <w:pPr>
      <w:tabs>
        <w:tab w:val="left" w:pos="1021"/>
      </w:tabs>
      <w:spacing w:before="60" w:after="60"/>
      <w:ind w:left="1020" w:hanging="340"/>
    </w:pPr>
  </w:style>
  <w:style w:type="paragraph" w:styleId="List4">
    <w:name w:val="List 4"/>
    <w:basedOn w:val="BodyText"/>
    <w:rsid w:val="0033063F"/>
    <w:pPr>
      <w:tabs>
        <w:tab w:val="left" w:pos="1361"/>
      </w:tabs>
      <w:spacing w:before="60" w:after="60"/>
      <w:ind w:left="1361" w:hanging="340"/>
    </w:pPr>
  </w:style>
  <w:style w:type="paragraph" w:styleId="List5">
    <w:name w:val="List 5"/>
    <w:basedOn w:val="BodyText"/>
    <w:rsid w:val="0033063F"/>
    <w:pPr>
      <w:tabs>
        <w:tab w:val="left" w:pos="1701"/>
      </w:tabs>
      <w:spacing w:before="60" w:after="60"/>
      <w:ind w:left="1701" w:hanging="340"/>
    </w:pPr>
  </w:style>
  <w:style w:type="paragraph" w:styleId="ListBullet4">
    <w:name w:val="List Bullet 4"/>
    <w:basedOn w:val="List4"/>
    <w:rsid w:val="0033063F"/>
    <w:pPr>
      <w:numPr>
        <w:numId w:val="3"/>
      </w:numPr>
    </w:pPr>
  </w:style>
  <w:style w:type="paragraph" w:styleId="ListBullet5">
    <w:name w:val="List Bullet 5"/>
    <w:basedOn w:val="List5"/>
    <w:rsid w:val="0033063F"/>
    <w:pPr>
      <w:numPr>
        <w:numId w:val="4"/>
      </w:numPr>
    </w:pPr>
  </w:style>
  <w:style w:type="paragraph" w:styleId="ListContinue2">
    <w:name w:val="List Continue 2"/>
    <w:basedOn w:val="List2"/>
    <w:rsid w:val="0033063F"/>
    <w:pPr>
      <w:ind w:firstLine="0"/>
    </w:pPr>
  </w:style>
  <w:style w:type="paragraph" w:styleId="ListContinue3">
    <w:name w:val="List Continue 3"/>
    <w:basedOn w:val="List3"/>
    <w:rsid w:val="0033063F"/>
    <w:pPr>
      <w:ind w:left="1021" w:firstLine="0"/>
    </w:pPr>
  </w:style>
  <w:style w:type="paragraph" w:styleId="ListContinue4">
    <w:name w:val="List Continue 4"/>
    <w:basedOn w:val="List4"/>
    <w:rsid w:val="0033063F"/>
    <w:pPr>
      <w:ind w:firstLine="0"/>
    </w:pPr>
  </w:style>
  <w:style w:type="paragraph" w:styleId="ListContinue5">
    <w:name w:val="List Continue 5"/>
    <w:basedOn w:val="List5"/>
    <w:rsid w:val="0033063F"/>
    <w:pPr>
      <w:ind w:firstLine="0"/>
    </w:pPr>
  </w:style>
  <w:style w:type="paragraph" w:styleId="ListNumber3">
    <w:name w:val="List Number 3"/>
    <w:basedOn w:val="List3"/>
    <w:rsid w:val="0033063F"/>
    <w:pPr>
      <w:numPr>
        <w:numId w:val="5"/>
      </w:numPr>
    </w:pPr>
  </w:style>
  <w:style w:type="paragraph" w:styleId="ListNumber4">
    <w:name w:val="List Number 4"/>
    <w:basedOn w:val="List4"/>
    <w:rsid w:val="0033063F"/>
    <w:pPr>
      <w:numPr>
        <w:numId w:val="6"/>
      </w:numPr>
    </w:pPr>
  </w:style>
  <w:style w:type="paragraph" w:styleId="ListNumber5">
    <w:name w:val="List Number 5"/>
    <w:basedOn w:val="List5"/>
    <w:rsid w:val="0033063F"/>
    <w:pPr>
      <w:numPr>
        <w:numId w:val="7"/>
      </w:numPr>
    </w:pPr>
  </w:style>
  <w:style w:type="paragraph" w:styleId="BlockText">
    <w:name w:val="Block Text"/>
    <w:basedOn w:val="Normal"/>
    <w:rsid w:val="0033063F"/>
    <w:pPr>
      <w:spacing w:after="120"/>
      <w:ind w:left="1440" w:right="1440"/>
    </w:pPr>
  </w:style>
  <w:style w:type="character" w:customStyle="1" w:styleId="Subscript">
    <w:name w:val="Subscript"/>
    <w:rsid w:val="0033063F"/>
    <w:rPr>
      <w:sz w:val="16"/>
      <w:vertAlign w:val="subscript"/>
    </w:rPr>
  </w:style>
  <w:style w:type="character" w:customStyle="1" w:styleId="Superscript">
    <w:name w:val="Superscript"/>
    <w:rsid w:val="0033063F"/>
    <w:rPr>
      <w:sz w:val="16"/>
      <w:vertAlign w:val="superscript"/>
    </w:rPr>
  </w:style>
  <w:style w:type="character" w:customStyle="1" w:styleId="Symbols">
    <w:name w:val="Symbols"/>
    <w:rsid w:val="0033063F"/>
    <w:rPr>
      <w:rFonts w:ascii="Symbol" w:hAnsi="Symbol"/>
    </w:rPr>
  </w:style>
  <w:style w:type="character" w:customStyle="1" w:styleId="MenuOptions">
    <w:name w:val="Menu Options"/>
    <w:rsid w:val="0033063F"/>
    <w:rPr>
      <w:rFonts w:ascii="Arial Narrow" w:hAnsi="Arial Narrow"/>
      <w:smallCaps/>
    </w:rPr>
  </w:style>
  <w:style w:type="character" w:customStyle="1" w:styleId="Buttons">
    <w:name w:val="Buttons"/>
    <w:rsid w:val="0033063F"/>
    <w:rPr>
      <w:b/>
    </w:rPr>
  </w:style>
  <w:style w:type="character" w:customStyle="1" w:styleId="Underlined">
    <w:name w:val="Underlined"/>
    <w:rsid w:val="0033063F"/>
    <w:rPr>
      <w:u w:val="single"/>
    </w:rPr>
  </w:style>
  <w:style w:type="paragraph" w:customStyle="1" w:styleId="TableBodyTextRight">
    <w:name w:val="Table Body Text Right"/>
    <w:basedOn w:val="TableBodyText"/>
    <w:rsid w:val="0033063F"/>
    <w:pPr>
      <w:widowControl w:val="0"/>
      <w:autoSpaceDE w:val="0"/>
      <w:autoSpaceDN w:val="0"/>
      <w:adjustRightInd w:val="0"/>
      <w:jc w:val="right"/>
    </w:pPr>
    <w:rPr>
      <w:rFonts w:cs="Arial"/>
      <w:szCs w:val="18"/>
    </w:rPr>
  </w:style>
  <w:style w:type="paragraph" w:customStyle="1" w:styleId="CopyrightText">
    <w:name w:val="Copyright Text"/>
    <w:basedOn w:val="BodyText"/>
    <w:rsid w:val="0033063F"/>
    <w:rPr>
      <w:sz w:val="18"/>
    </w:rPr>
  </w:style>
  <w:style w:type="paragraph" w:customStyle="1" w:styleId="BodySmallRight">
    <w:name w:val="Body Small Right"/>
    <w:basedOn w:val="BodyTextRight"/>
    <w:rsid w:val="0033063F"/>
    <w:rPr>
      <w:sz w:val="18"/>
      <w:szCs w:val="18"/>
    </w:rPr>
  </w:style>
  <w:style w:type="paragraph" w:customStyle="1" w:styleId="MarginEdition">
    <w:name w:val="Margin Edition"/>
    <w:basedOn w:val="MarginNote"/>
    <w:rsid w:val="0033063F"/>
    <w:pPr>
      <w:spacing w:before="0" w:after="0"/>
    </w:pPr>
    <w:rPr>
      <w:rFonts w:ascii="Times New Roman" w:hAnsi="Times New Roman"/>
      <w:color w:val="999999"/>
    </w:rPr>
  </w:style>
  <w:style w:type="paragraph" w:customStyle="1" w:styleId="Spacer">
    <w:name w:val="Spacer"/>
    <w:basedOn w:val="Normal"/>
    <w:rsid w:val="0033063F"/>
    <w:rPr>
      <w:sz w:val="2"/>
      <w:szCs w:val="2"/>
    </w:rPr>
  </w:style>
  <w:style w:type="character" w:customStyle="1" w:styleId="Small">
    <w:name w:val="Small"/>
    <w:rsid w:val="0033063F"/>
    <w:rPr>
      <w:sz w:val="16"/>
    </w:rPr>
  </w:style>
  <w:style w:type="paragraph" w:customStyle="1" w:styleId="WideTable">
    <w:name w:val="Wide Table"/>
    <w:basedOn w:val="Normal"/>
    <w:rsid w:val="0033063F"/>
    <w:pPr>
      <w:ind w:left="-1418"/>
    </w:pPr>
    <w:rPr>
      <w:sz w:val="2"/>
      <w:szCs w:val="2"/>
    </w:rPr>
  </w:style>
  <w:style w:type="character" w:styleId="PageNumber">
    <w:name w:val="page number"/>
    <w:rsid w:val="0033063F"/>
  </w:style>
  <w:style w:type="paragraph" w:styleId="Quote">
    <w:name w:val="Quote"/>
    <w:basedOn w:val="Heading1"/>
    <w:link w:val="QuoteChar"/>
    <w:qFormat/>
    <w:rsid w:val="0033063F"/>
    <w:rPr>
      <w:b w:val="0"/>
      <w:sz w:val="72"/>
      <w:szCs w:val="72"/>
      <w:lang w:val="en-NZ"/>
    </w:rPr>
  </w:style>
  <w:style w:type="character" w:customStyle="1" w:styleId="QuoteChar">
    <w:name w:val="Quote Char"/>
    <w:link w:val="Quote"/>
    <w:rsid w:val="00330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63F"/>
    <w:pPr>
      <w:pageBreakBefore/>
    </w:pPr>
  </w:style>
  <w:style w:type="paragraph" w:customStyle="1" w:styleId="Border">
    <w:name w:val="Border"/>
    <w:basedOn w:val="Normal"/>
    <w:qFormat/>
    <w:rsid w:val="0033063F"/>
    <w:pPr>
      <w:pBdr>
        <w:top w:val="single" w:sz="18" w:space="1" w:color="auto"/>
      </w:pBdr>
    </w:pPr>
    <w:rPr>
      <w:rFonts w:ascii="Times New Roman" w:hAnsi="Times New Roman"/>
      <w:color w:val="FFFFFF"/>
      <w:sz w:val="2"/>
    </w:rPr>
  </w:style>
  <w:style w:type="character" w:styleId="IntenseEmphasis">
    <w:name w:val="Intense Emphasis"/>
    <w:uiPriority w:val="21"/>
    <w:qFormat/>
    <w:rsid w:val="0033063F"/>
    <w:rPr>
      <w:b/>
      <w:bCs/>
      <w:i/>
      <w:iCs/>
      <w:color w:val="auto"/>
    </w:rPr>
  </w:style>
  <w:style w:type="paragraph" w:styleId="IntenseQuote">
    <w:name w:val="Intense Quote"/>
    <w:basedOn w:val="Normal"/>
    <w:next w:val="Normal"/>
    <w:link w:val="IntenseQuoteChar"/>
    <w:uiPriority w:val="30"/>
    <w:qFormat/>
    <w:rsid w:val="003306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063F"/>
    <w:rPr>
      <w:rFonts w:ascii="Courier New" w:eastAsia="Times New Roman" w:hAnsi="Courier New" w:cs="Times New Roman"/>
      <w:b/>
      <w:bCs/>
      <w:i/>
      <w:iCs/>
      <w:szCs w:val="20"/>
      <w:lang w:val="en-US" w:eastAsia="en-US"/>
    </w:rPr>
  </w:style>
  <w:style w:type="character" w:styleId="SubtleReference">
    <w:name w:val="Subtle Reference"/>
    <w:uiPriority w:val="31"/>
    <w:qFormat/>
    <w:rsid w:val="0033063F"/>
    <w:rPr>
      <w:smallCaps/>
      <w:color w:val="auto"/>
      <w:u w:val="single"/>
    </w:rPr>
  </w:style>
  <w:style w:type="character" w:styleId="IntenseReference">
    <w:name w:val="Intense Reference"/>
    <w:uiPriority w:val="32"/>
    <w:qFormat/>
    <w:rsid w:val="0033063F"/>
    <w:rPr>
      <w:b/>
      <w:bCs/>
      <w:smallCaps/>
      <w:color w:val="auto"/>
      <w:spacing w:val="5"/>
      <w:u w:val="single"/>
    </w:rPr>
  </w:style>
  <w:style w:type="paragraph" w:customStyle="1" w:styleId="2ColumnHeading">
    <w:name w:val="2Column Heading"/>
    <w:basedOn w:val="BodyText"/>
    <w:qFormat/>
    <w:rsid w:val="0033063F"/>
    <w:pPr>
      <w:spacing w:after="60"/>
      <w:ind w:left="-2268"/>
    </w:pPr>
    <w:rPr>
      <w:b/>
    </w:rPr>
  </w:style>
  <w:style w:type="paragraph" w:customStyle="1" w:styleId="Heading1TOC">
    <w:name w:val="Heading1 TOC"/>
    <w:basedOn w:val="Normal"/>
    <w:qFormat/>
    <w:rsid w:val="0033063F"/>
    <w:pPr>
      <w:spacing w:before="240" w:after="120"/>
    </w:pPr>
    <w:rPr>
      <w:rFonts w:ascii="Times New Roman" w:hAnsi="Times New Roman"/>
      <w:b/>
      <w:sz w:val="32"/>
    </w:rPr>
  </w:style>
  <w:style w:type="paragraph" w:customStyle="1" w:styleId="Heading2TOC">
    <w:name w:val="Heading2 TOC"/>
    <w:basedOn w:val="Normal"/>
    <w:qFormat/>
    <w:rsid w:val="0033063F"/>
    <w:pPr>
      <w:spacing w:before="240" w:after="60"/>
    </w:pPr>
    <w:rPr>
      <w:rFonts w:ascii="Times New Roman" w:hAnsi="Times New Roman"/>
      <w:b/>
      <w:sz w:val="28"/>
    </w:rPr>
  </w:style>
  <w:style w:type="character" w:customStyle="1" w:styleId="Underline">
    <w:name w:val="Underline"/>
    <w:qFormat/>
    <w:rsid w:val="0033063F"/>
    <w:rPr>
      <w:u w:val="single"/>
    </w:rPr>
  </w:style>
  <w:style w:type="character" w:customStyle="1" w:styleId="BoldandItalics">
    <w:name w:val="Bold and Italics"/>
    <w:qFormat/>
    <w:rsid w:val="0033063F"/>
    <w:rPr>
      <w:b/>
      <w:i/>
      <w:u w:val="none"/>
    </w:rPr>
  </w:style>
  <w:style w:type="paragraph" w:styleId="BalloonText">
    <w:name w:val="Balloon Text"/>
    <w:basedOn w:val="Normal"/>
    <w:link w:val="BalloonTextChar"/>
    <w:rsid w:val="0033063F"/>
    <w:rPr>
      <w:rFonts w:ascii="Tahoma" w:hAnsi="Tahoma" w:cs="Tahoma"/>
      <w:sz w:val="16"/>
      <w:szCs w:val="16"/>
    </w:rPr>
  </w:style>
  <w:style w:type="character" w:customStyle="1" w:styleId="BalloonTextChar">
    <w:name w:val="Balloon Text Char"/>
    <w:link w:val="BalloonText"/>
    <w:rsid w:val="003306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6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06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2821</Words>
  <Characters>17409</Characters>
  <Application>Microsoft Office Word</Application>
  <DocSecurity>0</DocSecurity>
  <Lines>661</Lines>
  <Paragraphs>294</Paragraphs>
  <ScaleCrop>false</ScaleCrop>
  <Company>Author-it Software Corporation Ltd.</Company>
  <LinksUpToDate>false</LinksUpToDate>
  <CharactersWithSpaces>20046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UEPOPS411A Run Up a Steam Turbine</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2012-05-26T22:28:00Z</dcterms:created>
  <dcterms:modified xsi:type="dcterms:W3CDTF">2012-05-26T22:28:00Z</dcterms:modified>
</cp:coreProperties>
</file>