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256B" w:rsidP="000F256B">
      <w:pPr>
        <w:pStyle w:val="Title"/>
      </w:pPr>
      <w:r>
        <w:fldChar w:fldCharType="begin"/>
      </w:r>
      <w:r>
        <w:instrText xml:space="preserve"> TITLE   \* MERGEFORMAT </w:instrText>
      </w:r>
      <w:r>
        <w:fldChar w:fldCharType="separate"/>
      </w:r>
      <w:r>
        <w:t>UEPOPS357A Operate H.V. Secondary Switchgear</w:t>
      </w:r>
      <w:r>
        <w:fldChar w:fldCharType="end"/>
      </w:r>
    </w:p>
    <w:p w:rsidR="000F256B" w:rsidP="000F256B">
      <w:pPr>
        <w:pStyle w:val="Version"/>
        <w:sectPr w:rsidSect="00867B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7BC4" w:rsidP="00867BC4">
      <w:pPr>
        <w:pStyle w:val="SuperHeading"/>
      </w:pPr>
      <w:r w:rsidRPr="00867BC4">
        <w:t>UEPOPS357A Operate H.V. Secondary Switchgear</w:t>
      </w:r>
    </w:p>
    <w:p w:rsidR="00000000" w:rsidRPr="00867BC4" w:rsidP="00867BC4">
      <w:pPr>
        <w:pStyle w:val="Heading1"/>
      </w:pPr>
      <w:bookmarkStart w:id="1" w:name="O_275354"/>
      <w:bookmarkEnd w:id="1"/>
      <w:r w:rsidRPr="00867BC4">
        <w:t>Modification History</w:t>
      </w:r>
    </w:p>
    <w:p w:rsidR="00000000" w:rsidRPr="00867BC4" w:rsidP="00867BC4">
      <w:pPr>
        <w:pStyle w:val="BodyText"/>
      </w:pPr>
      <w:r w:rsidRPr="00867BC4">
        <w:t>Not Applicable</w:t>
      </w:r>
    </w:p>
    <w:p w:rsidR="00000000" w:rsidRPr="00867BC4" w:rsidP="00867BC4">
      <w:pPr>
        <w:pStyle w:val="AllowPageBreak"/>
      </w:pPr>
    </w:p>
    <w:p w:rsidR="00000000" w:rsidRPr="00867BC4" w:rsidP="00867BC4">
      <w:pPr>
        <w:pStyle w:val="Heading1"/>
      </w:pPr>
      <w:bookmarkStart w:id="2" w:name="O_230742"/>
      <w:bookmarkEnd w:id="2"/>
      <w:r w:rsidRPr="00867BC4">
        <w:t>Unit Descriptor</w:t>
      </w:r>
    </w:p>
    <w:tbl>
      <w:tblPr>
        <w:tblW w:w="0" w:type="auto"/>
        <w:tblLayout w:type="fixed"/>
        <w:tblCellMar>
          <w:left w:w="62" w:type="dxa"/>
          <w:right w:w="62" w:type="dxa"/>
        </w:tblCellMar>
        <w:tblLook w:val="0000"/>
      </w:tblPr>
      <w:tblGrid>
        <w:gridCol w:w="2700"/>
        <w:gridCol w:w="5760"/>
      </w:tblGrid>
      <w:tr w:rsidTr="000F256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67BC4" w:rsidP="00867BC4">
            <w:pPr>
              <w:pStyle w:val="BodyText"/>
            </w:pPr>
            <w:r w:rsidRPr="00867BC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rPr>
                <w:rStyle w:val="SpecialBold"/>
              </w:rPr>
              <w:t>1</w:t>
            </w:r>
            <w:r w:rsidRPr="00867BC4">
              <w:t xml:space="preserve">) </w:t>
            </w:r>
          </w:p>
        </w:tc>
      </w:tr>
      <w:tr w:rsidTr="000F25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67BC4" w:rsidP="00867BC4">
            <w:pPr>
              <w:pStyle w:val="BodyText"/>
            </w:pPr>
            <w:r w:rsidRPr="00867BC4">
              <w:t>This unit deals with the skills and knowledge required to undertake the local operation of high voltage secondary circuit breaking devices.</w:t>
            </w:r>
          </w:p>
        </w:tc>
      </w:tr>
    </w:tbl>
    <w:p w:rsidR="000F256B" w:rsidP="00867BC4">
      <w:pPr>
        <w:pStyle w:val="BodyText"/>
      </w:pPr>
    </w:p>
    <w:p w:rsidR="000F256B" w:rsidP="00867BC4">
      <w:pPr>
        <w:pStyle w:val="BodyText"/>
      </w:pPr>
    </w:p>
    <w:p w:rsidR="00000000" w:rsidRPr="00867BC4" w:rsidP="00867BC4">
      <w:pPr>
        <w:pStyle w:val="Heading1"/>
      </w:pPr>
      <w:bookmarkStart w:id="3" w:name="O_230745"/>
      <w:bookmarkEnd w:id="3"/>
      <w:r w:rsidRPr="00867BC4">
        <w:t>Application of the Unit</w:t>
      </w:r>
    </w:p>
    <w:tbl>
      <w:tblPr>
        <w:tblW w:w="0" w:type="auto"/>
        <w:tblLayout w:type="fixed"/>
        <w:tblCellMar>
          <w:left w:w="62" w:type="dxa"/>
          <w:right w:w="62" w:type="dxa"/>
        </w:tblCellMar>
        <w:tblLook w:val="0000"/>
      </w:tblPr>
      <w:tblGrid>
        <w:gridCol w:w="2700"/>
        <w:gridCol w:w="5760"/>
      </w:tblGrid>
      <w:tr w:rsidTr="000F256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67BC4" w:rsidP="00867BC4">
            <w:pPr>
              <w:pStyle w:val="BodyText"/>
            </w:pPr>
            <w:r w:rsidRPr="00867BC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rPr>
                <w:rStyle w:val="SpecialBold"/>
              </w:rPr>
              <w:t>3</w:t>
            </w:r>
            <w:r w:rsidRPr="00867BC4">
              <w:t xml:space="preserve">) </w:t>
            </w:r>
          </w:p>
        </w:tc>
      </w:tr>
      <w:tr w:rsidTr="000F25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 xml:space="preserve">This unit is intended to augment formally </w:t>
            </w:r>
            <w:r w:rsidRPr="00867BC4">
              <w:t>acquired competencies. It is suitable for employment-based programs under an approved contract of training.</w:t>
            </w:r>
          </w:p>
        </w:tc>
      </w:tr>
      <w:tr w:rsidTr="000F25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67BC4" w:rsidP="00867BC4">
            <w:pPr>
              <w:pStyle w:val="BodyText"/>
            </w:pPr>
            <w:r w:rsidRPr="00867BC4">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rPr>
                <w:rStyle w:val="SpecialBold"/>
              </w:rPr>
              <w:t>3</w:t>
            </w:r>
            <w:r w:rsidRPr="00867BC4">
              <w:t>.</w:t>
            </w:r>
            <w:r w:rsidRPr="00867BC4">
              <w:rPr>
                <w:rStyle w:val="SpecialBold"/>
              </w:rPr>
              <w:t>1</w:t>
            </w:r>
            <w:r w:rsidRPr="00867BC4">
              <w:t xml:space="preserve">) </w:t>
            </w:r>
          </w:p>
        </w:tc>
      </w:tr>
      <w:tr w:rsidTr="000F25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67BC4" w:rsidP="00867BC4">
            <w:pPr>
              <w:pStyle w:val="BodyText"/>
            </w:pPr>
            <w:r w:rsidRPr="00867BC4">
              <w:t>The skills and knowledge described in this unit do not require a licence to practise in the workplace. Howe</w:t>
            </w:r>
            <w:r w:rsidRPr="00867BC4">
              <w:t>ver, practice in this unit is subject to regulations directly related to Occupational Health and Safety.</w:t>
            </w:r>
          </w:p>
        </w:tc>
      </w:tr>
    </w:tbl>
    <w:p w:rsidR="000F256B" w:rsidP="00867BC4">
      <w:pPr>
        <w:pStyle w:val="BodyText"/>
      </w:pPr>
    </w:p>
    <w:p w:rsidR="000F256B" w:rsidP="00867BC4">
      <w:pPr>
        <w:pStyle w:val="BodyText"/>
      </w:pPr>
    </w:p>
    <w:p w:rsidR="00000000" w:rsidRPr="00867BC4" w:rsidP="00867BC4">
      <w:pPr>
        <w:pStyle w:val="Heading1"/>
      </w:pPr>
      <w:bookmarkStart w:id="4" w:name="O_282888"/>
      <w:bookmarkEnd w:id="4"/>
      <w:r w:rsidRPr="00867BC4">
        <w:t>Licensing/Regulatory Information</w:t>
      </w:r>
    </w:p>
    <w:p w:rsidR="00000000" w:rsidRPr="00867BC4" w:rsidP="00867BC4">
      <w:pPr>
        <w:pStyle w:val="BodyText"/>
      </w:pPr>
      <w:r w:rsidRPr="00867BC4">
        <w:t>Not Applicable</w:t>
      </w:r>
    </w:p>
    <w:p w:rsidR="00000000" w:rsidRPr="00867BC4" w:rsidP="00867BC4">
      <w:pPr>
        <w:pStyle w:val="AllowPageBreak"/>
      </w:pPr>
    </w:p>
    <w:p w:rsidR="00000000" w:rsidRPr="00867BC4" w:rsidP="00867BC4">
      <w:pPr>
        <w:pStyle w:val="Heading1"/>
      </w:pPr>
      <w:bookmarkStart w:id="5" w:name="O_230743"/>
      <w:bookmarkEnd w:id="5"/>
      <w:r w:rsidRPr="00867BC4">
        <w:t>Pre-Requisites</w:t>
      </w:r>
    </w:p>
    <w:tbl>
      <w:tblPr>
        <w:tblW w:w="0" w:type="auto"/>
        <w:tblLayout w:type="fixed"/>
        <w:tblCellMar>
          <w:left w:w="62" w:type="dxa"/>
          <w:right w:w="62" w:type="dxa"/>
        </w:tblCellMar>
        <w:tblLook w:val="0000"/>
      </w:tblPr>
      <w:tblGrid>
        <w:gridCol w:w="2700"/>
        <w:gridCol w:w="5760"/>
      </w:tblGrid>
      <w:tr w:rsidTr="000F256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67BC4" w:rsidP="00867BC4">
            <w:pPr>
              <w:pStyle w:val="BodyText"/>
            </w:pPr>
            <w:r w:rsidRPr="00867BC4">
              <w:rPr>
                <w:rStyle w:val="SpecialBold"/>
              </w:rPr>
              <w:t>Prerequisite Unit</w:t>
            </w:r>
            <w:r w:rsidRPr="00867BC4">
              <w:t>(</w:t>
            </w:r>
            <w:r w:rsidRPr="00867BC4">
              <w:rPr>
                <w:rStyle w:val="SpecialBold"/>
              </w:rPr>
              <w:t>s</w:t>
            </w:r>
            <w:r w:rsidRPr="00867BC4">
              <w:t>)</w:t>
            </w:r>
          </w:p>
        </w:tc>
        <w:tc>
          <w:tcPr>
            <w:tcW w:w="5760"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rPr>
                <w:rStyle w:val="SpecialBold"/>
              </w:rPr>
              <w:t>2</w:t>
            </w:r>
            <w:r w:rsidRPr="00867BC4">
              <w:t xml:space="preserve">) </w:t>
            </w:r>
          </w:p>
        </w:tc>
      </w:tr>
      <w:tr w:rsidTr="000F25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67BC4" w:rsidP="00867BC4">
            <w:pPr>
              <w:pStyle w:val="BodyText"/>
            </w:pPr>
            <w:r w:rsidRPr="00867BC4">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rPr>
                <w:rStyle w:val="SpecialBold"/>
              </w:rPr>
              <w:t>2</w:t>
            </w:r>
            <w:r w:rsidRPr="00867BC4">
              <w:t>.</w:t>
            </w:r>
            <w:r w:rsidRPr="00867BC4">
              <w:rPr>
                <w:rStyle w:val="SpecialBold"/>
              </w:rPr>
              <w:t>1</w:t>
            </w:r>
            <w:r w:rsidRPr="00867BC4">
              <w:t xml:space="preserve">) </w:t>
            </w:r>
          </w:p>
        </w:tc>
      </w:tr>
      <w:tr w:rsidTr="000F25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67BC4" w:rsidP="00867BC4">
            <w:pPr>
              <w:pStyle w:val="BodyText"/>
            </w:pPr>
            <w:r w:rsidRPr="00867BC4">
              <w:t>There are no prerequisite units.</w:t>
            </w:r>
          </w:p>
        </w:tc>
      </w:tr>
    </w:tbl>
    <w:p w:rsidR="000F256B" w:rsidP="00867BC4">
      <w:pPr>
        <w:pStyle w:val="BodyText"/>
      </w:pPr>
    </w:p>
    <w:p w:rsidR="000F256B" w:rsidP="00867BC4">
      <w:pPr>
        <w:pStyle w:val="BodyText"/>
      </w:pPr>
    </w:p>
    <w:p w:rsidR="00000000" w:rsidRPr="00867BC4" w:rsidP="00867BC4">
      <w:pPr>
        <w:pStyle w:val="Heading1"/>
      </w:pPr>
      <w:bookmarkStart w:id="6" w:name="O_285603"/>
      <w:bookmarkEnd w:id="6"/>
      <w:r w:rsidRPr="00867BC4">
        <w:t>Employability Skills Information</w:t>
      </w:r>
    </w:p>
    <w:p w:rsidR="00000000" w:rsidRPr="00867BC4" w:rsidP="00867BC4">
      <w:pPr>
        <w:pStyle w:val="BodyText"/>
      </w:pPr>
      <w:r w:rsidRPr="00867BC4">
        <w:t>Refer to the Evidence Guide</w:t>
      </w:r>
    </w:p>
    <w:p w:rsidR="00000000" w:rsidRPr="00867BC4" w:rsidP="00867BC4">
      <w:pPr>
        <w:pStyle w:val="AllowPageBreak"/>
      </w:pPr>
    </w:p>
    <w:p w:rsidR="00000000" w:rsidRPr="00867BC4" w:rsidP="00867BC4">
      <w:pPr>
        <w:pStyle w:val="Heading1"/>
      </w:pPr>
      <w:bookmarkStart w:id="7" w:name="O_293400"/>
      <w:bookmarkEnd w:id="7"/>
      <w:r w:rsidRPr="00867BC4">
        <w:t>Elements and Performance Criteria Pre-Content</w:t>
      </w:r>
    </w:p>
    <w:tbl>
      <w:tblPr>
        <w:tblW w:w="0" w:type="auto"/>
        <w:tblLayout w:type="fixed"/>
        <w:tblCellMar>
          <w:left w:w="62" w:type="dxa"/>
          <w:right w:w="62" w:type="dxa"/>
        </w:tblCellMar>
        <w:tblLook w:val="0000"/>
      </w:tblPr>
      <w:tblGrid>
        <w:gridCol w:w="2700"/>
        <w:gridCol w:w="5760"/>
      </w:tblGrid>
      <w:tr w:rsidTr="000F25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rPr>
                <w:rStyle w:val="SpecialBold"/>
              </w:rPr>
              <w:t>5</w:t>
            </w:r>
            <w:r w:rsidRPr="00867BC4">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867BC4" w:rsidP="00867BC4">
            <w:pPr>
              <w:pStyle w:val="BodyText"/>
            </w:pPr>
            <w:r w:rsidRPr="00867BC4">
              <w:t>Performanc</w:t>
            </w:r>
            <w:r w:rsidRPr="00867BC4">
              <w:t>e Criteria describe the required performance needed to demonstrate achievement of the element. Assessment of performance is to be consistent with the evidence guide.</w:t>
            </w:r>
          </w:p>
        </w:tc>
      </w:tr>
    </w:tbl>
    <w:p w:rsidR="00000000" w:rsidRPr="00867BC4" w:rsidP="00867BC4">
      <w:pPr>
        <w:pStyle w:val="BodyText"/>
      </w:pPr>
    </w:p>
    <w:p w:rsidR="00000000" w:rsidRPr="00867BC4" w:rsidP="00867BC4">
      <w:pPr>
        <w:pStyle w:val="AllowPageBreak"/>
      </w:pPr>
    </w:p>
    <w:p w:rsidR="00000000" w:rsidRPr="00867BC4" w:rsidP="00867BC4">
      <w:pPr>
        <w:pStyle w:val="Heading1"/>
      </w:pPr>
      <w:bookmarkStart w:id="8" w:name="O_240068"/>
      <w:bookmarkEnd w:id="8"/>
      <w:r w:rsidRPr="00867BC4">
        <w:t>Elements and Performance Criteria</w:t>
      </w:r>
    </w:p>
    <w:tbl>
      <w:tblPr>
        <w:tblW w:w="0" w:type="auto"/>
        <w:tblLayout w:type="fixed"/>
        <w:tblCellMar>
          <w:left w:w="62" w:type="dxa"/>
          <w:right w:w="62" w:type="dxa"/>
        </w:tblCellMar>
        <w:tblLook w:val="0000"/>
      </w:tblPr>
      <w:tblGrid>
        <w:gridCol w:w="404"/>
        <w:gridCol w:w="2296"/>
        <w:gridCol w:w="630"/>
        <w:gridCol w:w="5130"/>
      </w:tblGrid>
      <w:tr w:rsidTr="000F256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67BC4" w:rsidP="00867BC4">
            <w:pPr>
              <w:pStyle w:val="BodyText"/>
            </w:pPr>
            <w:r w:rsidRPr="00867BC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rPr>
                <w:rStyle w:val="SpecialBold"/>
              </w:rPr>
              <w:t>PERFORMANCE CRITERIA</w:t>
            </w:r>
          </w:p>
        </w:tc>
      </w:tr>
      <w:tr w:rsidTr="000F25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1</w:t>
            </w:r>
          </w:p>
        </w:tc>
        <w:tc>
          <w:tcPr>
            <w:tcW w:w="2296" w:type="dxa"/>
            <w:vMerge w:val="restart"/>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Prepare to operate secondary switchgear</w:t>
            </w:r>
          </w:p>
        </w:tc>
        <w:tc>
          <w:tcPr>
            <w:tcW w:w="630"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1.1</w:t>
            </w:r>
          </w:p>
        </w:tc>
        <w:tc>
          <w:tcPr>
            <w:tcW w:w="5130"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Work requirements are identified and clarified/confirmed with appropriate parties in accordance with enterprise procedures</w:t>
            </w:r>
          </w:p>
        </w:tc>
      </w:tr>
      <w:tr w:rsidTr="000F25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1.2</w:t>
            </w:r>
          </w:p>
        </w:tc>
        <w:tc>
          <w:tcPr>
            <w:tcW w:w="5130"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 xml:space="preserve">Procedures/safety precautions when operating H.V. switch gears are identified and </w:t>
            </w:r>
            <w:r w:rsidRPr="00867BC4">
              <w:t>recognised in accordance with enterprise procedures</w:t>
            </w:r>
          </w:p>
        </w:tc>
      </w:tr>
      <w:tr w:rsidTr="000F25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1.3</w:t>
            </w:r>
          </w:p>
        </w:tc>
        <w:tc>
          <w:tcPr>
            <w:tcW w:w="5130"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Location of switchgear is determined from appropriate drawings, plans and maps</w:t>
            </w:r>
          </w:p>
        </w:tc>
      </w:tr>
      <w:tr w:rsidTr="000F25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1.4</w:t>
            </w:r>
          </w:p>
        </w:tc>
        <w:tc>
          <w:tcPr>
            <w:tcW w:w="5130"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Identify switch gear type and determine correct operating procedure in accordance with enterprise procedures</w:t>
            </w:r>
          </w:p>
        </w:tc>
      </w:tr>
      <w:tr w:rsidTr="000F25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1.5</w:t>
            </w:r>
          </w:p>
        </w:tc>
        <w:tc>
          <w:tcPr>
            <w:tcW w:w="5130"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Examine and assess switch gear condition for safe operation in accordance with enterprise procedures</w:t>
            </w:r>
          </w:p>
        </w:tc>
      </w:tr>
      <w:tr w:rsidTr="000F25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1.6</w:t>
            </w:r>
          </w:p>
        </w:tc>
        <w:tc>
          <w:tcPr>
            <w:tcW w:w="5130"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Suppress related protection if and where necessary in accordance with enterprise procedures</w:t>
            </w:r>
          </w:p>
        </w:tc>
      </w:tr>
      <w:tr w:rsidTr="000F25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1.7</w:t>
            </w:r>
          </w:p>
        </w:tc>
        <w:tc>
          <w:tcPr>
            <w:tcW w:w="5130"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Where appropriate, the teams and individuals roles and responsibilities within the team are identified and, where required, assist in the provision of the on-the-job training</w:t>
            </w:r>
          </w:p>
        </w:tc>
      </w:tr>
      <w:tr w:rsidTr="000F25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2</w:t>
            </w:r>
          </w:p>
        </w:tc>
        <w:tc>
          <w:tcPr>
            <w:tcW w:w="2296" w:type="dxa"/>
            <w:vMerge w:val="restart"/>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Operate switch gear</w:t>
            </w:r>
          </w:p>
        </w:tc>
        <w:tc>
          <w:tcPr>
            <w:tcW w:w="630"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2.1</w:t>
            </w:r>
          </w:p>
        </w:tc>
        <w:tc>
          <w:tcPr>
            <w:tcW w:w="5130"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 xml:space="preserve">Mechanical operation and limitations of the equipment </w:t>
            </w:r>
            <w:r w:rsidRPr="00867BC4">
              <w:t>are identified in accordance with enterprise procedures</w:t>
            </w:r>
          </w:p>
        </w:tc>
      </w:tr>
      <w:tr w:rsidTr="000F25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2.2</w:t>
            </w:r>
          </w:p>
        </w:tc>
        <w:tc>
          <w:tcPr>
            <w:tcW w:w="5130"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Implications of actions are identified and recognised in accordance with enterprise procedures</w:t>
            </w:r>
          </w:p>
        </w:tc>
      </w:tr>
      <w:tr w:rsidTr="000F25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2.3</w:t>
            </w:r>
          </w:p>
        </w:tc>
        <w:tc>
          <w:tcPr>
            <w:tcW w:w="5130"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Switch gear is operated and confirmation that re</w:t>
            </w:r>
            <w:r w:rsidRPr="00867BC4">
              <w:t>quired status has been achieved is given in accordance with enterprise procedures</w:t>
            </w:r>
          </w:p>
        </w:tc>
      </w:tr>
      <w:tr w:rsidTr="000F25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2.4</w:t>
            </w:r>
          </w:p>
        </w:tc>
        <w:tc>
          <w:tcPr>
            <w:tcW w:w="5130"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Racking, testing, isolation, circuit earthing and reinstatement procedures are carried out to manufacturer instructions and enterprise/site procedures</w:t>
            </w:r>
          </w:p>
        </w:tc>
      </w:tr>
      <w:tr w:rsidTr="000F25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2.5</w:t>
            </w:r>
          </w:p>
        </w:tc>
        <w:tc>
          <w:tcPr>
            <w:tcW w:w="5130"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Confirm t</w:t>
            </w:r>
            <w:r w:rsidRPr="00867BC4">
              <w:t>est equipment's integrity and prove circuit de-energised in accordance with operating procedures</w:t>
            </w:r>
          </w:p>
        </w:tc>
      </w:tr>
      <w:tr w:rsidTr="000F25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3</w:t>
            </w:r>
          </w:p>
        </w:tc>
        <w:tc>
          <w:tcPr>
            <w:tcW w:w="2296"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Validate switch gear integrity</w:t>
            </w:r>
          </w:p>
        </w:tc>
        <w:tc>
          <w:tcPr>
            <w:tcW w:w="630"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3.1</w:t>
            </w:r>
          </w:p>
        </w:tc>
        <w:tc>
          <w:tcPr>
            <w:tcW w:w="5130"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Equipment inspected for safe operation in accordance with enterprise procedures</w:t>
            </w:r>
          </w:p>
        </w:tc>
      </w:tr>
      <w:tr w:rsidTr="000F25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3.2</w:t>
            </w:r>
          </w:p>
        </w:tc>
        <w:tc>
          <w:tcPr>
            <w:tcW w:w="5130"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Switch gear environment is inspected to ensure all statutory requirements are met</w:t>
            </w:r>
          </w:p>
        </w:tc>
      </w:tr>
      <w:tr w:rsidTr="000F25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3.3</w:t>
            </w:r>
          </w:p>
        </w:tc>
        <w:tc>
          <w:tcPr>
            <w:tcW w:w="5130"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Confirm switch gear operates in accordance with manufacturer specifications</w:t>
            </w:r>
          </w:p>
        </w:tc>
      </w:tr>
      <w:tr w:rsidTr="000F25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4</w:t>
            </w:r>
          </w:p>
        </w:tc>
        <w:tc>
          <w:tcPr>
            <w:tcW w:w="2296"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Complete documentation</w:t>
            </w:r>
          </w:p>
        </w:tc>
        <w:tc>
          <w:tcPr>
            <w:tcW w:w="630"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4.1</w:t>
            </w:r>
          </w:p>
        </w:tc>
        <w:tc>
          <w:tcPr>
            <w:tcW w:w="5130" w:type="dxa"/>
            <w:tcBorders>
              <w:top w:val="nil"/>
              <w:left w:val="nil"/>
              <w:bottom w:val="nil"/>
              <w:right w:val="nil"/>
            </w:tcBorders>
            <w:tcMar>
              <w:top w:w="0" w:type="dxa"/>
              <w:left w:w="62" w:type="dxa"/>
              <w:bottom w:w="0" w:type="dxa"/>
              <w:right w:w="62" w:type="dxa"/>
            </w:tcMar>
          </w:tcPr>
          <w:p w:rsidR="00000000" w:rsidRPr="00867BC4" w:rsidP="00867BC4">
            <w:pPr>
              <w:pStyle w:val="BodyText"/>
            </w:pPr>
            <w:r w:rsidRPr="00867BC4">
              <w:t>Documentation is updated, log sheets maintained and plant pro</w:t>
            </w:r>
            <w:r w:rsidRPr="00867BC4">
              <w:t>blems, movements, abnormalities and status are reported and logged in accordance with enterprise/site procedures</w:t>
            </w:r>
          </w:p>
        </w:tc>
      </w:tr>
    </w:tbl>
    <w:p w:rsidR="000F256B" w:rsidP="00867BC4">
      <w:pPr>
        <w:pStyle w:val="BodyText"/>
      </w:pPr>
    </w:p>
    <w:p w:rsidR="000F256B" w:rsidP="00867BC4">
      <w:pPr>
        <w:pStyle w:val="BodyText"/>
      </w:pPr>
    </w:p>
    <w:p w:rsidR="00000000" w:rsidRPr="00867BC4" w:rsidP="00867BC4">
      <w:pPr>
        <w:pStyle w:val="Heading1"/>
      </w:pPr>
      <w:bookmarkStart w:id="9" w:name="O_263859"/>
      <w:bookmarkEnd w:id="9"/>
      <w:r w:rsidRPr="00867BC4">
        <w:t>Required Skills and Knowledge</w:t>
      </w:r>
    </w:p>
    <w:tbl>
      <w:tblPr>
        <w:tblW w:w="0" w:type="auto"/>
        <w:tblLayout w:type="fixed"/>
        <w:tblCellMar>
          <w:left w:w="62" w:type="dxa"/>
          <w:right w:w="62" w:type="dxa"/>
        </w:tblCellMar>
        <w:tblLook w:val="0000"/>
      </w:tblPr>
      <w:tblGrid>
        <w:gridCol w:w="2700"/>
        <w:gridCol w:w="5760"/>
      </w:tblGrid>
      <w:tr w:rsidTr="000F256B">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rPr>
                <w:rStyle w:val="SpecialBold"/>
              </w:rPr>
              <w:t>REQUIRED SKILLS AND KNOWLEDGE</w:t>
            </w:r>
          </w:p>
        </w:tc>
      </w:tr>
      <w:tr w:rsidTr="000F256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rPr>
                <w:rStyle w:val="SpecialBold"/>
              </w:rPr>
              <w:t>6</w:t>
            </w:r>
            <w:r w:rsidRPr="00867BC4">
              <w:t>) This describes the essential skills and knowledge and their level, required for this unit.</w:t>
            </w:r>
          </w:p>
        </w:tc>
      </w:tr>
      <w:tr w:rsidTr="000F256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867BC4" w:rsidP="00867BC4">
            <w:pPr>
              <w:pStyle w:val="BodyText"/>
            </w:pPr>
            <w:r w:rsidRPr="00867BC4">
              <w:t>Evidence shall show that knowledge has been acquired of operating H.V. secondary switchgear.</w:t>
            </w:r>
          </w:p>
          <w:p w:rsidR="00000000" w:rsidP="00867BC4">
            <w:pPr>
              <w:pStyle w:val="BodyText"/>
              <w:rPr>
                <w:lang w:val="en-NZ"/>
              </w:rPr>
            </w:pPr>
            <w:r w:rsidRPr="00867BC4">
              <w:t>The extent of the Essential Knowledge and Associated Skills required</w:t>
            </w:r>
            <w:r w:rsidRPr="00867BC4">
              <w:t xml:space="preserve"> follows:</w:t>
            </w:r>
          </w:p>
        </w:tc>
      </w:tr>
      <w:tr w:rsidTr="000F25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67BC4" w:rsidP="00867BC4">
            <w:pPr>
              <w:pStyle w:val="BodyText"/>
            </w:pPr>
            <w:r w:rsidRPr="00867BC4">
              <w:t>Evidence shall show that knowledge has been acquired for safe working practices of:</w:t>
            </w:r>
          </w:p>
          <w:p w:rsidR="00000000" w:rsidRPr="00867BC4" w:rsidP="00867BC4">
            <w:pPr>
              <w:pStyle w:val="ListBullet3"/>
            </w:pPr>
            <w:r w:rsidRPr="00867BC4">
              <w:t>Relevant occupational health and safety regulations</w:t>
            </w:r>
          </w:p>
          <w:p w:rsidR="00000000" w:rsidRPr="00867BC4" w:rsidP="00867BC4">
            <w:pPr>
              <w:pStyle w:val="ListBullet3"/>
            </w:pPr>
            <w:r w:rsidRPr="00867BC4">
              <w:t>Relevant statutory legislation</w:t>
            </w:r>
          </w:p>
          <w:p w:rsidR="00000000" w:rsidRPr="00867BC4" w:rsidP="00867BC4">
            <w:pPr>
              <w:pStyle w:val="ListBullet3"/>
            </w:pPr>
            <w:r w:rsidRPr="00867BC4">
              <w:t>Relevant enterprise/site safety procedures</w:t>
            </w:r>
          </w:p>
          <w:p w:rsidR="00000000" w:rsidRPr="00867BC4" w:rsidP="00867BC4">
            <w:pPr>
              <w:pStyle w:val="ListBullet3"/>
            </w:pPr>
            <w:r w:rsidRPr="00867BC4">
              <w:t>Enterprise/site emergency procedures and techniques</w:t>
            </w:r>
          </w:p>
          <w:p w:rsidR="00000000" w:rsidRPr="00867BC4" w:rsidP="00867BC4">
            <w:pPr>
              <w:pStyle w:val="ListBullet3"/>
            </w:pPr>
            <w:r w:rsidRPr="00867BC4">
              <w:t>Plant status</w:t>
            </w:r>
          </w:p>
          <w:p w:rsidR="00000000" w:rsidRPr="00867BC4" w:rsidP="00867BC4">
            <w:pPr>
              <w:pStyle w:val="ListBullet3"/>
            </w:pPr>
            <w:r w:rsidRPr="00867BC4">
              <w:t>Secondary switch gear operating parameters</w:t>
            </w:r>
          </w:p>
          <w:p w:rsidR="00000000" w:rsidRPr="00867BC4" w:rsidP="00867BC4">
            <w:pPr>
              <w:pStyle w:val="ListBullet3"/>
            </w:pPr>
            <w:r w:rsidRPr="00867BC4">
              <w:t>Relevant plant and equipment, it's location and operating parameters</w:t>
            </w:r>
          </w:p>
          <w:p w:rsidR="00000000" w:rsidRPr="00867BC4" w:rsidP="00867BC4">
            <w:pPr>
              <w:pStyle w:val="ListBullet3"/>
            </w:pPr>
            <w:r w:rsidRPr="00867BC4">
              <w:t>Enterprise recording procedures</w:t>
            </w:r>
          </w:p>
          <w:p w:rsidR="00000000" w:rsidRPr="00867BC4" w:rsidP="00867BC4">
            <w:pPr>
              <w:pStyle w:val="ListBullet3"/>
            </w:pPr>
            <w:r w:rsidRPr="00867BC4">
              <w:t>Consequences of operator actions</w:t>
            </w:r>
          </w:p>
          <w:p w:rsidR="00000000" w:rsidRPr="00867BC4" w:rsidP="00867BC4">
            <w:pPr>
              <w:pStyle w:val="ListBullet3"/>
            </w:pPr>
            <w:r w:rsidRPr="00867BC4">
              <w:t>H.V. power sys</w:t>
            </w:r>
            <w:r w:rsidRPr="00867BC4">
              <w:t>tems and parameters</w:t>
            </w:r>
          </w:p>
          <w:p w:rsidR="00000000" w:rsidRPr="00867BC4" w:rsidP="00867BC4">
            <w:pPr>
              <w:pStyle w:val="ListBullet3"/>
            </w:pPr>
            <w:r w:rsidRPr="00867BC4">
              <w:t>H.V. protection schemes</w:t>
            </w:r>
          </w:p>
          <w:p w:rsidR="00000000" w:rsidRPr="00867BC4" w:rsidP="00867BC4">
            <w:pPr>
              <w:pStyle w:val="ListBullet3"/>
            </w:pPr>
            <w:r w:rsidRPr="00867BC4">
              <w:t>Enterprise procedures</w:t>
            </w:r>
          </w:p>
          <w:p w:rsidR="00000000" w:rsidRPr="00867BC4" w:rsidP="00867BC4">
            <w:pPr>
              <w:pStyle w:val="ListBullet3"/>
            </w:pPr>
            <w:r w:rsidRPr="00867BC4">
              <w:t>Secondary switch gear construction and operation</w:t>
            </w:r>
          </w:p>
          <w:p w:rsidR="00000000" w:rsidRPr="00867BC4" w:rsidP="00867BC4">
            <w:pPr>
              <w:pStyle w:val="ListBullet3"/>
            </w:pPr>
            <w:r w:rsidRPr="00867BC4">
              <w:t>Isolation and earthing procedures</w:t>
            </w:r>
          </w:p>
          <w:p w:rsidR="00000000" w:rsidP="00867BC4">
            <w:pPr>
              <w:pStyle w:val="ListBullet3"/>
              <w:rPr>
                <w:lang w:val="en-NZ"/>
              </w:rPr>
            </w:pPr>
            <w:r w:rsidRPr="00867BC4">
              <w:t>Communication principles</w:t>
            </w:r>
          </w:p>
        </w:tc>
      </w:tr>
      <w:tr w:rsidTr="000F25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67BC4" w:rsidP="00867BC4">
            <w:pPr>
              <w:pStyle w:val="BodyText"/>
            </w:pPr>
            <w:r w:rsidRPr="00867BC4">
              <w:t>Specific skills needed to achieve the Performance Criteria:</w:t>
            </w:r>
          </w:p>
          <w:p w:rsidR="00000000" w:rsidRPr="00867BC4" w:rsidP="00867BC4">
            <w:pPr>
              <w:pStyle w:val="ListBullet3"/>
            </w:pPr>
            <w:r w:rsidRPr="00867BC4">
              <w:t>Apply relevant occupational health and safety regulations</w:t>
            </w:r>
          </w:p>
          <w:p w:rsidR="00000000" w:rsidRPr="00867BC4" w:rsidP="00867BC4">
            <w:pPr>
              <w:pStyle w:val="ListBullet3"/>
            </w:pPr>
            <w:r w:rsidRPr="00867BC4">
              <w:t>Apply relevant statutory legislation</w:t>
            </w:r>
          </w:p>
          <w:p w:rsidR="00000000" w:rsidRPr="00867BC4" w:rsidP="00867BC4">
            <w:pPr>
              <w:pStyle w:val="ListBullet3"/>
            </w:pPr>
            <w:r w:rsidRPr="00867BC4">
              <w:t>Apply relevant enterprise/site safety procedures</w:t>
            </w:r>
          </w:p>
          <w:p w:rsidR="00000000" w:rsidRPr="00867BC4" w:rsidP="00867BC4">
            <w:pPr>
              <w:pStyle w:val="ListBullet3"/>
            </w:pPr>
            <w:r w:rsidRPr="00867BC4">
              <w:t>Apply enterprise/site emergency procedures and techniques</w:t>
            </w:r>
          </w:p>
          <w:p w:rsidR="00000000" w:rsidRPr="00867BC4" w:rsidP="00867BC4">
            <w:pPr>
              <w:pStyle w:val="ListBullet3"/>
            </w:pPr>
            <w:r w:rsidRPr="00867BC4">
              <w:t>Apply enterprise recording procedures</w:t>
            </w:r>
          </w:p>
          <w:p w:rsidR="00000000" w:rsidRPr="00867BC4" w:rsidP="00867BC4">
            <w:pPr>
              <w:pStyle w:val="ListBullet3"/>
            </w:pPr>
            <w:r w:rsidRPr="00867BC4">
              <w:t xml:space="preserve">Locate relevant </w:t>
            </w:r>
            <w:r w:rsidRPr="00867BC4">
              <w:t>plant and equipment</w:t>
            </w:r>
          </w:p>
          <w:p w:rsidR="00000000" w:rsidRPr="00867BC4" w:rsidP="00867BC4">
            <w:pPr>
              <w:pStyle w:val="ListBullet3"/>
            </w:pPr>
            <w:r w:rsidRPr="00867BC4">
              <w:t>Operate switch gear within design parameters</w:t>
            </w:r>
          </w:p>
          <w:p w:rsidR="00000000" w:rsidRPr="00867BC4" w:rsidP="00867BC4">
            <w:pPr>
              <w:pStyle w:val="ListBullet3"/>
            </w:pPr>
            <w:r w:rsidRPr="00867BC4">
              <w:t>Identify plant status</w:t>
            </w:r>
          </w:p>
          <w:p w:rsidR="00000000" w:rsidRPr="00867BC4" w:rsidP="00867BC4">
            <w:pPr>
              <w:pStyle w:val="ListBullet3"/>
            </w:pPr>
            <w:r w:rsidRPr="00867BC4">
              <w:t>Prepare equipment for operation</w:t>
            </w:r>
          </w:p>
          <w:p w:rsidR="00000000" w:rsidRPr="00867BC4" w:rsidP="00867BC4">
            <w:pPr>
              <w:pStyle w:val="ListBullet3"/>
            </w:pPr>
            <w:r w:rsidRPr="00867BC4">
              <w:t>Communicate effectively</w:t>
            </w:r>
          </w:p>
          <w:p w:rsidR="00000000" w:rsidRPr="00867BC4" w:rsidP="00867BC4">
            <w:pPr>
              <w:pStyle w:val="ListBullet3"/>
            </w:pPr>
            <w:r w:rsidRPr="00867BC4">
              <w:t>Recognise abnormal switch gear operation</w:t>
            </w:r>
          </w:p>
          <w:p w:rsidR="00000000" w:rsidRPr="00867BC4" w:rsidP="00867BC4">
            <w:pPr>
              <w:pStyle w:val="ListBullet3"/>
            </w:pPr>
            <w:r w:rsidRPr="00867BC4">
              <w:t>Plan and prioritise work</w:t>
            </w:r>
          </w:p>
          <w:p w:rsidR="00000000" w:rsidRPr="00867BC4" w:rsidP="00867BC4">
            <w:pPr>
              <w:pStyle w:val="ListBullet3"/>
            </w:pPr>
            <w:r w:rsidRPr="00867BC4">
              <w:t>Use plans, diagrams and symbols</w:t>
            </w:r>
          </w:p>
          <w:p w:rsidR="00000000" w:rsidRPr="00867BC4" w:rsidP="00867BC4">
            <w:pPr>
              <w:pStyle w:val="ListBullet3"/>
            </w:pPr>
            <w:r w:rsidRPr="00867BC4">
              <w:t>Operate protection equipment</w:t>
            </w:r>
          </w:p>
          <w:p w:rsidR="00000000" w:rsidRPr="00867BC4" w:rsidP="00867BC4">
            <w:pPr>
              <w:pStyle w:val="ListBullet3"/>
            </w:pPr>
            <w:r w:rsidRPr="00867BC4">
              <w:t>Isolate and earth</w:t>
            </w:r>
          </w:p>
          <w:p w:rsidR="00000000" w:rsidRPr="00867BC4" w:rsidP="00867BC4">
            <w:pPr>
              <w:pStyle w:val="ListBullet3"/>
            </w:pPr>
            <w:r w:rsidRPr="00867BC4">
              <w:t>Apply enterprise procedures.</w:t>
            </w:r>
          </w:p>
        </w:tc>
      </w:tr>
    </w:tbl>
    <w:p w:rsidR="000F256B" w:rsidP="00867BC4">
      <w:pPr>
        <w:pStyle w:val="BodyText"/>
      </w:pPr>
    </w:p>
    <w:p w:rsidR="000F256B" w:rsidP="00867BC4">
      <w:pPr>
        <w:pStyle w:val="BodyText"/>
      </w:pPr>
    </w:p>
    <w:p w:rsidR="00000000" w:rsidRPr="00867BC4" w:rsidP="00867BC4">
      <w:pPr>
        <w:pStyle w:val="Heading1"/>
      </w:pPr>
      <w:bookmarkStart w:id="10" w:name="O_248051"/>
      <w:bookmarkEnd w:id="10"/>
      <w:r w:rsidRPr="00867BC4">
        <w:t>Evidence Guide</w:t>
      </w:r>
    </w:p>
    <w:tbl>
      <w:tblPr>
        <w:tblW w:w="0" w:type="auto"/>
        <w:tblLayout w:type="fixed"/>
        <w:tblCellMar>
          <w:left w:w="62" w:type="dxa"/>
          <w:right w:w="62" w:type="dxa"/>
        </w:tblCellMar>
        <w:tblLook w:val="0000"/>
      </w:tblPr>
      <w:tblGrid>
        <w:gridCol w:w="2160"/>
        <w:gridCol w:w="6300"/>
      </w:tblGrid>
      <w:tr w:rsidTr="000F256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rPr>
                <w:rStyle w:val="SpecialBold"/>
              </w:rPr>
              <w:t>EVIDENCE GUIDE</w:t>
            </w:r>
          </w:p>
        </w:tc>
      </w:tr>
      <w:tr w:rsidTr="000F256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867BC4" w:rsidP="00867BC4">
            <w:pPr>
              <w:pStyle w:val="BodyText"/>
            </w:pPr>
            <w:r w:rsidRPr="00867BC4">
              <w:rPr>
                <w:rStyle w:val="SpecialBold"/>
              </w:rPr>
              <w:t>8</w:t>
            </w:r>
            <w:r w:rsidRPr="00867BC4">
              <w:t xml:space="preserve">) This provides essential advice for assessment of the unit of competency and must be read in conjunction </w:t>
            </w:r>
            <w:r w:rsidRPr="00867BC4">
              <w:t>with the Performance Criteria and the Range Statement of the unit and the Training Package Assessment Guidelines.</w:t>
            </w:r>
          </w:p>
          <w:p w:rsidR="00000000" w:rsidP="00867BC4">
            <w:pPr>
              <w:pStyle w:val="BodyText"/>
              <w:rPr>
                <w:lang w:val="en-NZ"/>
              </w:rPr>
            </w:pPr>
            <w:r w:rsidRPr="00867BC4">
              <w:t xml:space="preserve">The Evidence Guide forms an integral part of this Competency Standard Unit and shall be used in conjunction with all components parts of this </w:t>
            </w:r>
            <w:r w:rsidRPr="00867BC4">
              <w:t>unit and, performed in accordance with the Assessment Guidelines of this Training Package.</w:t>
            </w:r>
          </w:p>
        </w:tc>
      </w:tr>
      <w:tr w:rsidTr="000F25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67BC4" w:rsidP="00867BC4">
            <w:pPr>
              <w:pStyle w:val="BodyText"/>
            </w:pPr>
            <w:r w:rsidRPr="00867BC4">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867BC4" w:rsidP="00867BC4">
            <w:pPr>
              <w:pStyle w:val="BodyText"/>
            </w:pPr>
            <w:r w:rsidRPr="00867BC4">
              <w:rPr>
                <w:rStyle w:val="SpecialBold"/>
              </w:rPr>
              <w:t>8</w:t>
            </w:r>
            <w:r w:rsidRPr="00867BC4">
              <w:t>.</w:t>
            </w:r>
            <w:r w:rsidRPr="00867BC4">
              <w:rPr>
                <w:rStyle w:val="SpecialBold"/>
              </w:rPr>
              <w:t>1</w:t>
            </w:r>
            <w:r w:rsidRPr="00867BC4">
              <w:t xml:space="preserve">) </w:t>
            </w:r>
          </w:p>
          <w:p w:rsidR="00000000" w:rsidRPr="00867BC4" w:rsidP="00867BC4">
            <w:pPr>
              <w:pStyle w:val="BodyText"/>
            </w:pPr>
            <w:r w:rsidRPr="00867BC4">
              <w:t xml:space="preserve">Longitude competency development approaches to assessment, such as Profiling, require data to be reliably gathered in a form that can </w:t>
            </w:r>
            <w:r w:rsidRPr="00867BC4">
              <w:t xml:space="preserve">be consistently interpreted over time. This approach is best utilised in Apprenticeship programs and reduces assessment intervention. It is the Industry's preferred model for apprenticeships. However, where summative (or final) assessment is used it is to </w:t>
            </w:r>
            <w:r w:rsidRPr="00867BC4">
              <w:t>include the application of the competency in the normal work environment or, at a minimum, the application of the competency in a realistically simulated work environment. It is recognised that, in some circumstances, assessment in part or full can occur o</w:t>
            </w:r>
            <w:r w:rsidRPr="00867BC4">
              <w:t>utside the workplace. However, it must be in accord with Industry and, Regulatory policy in this regard.</w:t>
            </w:r>
          </w:p>
          <w:p w:rsidR="00000000" w:rsidRPr="00867BC4" w:rsidP="00867BC4">
            <w:pPr>
              <w:pStyle w:val="BodyText"/>
            </w:pPr>
            <w:r w:rsidRPr="00867BC4">
              <w:t>Methods chosen for a particular assessment will be influenced by various factors. These include the extent of the assessment, the most effective locati</w:t>
            </w:r>
            <w:r w:rsidRPr="00867BC4">
              <w:t>ons for the assessment activities to take place, access to physical resources, additional safety measures that may be required and the critical nature of the competencies being assessed.</w:t>
            </w:r>
          </w:p>
          <w:p w:rsidR="00000000" w:rsidRPr="00867BC4" w:rsidP="00867BC4">
            <w:pPr>
              <w:pStyle w:val="BodyText"/>
            </w:pPr>
            <w:r w:rsidRPr="00867BC4">
              <w:t>The critical safety nature of working with electricity, electrical eq</w:t>
            </w:r>
            <w:r w:rsidRPr="00867BC4">
              <w:t>uipment, gas or any other hazardous substance/material carries risk in deeming a person competent. Hence, sources of evidence need to be 'rich' in nature so as to minimise error in judgment.</w:t>
            </w:r>
          </w:p>
          <w:p w:rsidR="00000000" w:rsidRPr="00867BC4" w:rsidP="00867BC4">
            <w:pPr>
              <w:pStyle w:val="BodyText"/>
            </w:pPr>
            <w:r w:rsidRPr="00867BC4">
              <w:t>Activities associated with normal every day work have a bearing o</w:t>
            </w:r>
            <w:r w:rsidRPr="00867BC4">
              <w:t>n the decision as to how much and how detailed the data gathered will contribute to its 'richness'. Some skills are more critical to safety and operational requirements while the same skills may be more or less frequently practised. These points are raised</w:t>
            </w:r>
            <w:r w:rsidRPr="00867BC4">
              <w:t xml:space="preserve"> for the assessors to consider when choosing an assessment method and developing assessment instruments. Sample assessment instruments are included for Assessors in the Assessment Guidelines of this Training Package.</w:t>
            </w:r>
          </w:p>
        </w:tc>
      </w:tr>
    </w:tbl>
    <w:p w:rsidR="00000000" w:rsidRPr="00867BC4" w:rsidP="00867BC4">
      <w:pPr>
        <w:pStyle w:val="BodyText"/>
      </w:pPr>
    </w:p>
    <w:tbl>
      <w:tblPr>
        <w:tblW w:w="0" w:type="auto"/>
        <w:tblLayout w:type="fixed"/>
        <w:tblCellMar>
          <w:left w:w="62" w:type="dxa"/>
          <w:right w:w="62" w:type="dxa"/>
        </w:tblCellMar>
        <w:tblLook w:val="0000"/>
      </w:tblPr>
      <w:tblGrid>
        <w:gridCol w:w="2160"/>
        <w:gridCol w:w="6300"/>
      </w:tblGrid>
      <w:tr w:rsidTr="000F256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67BC4" w:rsidP="00867BC4">
            <w:pPr>
              <w:pStyle w:val="BodyText"/>
            </w:pPr>
            <w:r w:rsidRPr="00867BC4">
              <w:rPr>
                <w:rStyle w:val="SpecialBold"/>
              </w:rPr>
              <w:t>Critical aspects of evidence required</w:t>
            </w:r>
            <w:r w:rsidRPr="00867BC4">
              <w:rPr>
                <w:rStyle w:val="SpecialBold"/>
              </w:rPr>
              <w:t xml:space="preserve">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867BC4" w:rsidP="00867BC4">
            <w:pPr>
              <w:pStyle w:val="BodyText"/>
            </w:pPr>
            <w:r w:rsidRPr="00867BC4">
              <w:rPr>
                <w:rStyle w:val="SpecialBold"/>
              </w:rPr>
              <w:t>8</w:t>
            </w:r>
            <w:r w:rsidRPr="00867BC4">
              <w:t>.</w:t>
            </w:r>
            <w:r w:rsidRPr="00867BC4">
              <w:rPr>
                <w:rStyle w:val="SpecialBold"/>
              </w:rPr>
              <w:t>2</w:t>
            </w:r>
            <w:r w:rsidRPr="00867BC4">
              <w:t xml:space="preserve">) </w:t>
            </w:r>
          </w:p>
          <w:p w:rsidR="00000000" w:rsidP="00867BC4">
            <w:pPr>
              <w:pStyle w:val="BodyText"/>
              <w:rPr>
                <w:lang w:val="en-NZ"/>
              </w:rPr>
            </w:pPr>
            <w:r w:rsidRPr="00867BC4">
              <w:t>Before the critical aspects of evidence are considered all prerequisites shall be met.</w:t>
            </w:r>
          </w:p>
        </w:tc>
      </w:tr>
      <w:tr w:rsidTr="000F256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867BC4" w:rsidP="00867BC4">
            <w:pPr>
              <w:pStyle w:val="BodyText"/>
            </w:pPr>
            <w:r w:rsidRPr="00867BC4">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867BC4">
            <w:pPr>
              <w:pStyle w:val="ListBullet"/>
              <w:rPr>
                <w:lang w:val="en-NZ"/>
              </w:rPr>
            </w:pPr>
            <w:r w:rsidRPr="00867BC4">
              <w:t>A representative body of Performance Criteria demonstrated within the timeframes typically expected of the discipline, work function and industrial environment. In particular this shall incorporate evidence that shows a candidate is able to:</w:t>
            </w:r>
          </w:p>
        </w:tc>
      </w:tr>
      <w:tr w:rsidTr="000F25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867BC4" w:rsidP="00867BC4">
            <w:pPr>
              <w:pStyle w:val="ListBullet3"/>
            </w:pPr>
            <w:r w:rsidRPr="00867BC4">
              <w:t xml:space="preserve">Implement </w:t>
            </w:r>
            <w:r w:rsidRPr="00867BC4">
              <w:t>Occupational Health and Safety workplace procedures and practices including the use of risk control measures as specified in the Performance Criteria and Range Statement</w:t>
            </w:r>
          </w:p>
          <w:p w:rsidR="00000000" w:rsidRPr="00867BC4" w:rsidP="00867BC4">
            <w:pPr>
              <w:pStyle w:val="ListBullet3"/>
            </w:pPr>
            <w:r w:rsidRPr="00867BC4">
              <w:t>Apply sustainable energy principles and practices as specified in the Performance Criteria and Range Statement</w:t>
            </w:r>
          </w:p>
          <w:p w:rsidR="00000000" w:rsidRPr="00867BC4" w:rsidP="00867BC4">
            <w:pPr>
              <w:pStyle w:val="ListBullet3"/>
            </w:pPr>
            <w:r w:rsidRPr="00867BC4">
              <w:t>Demonstrate an understanding of the essential knowledge and associated skills as described in 6) Essential Knowledge and Associated Skills of thi</w:t>
            </w:r>
            <w:r w:rsidRPr="00867BC4">
              <w:t>s unit</w:t>
            </w:r>
          </w:p>
          <w:p w:rsidR="00000000" w:rsidRPr="00867BC4" w:rsidP="00867BC4">
            <w:pPr>
              <w:pStyle w:val="ListBullet3"/>
            </w:pPr>
            <w:r w:rsidRPr="00867BC4">
              <w:t>Demonstrate an appropriate level of skills enabling employment</w:t>
            </w:r>
          </w:p>
          <w:p w:rsidR="00000000" w:rsidP="00867BC4">
            <w:pPr>
              <w:pStyle w:val="ListBullet3"/>
              <w:rPr>
                <w:lang w:val="en-NZ"/>
              </w:rPr>
            </w:pPr>
            <w:r w:rsidRPr="00867BC4">
              <w:t>Conduct work observing the relevant Anti Discrimination legislation, regulations, polices and workplace procedures</w:t>
            </w:r>
          </w:p>
        </w:tc>
      </w:tr>
      <w:tr w:rsidTr="000F25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867BC4">
            <w:pPr>
              <w:pStyle w:val="ListBullet"/>
              <w:rPr>
                <w:lang w:val="en-NZ"/>
              </w:rPr>
            </w:pPr>
            <w:r w:rsidRPr="00867BC4">
              <w:t>Demonstrated performance across a representative range of contexts f</w:t>
            </w:r>
            <w:r w:rsidRPr="00867BC4">
              <w:t>rom the prescribed items below:</w:t>
            </w:r>
          </w:p>
        </w:tc>
      </w:tr>
      <w:tr w:rsidTr="000F25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867BC4" w:rsidP="00867BC4">
            <w:pPr>
              <w:pStyle w:val="ListBullet3"/>
            </w:pPr>
            <w:r w:rsidRPr="00867BC4">
              <w:t>The knowledge and application of relevant sections of: Occupational Health and Safety legislation; Statutory legislation; Enterprise/site safety procedures; Enterprise/site emergency procedures</w:t>
            </w:r>
          </w:p>
          <w:p w:rsidR="00000000" w:rsidRPr="00867BC4" w:rsidP="00867BC4">
            <w:pPr>
              <w:pStyle w:val="ListBullet3"/>
            </w:pPr>
            <w:r w:rsidRPr="00867BC4">
              <w:t>The preparation for secondary switchgear operations</w:t>
            </w:r>
          </w:p>
          <w:p w:rsidR="00000000" w:rsidRPr="00867BC4" w:rsidP="00867BC4">
            <w:pPr>
              <w:pStyle w:val="ListBullet3"/>
            </w:pPr>
            <w:r w:rsidRPr="00867BC4">
              <w:t>The operation and knowledge of secondary switch gear</w:t>
            </w:r>
          </w:p>
          <w:p w:rsidR="00000000" w:rsidRPr="00867BC4" w:rsidP="00867BC4">
            <w:pPr>
              <w:pStyle w:val="ListBullet3"/>
            </w:pPr>
            <w:r w:rsidRPr="00867BC4">
              <w:t>The implications of secondary switch gear operations</w:t>
            </w:r>
          </w:p>
          <w:p w:rsidR="00000000" w:rsidRPr="00867BC4" w:rsidP="00867BC4">
            <w:pPr>
              <w:pStyle w:val="ListBullet3"/>
            </w:pPr>
            <w:r w:rsidRPr="00867BC4">
              <w:t>Apply environmental risk assessment process</w:t>
            </w:r>
          </w:p>
          <w:p w:rsidR="00000000" w:rsidRPr="00867BC4" w:rsidP="00867BC4">
            <w:pPr>
              <w:pStyle w:val="ListBullet3"/>
            </w:pPr>
            <w:r w:rsidRPr="00867BC4">
              <w:t>Implement, monitor and review environmental procedures during the currency of the work</w:t>
            </w:r>
          </w:p>
          <w:p w:rsidR="00000000" w:rsidRPr="00867BC4" w:rsidP="00867BC4">
            <w:pPr>
              <w:pStyle w:val="ListBullet3"/>
            </w:pPr>
            <w:r w:rsidRPr="00867BC4">
              <w:t>Dealing with an unplanned event by drawing on essential knowledge and skills to provide appropriate solutions incorporated in the holistic assessment with the above list</w:t>
            </w:r>
            <w:r w:rsidRPr="00867BC4">
              <w:t>ed items.</w:t>
            </w:r>
          </w:p>
        </w:tc>
      </w:tr>
    </w:tbl>
    <w:p w:rsidR="00000000" w:rsidRPr="00867BC4" w:rsidP="00867BC4">
      <w:pPr>
        <w:pStyle w:val="BodyText"/>
      </w:pPr>
    </w:p>
    <w:tbl>
      <w:tblPr>
        <w:tblW w:w="0" w:type="auto"/>
        <w:tblLayout w:type="fixed"/>
        <w:tblCellMar>
          <w:left w:w="62" w:type="dxa"/>
          <w:right w:w="62" w:type="dxa"/>
        </w:tblCellMar>
        <w:tblLook w:val="0000"/>
      </w:tblPr>
      <w:tblGrid>
        <w:gridCol w:w="2160"/>
        <w:gridCol w:w="1620"/>
        <w:gridCol w:w="4680"/>
      </w:tblGrid>
      <w:tr w:rsidTr="000F25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67BC4" w:rsidP="00867BC4">
            <w:pPr>
              <w:pStyle w:val="BodyText"/>
            </w:pPr>
            <w:r w:rsidRPr="00867BC4">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867BC4" w:rsidP="00867BC4">
            <w:pPr>
              <w:pStyle w:val="BodyText"/>
            </w:pPr>
            <w:r w:rsidRPr="00867BC4">
              <w:rPr>
                <w:rStyle w:val="SpecialBold"/>
              </w:rPr>
              <w:t>8</w:t>
            </w:r>
            <w:r w:rsidRPr="00867BC4">
              <w:t>.</w:t>
            </w:r>
            <w:r w:rsidRPr="00867BC4">
              <w:rPr>
                <w:rStyle w:val="SpecialBold"/>
              </w:rPr>
              <w:t>3</w:t>
            </w:r>
            <w:r w:rsidRPr="00867BC4">
              <w:t xml:space="preserve">) </w:t>
            </w:r>
          </w:p>
          <w:p w:rsidR="00000000" w:rsidRPr="00867BC4" w:rsidP="00867BC4">
            <w:pPr>
              <w:pStyle w:val="BodyText"/>
            </w:pPr>
            <w:r w:rsidRPr="00867BC4">
              <w:t>This unit should be assessed as it relates to normal work practice using procedures, information and resources typical of a workplace. This should include:</w:t>
            </w:r>
          </w:p>
          <w:p w:rsidR="00000000" w:rsidRPr="00867BC4" w:rsidP="00867BC4">
            <w:pPr>
              <w:pStyle w:val="ListBullet"/>
            </w:pPr>
            <w:r w:rsidRPr="00867BC4">
              <w:t>OHS policy and work procedures and instructions.</w:t>
            </w:r>
          </w:p>
          <w:p w:rsidR="00000000" w:rsidRPr="00867BC4" w:rsidP="00867BC4">
            <w:pPr>
              <w:pStyle w:val="ListBullet"/>
            </w:pPr>
            <w:r w:rsidRPr="00867BC4">
              <w:t>Suitable work environment, facilities, equipment and materials to undertake actual work as prescribed by this unit.</w:t>
            </w:r>
          </w:p>
          <w:p w:rsidR="00000000" w:rsidRPr="00867BC4" w:rsidP="00867BC4">
            <w:pPr>
              <w:pStyle w:val="BodyText"/>
            </w:pPr>
            <w:r w:rsidRPr="00867BC4">
              <w:t>Competency Standards should be assessed in the workplace or simulated workplace and under the normal range of workplace conditions.</w:t>
            </w:r>
          </w:p>
          <w:p w:rsidR="00000000" w:rsidP="00867BC4">
            <w:pPr>
              <w:pStyle w:val="BodyText"/>
              <w:rPr>
                <w:lang w:val="en-NZ"/>
              </w:rPr>
            </w:pPr>
            <w:r w:rsidRPr="00867BC4">
              <w:t>Assessment of this unit will be supported with documentary evidence, by means of endorsement stating type and application of</w:t>
            </w:r>
            <w:r w:rsidRPr="00867BC4">
              <w:t xml:space="preserve"> work.</w:t>
            </w:r>
          </w:p>
        </w:tc>
      </w:tr>
      <w:tr w:rsidTr="000F25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In addition to the resources listed above in Context of assessment', evidence should show competency working, in limited spaces, with different types of plant and equipment as well as different structural/construction types and methods and in a v</w:t>
            </w:r>
            <w:r w:rsidRPr="00867BC4">
              <w:t>ariety of environments.</w:t>
            </w:r>
          </w:p>
        </w:tc>
      </w:tr>
      <w:tr w:rsidTr="000F25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67BC4" w:rsidP="00867BC4">
            <w:pPr>
              <w:pStyle w:val="BodyText"/>
            </w:pPr>
            <w:r w:rsidRPr="00867BC4">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867BC4" w:rsidP="00867BC4">
            <w:pPr>
              <w:pStyle w:val="BodyText"/>
            </w:pPr>
            <w:r w:rsidRPr="00867BC4">
              <w:rPr>
                <w:rStyle w:val="SpecialBold"/>
              </w:rPr>
              <w:t>8</w:t>
            </w:r>
            <w:r w:rsidRPr="00867BC4">
              <w:t>.</w:t>
            </w:r>
            <w:r w:rsidRPr="00867BC4">
              <w:rPr>
                <w:rStyle w:val="SpecialBold"/>
              </w:rPr>
              <w:t>4</w:t>
            </w:r>
            <w:r w:rsidRPr="00867BC4">
              <w:t xml:space="preserve">) </w:t>
            </w:r>
          </w:p>
          <w:p w:rsidR="00000000" w:rsidRPr="00867BC4" w:rsidP="00867BC4">
            <w:pPr>
              <w:pStyle w:val="BodyText"/>
            </w:pPr>
            <w:r w:rsidRPr="00867BC4">
              <w:t>This unit shall be assessed by methods given in Volume 1, Part 3 Assessment Guidelines.</w:t>
            </w:r>
          </w:p>
          <w:p w:rsidR="00000000" w:rsidP="00867BC4">
            <w:pPr>
              <w:pStyle w:val="BodyText"/>
              <w:rPr>
                <w:lang w:val="en-NZ"/>
              </w:rPr>
            </w:pPr>
            <w:r w:rsidRPr="00867BC4">
              <w:t>Note: Competent performance with inherent safe working practices is expected in the Industry to which this unit app</w:t>
            </w:r>
            <w:r w:rsidRPr="00867BC4">
              <w:t>lies. This requires that the specified essential knowledge and associated skills are assessed in a structured environment which is primarily intended for learning/assessment and incorporates all necessary equipment and facilities for learners to develop an</w:t>
            </w:r>
            <w:r w:rsidRPr="00867BC4">
              <w:t>d demonstrate the essential knowledge and skills described in this unit.</w:t>
            </w:r>
          </w:p>
        </w:tc>
      </w:tr>
      <w:tr w:rsidTr="000F256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67BC4" w:rsidP="00867BC4">
            <w:pPr>
              <w:pStyle w:val="BodyText"/>
            </w:pPr>
            <w:r w:rsidRPr="00867BC4">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rPr>
                <w:rStyle w:val="SpecialBold"/>
              </w:rPr>
              <w:t>8</w:t>
            </w:r>
            <w:r w:rsidRPr="00867BC4">
              <w:t>.</w:t>
            </w:r>
            <w:r w:rsidRPr="00867BC4">
              <w:rPr>
                <w:rStyle w:val="SpecialBold"/>
              </w:rPr>
              <w:t>5</w:t>
            </w:r>
            <w:r w:rsidRPr="00867BC4">
              <w:t xml:space="preserve">) </w:t>
            </w:r>
          </w:p>
        </w:tc>
      </w:tr>
      <w:tr w:rsidTr="000F256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There are no recommended concurrent assessments with this unit, however in some cases efficiencies may be gained in terms of learning and assessment effort being concurrently managed with allied competency standard units where listed.</w:t>
            </w:r>
          </w:p>
        </w:tc>
      </w:tr>
      <w:tr w:rsidTr="000F256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Nil</w:t>
            </w:r>
          </w:p>
        </w:tc>
        <w:tc>
          <w:tcPr>
            <w:tcW w:w="4680" w:type="dxa"/>
            <w:tcBorders>
              <w:top w:val="nil"/>
              <w:left w:val="nil"/>
              <w:bottom w:val="nil"/>
              <w:right w:val="nil"/>
            </w:tcBorders>
            <w:tcMar>
              <w:top w:w="0" w:type="dxa"/>
              <w:left w:w="62" w:type="dxa"/>
              <w:bottom w:w="0" w:type="dxa"/>
              <w:right w:w="62" w:type="dxa"/>
            </w:tcMar>
          </w:tcPr>
          <w:p w:rsidR="00000000" w:rsidRPr="00867BC4" w:rsidP="00867BC4">
            <w:pPr>
              <w:pStyle w:val="BodyText"/>
            </w:pPr>
          </w:p>
        </w:tc>
      </w:tr>
    </w:tbl>
    <w:p w:rsidR="00000000" w:rsidRPr="00867BC4" w:rsidP="00867BC4">
      <w:pPr>
        <w:pStyle w:val="BodyText"/>
      </w:pPr>
    </w:p>
    <w:tbl>
      <w:tblPr>
        <w:tblW w:w="0" w:type="auto"/>
        <w:tblLayout w:type="fixed"/>
        <w:tblCellMar>
          <w:left w:w="62" w:type="dxa"/>
          <w:right w:w="62" w:type="dxa"/>
        </w:tblCellMar>
        <w:tblLook w:val="0000"/>
      </w:tblPr>
      <w:tblGrid>
        <w:gridCol w:w="326"/>
        <w:gridCol w:w="1834"/>
        <w:gridCol w:w="4737"/>
        <w:gridCol w:w="1563"/>
      </w:tblGrid>
      <w:tr w:rsidTr="000F256B">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867BC4" w:rsidP="00867BC4">
            <w:pPr>
              <w:pStyle w:val="BodyText"/>
            </w:pPr>
            <w:r w:rsidRPr="00867BC4">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867BC4" w:rsidP="00867BC4">
            <w:pPr>
              <w:pStyle w:val="BodyText"/>
            </w:pPr>
            <w:r w:rsidRPr="00867BC4">
              <w:rPr>
                <w:rStyle w:val="SpecialBold"/>
              </w:rPr>
              <w:t>8</w:t>
            </w:r>
            <w:r w:rsidRPr="00867BC4">
              <w:t>.</w:t>
            </w:r>
            <w:r w:rsidRPr="00867BC4">
              <w:rPr>
                <w:rStyle w:val="SpecialBold"/>
              </w:rPr>
              <w:t>6</w:t>
            </w:r>
            <w:r w:rsidRPr="00867BC4">
              <w:t xml:space="preserve">) </w:t>
            </w:r>
          </w:p>
          <w:p w:rsidR="00000000" w:rsidP="00867BC4">
            <w:pPr>
              <w:pStyle w:val="BodyText"/>
              <w:rPr>
                <w:lang w:val="en-NZ"/>
              </w:rPr>
            </w:pPr>
            <w:r w:rsidRPr="00867BC4">
              <w:t>Evidence that particular key competencies have been achieved within this unit is in the context of the following Performance Criteria of evidence. See Volume 2, Part 4 for an explanation of Key competencies and levels of this Traini</w:t>
            </w:r>
            <w:r w:rsidRPr="00867BC4">
              <w:t>ng Package.</w:t>
            </w:r>
          </w:p>
        </w:tc>
      </w:tr>
      <w:tr w:rsidTr="000F256B">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BC4" w:rsidP="00867BC4">
            <w:pPr>
              <w:pStyle w:val="BodyText"/>
            </w:pPr>
            <w:r w:rsidRPr="00867BC4">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BC4" w:rsidP="00867BC4">
            <w:pPr>
              <w:pStyle w:val="BodyText"/>
            </w:pPr>
            <w:r w:rsidRPr="00867BC4">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BC4">
            <w:pPr>
              <w:pStyle w:val="BodyText"/>
              <w:rPr>
                <w:lang w:val="en-NZ"/>
              </w:rPr>
            </w:pPr>
            <w:r w:rsidRPr="00867BC4">
              <w:rPr>
                <w:rStyle w:val="SpecialBold"/>
              </w:rPr>
              <w:t>Performance Level</w:t>
            </w:r>
          </w:p>
        </w:tc>
      </w:tr>
      <w:tr w:rsidTr="000F256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BC4">
            <w:pPr>
              <w:pStyle w:val="BodyText"/>
              <w:rPr>
                <w:lang w:val="en-NZ"/>
              </w:rPr>
            </w:pPr>
            <w:r w:rsidRPr="00867BC4">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67BC4">
            <w:pPr>
              <w:pStyle w:val="BodyText"/>
              <w:rPr>
                <w:lang w:val="en-NZ"/>
              </w:rPr>
            </w:pPr>
            <w:r w:rsidRPr="00867BC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BC4" w:rsidP="00867BC4">
            <w:pPr>
              <w:pStyle w:val="BodyText"/>
            </w:pPr>
          </w:p>
          <w:p w:rsidR="00000000" w:rsidP="00867BC4">
            <w:pPr>
              <w:pStyle w:val="BodyText"/>
              <w:rPr>
                <w:lang w:val="en-NZ"/>
              </w:rPr>
            </w:pPr>
            <w:r w:rsidRPr="00867BC4">
              <w:t>2</w:t>
            </w:r>
          </w:p>
        </w:tc>
      </w:tr>
      <w:tr w:rsidTr="000F256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67BC4">
            <w:pPr>
              <w:pStyle w:val="BodyText"/>
              <w:rPr>
                <w:lang w:val="en-NZ"/>
              </w:rPr>
            </w:pPr>
            <w:r w:rsidRPr="00867BC4">
              <w:t>Explain</w:t>
            </w:r>
            <w:r w:rsidRPr="00867BC4">
              <w:t xml:space="preserve">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BC4">
            <w:pPr>
              <w:pStyle w:val="BodyText"/>
              <w:rPr>
                <w:lang w:val="en-NZ"/>
              </w:rPr>
            </w:pPr>
          </w:p>
        </w:tc>
      </w:tr>
      <w:tr w:rsidTr="000F256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BC4">
            <w:pPr>
              <w:pStyle w:val="BodyText"/>
              <w:rPr>
                <w:lang w:val="en-NZ"/>
              </w:rPr>
            </w:pPr>
            <w:r w:rsidRPr="00867BC4">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67BC4">
            <w:pPr>
              <w:pStyle w:val="BodyText"/>
              <w:rPr>
                <w:lang w:val="en-NZ"/>
              </w:rPr>
            </w:pPr>
            <w:r w:rsidRPr="00867BC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BC4" w:rsidP="00867BC4">
            <w:pPr>
              <w:pStyle w:val="BodyText"/>
            </w:pPr>
          </w:p>
          <w:p w:rsidR="00000000" w:rsidP="00867BC4">
            <w:pPr>
              <w:pStyle w:val="BodyText"/>
              <w:rPr>
                <w:lang w:val="en-NZ"/>
              </w:rPr>
            </w:pPr>
            <w:r w:rsidRPr="00867BC4">
              <w:t>2</w:t>
            </w:r>
          </w:p>
        </w:tc>
      </w:tr>
      <w:tr w:rsidTr="000F256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67BC4">
            <w:pPr>
              <w:pStyle w:val="BodyText"/>
              <w:rPr>
                <w:lang w:val="en-NZ"/>
              </w:rPr>
            </w:pPr>
            <w:r w:rsidRPr="00867BC4">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BC4">
            <w:pPr>
              <w:pStyle w:val="BodyText"/>
              <w:rPr>
                <w:lang w:val="en-NZ"/>
              </w:rPr>
            </w:pPr>
          </w:p>
        </w:tc>
      </w:tr>
      <w:tr w:rsidTr="000F256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BC4">
            <w:pPr>
              <w:pStyle w:val="BodyText"/>
              <w:rPr>
                <w:lang w:val="en-NZ"/>
              </w:rPr>
            </w:pPr>
            <w:r w:rsidRPr="00867BC4">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67BC4">
            <w:pPr>
              <w:pStyle w:val="BodyText"/>
              <w:rPr>
                <w:lang w:val="en-NZ"/>
              </w:rPr>
            </w:pPr>
            <w:r w:rsidRPr="00867BC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BC4" w:rsidP="00867BC4">
            <w:pPr>
              <w:pStyle w:val="BodyText"/>
            </w:pPr>
          </w:p>
          <w:p w:rsidR="00000000" w:rsidP="00867BC4">
            <w:pPr>
              <w:pStyle w:val="BodyText"/>
              <w:rPr>
                <w:lang w:val="en-NZ"/>
              </w:rPr>
            </w:pPr>
            <w:r w:rsidRPr="00867BC4">
              <w:t>1</w:t>
            </w:r>
          </w:p>
        </w:tc>
      </w:tr>
      <w:tr w:rsidTr="000F256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67BC4">
            <w:pPr>
              <w:pStyle w:val="BodyText"/>
              <w:rPr>
                <w:lang w:val="en-NZ"/>
              </w:rPr>
            </w:pPr>
            <w:r w:rsidRPr="00867BC4">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BC4">
            <w:pPr>
              <w:pStyle w:val="BodyText"/>
              <w:rPr>
                <w:lang w:val="en-NZ"/>
              </w:rPr>
            </w:pPr>
          </w:p>
        </w:tc>
      </w:tr>
      <w:tr w:rsidTr="000F256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BC4">
            <w:pPr>
              <w:pStyle w:val="BodyText"/>
              <w:rPr>
                <w:lang w:val="en-NZ"/>
              </w:rPr>
            </w:pPr>
            <w:r w:rsidRPr="00867BC4">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67BC4">
            <w:pPr>
              <w:pStyle w:val="BodyText"/>
              <w:rPr>
                <w:lang w:val="en-NZ"/>
              </w:rPr>
            </w:pPr>
            <w:r w:rsidRPr="00867BC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BC4" w:rsidP="00867BC4">
            <w:pPr>
              <w:pStyle w:val="BodyText"/>
            </w:pPr>
          </w:p>
          <w:p w:rsidR="00000000" w:rsidP="00867BC4">
            <w:pPr>
              <w:pStyle w:val="BodyText"/>
              <w:rPr>
                <w:lang w:val="en-NZ"/>
              </w:rPr>
            </w:pPr>
            <w:r w:rsidRPr="00867BC4">
              <w:t>2</w:t>
            </w:r>
          </w:p>
        </w:tc>
      </w:tr>
      <w:tr w:rsidTr="000F256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67BC4">
            <w:pPr>
              <w:pStyle w:val="BodyText"/>
              <w:rPr>
                <w:lang w:val="en-NZ"/>
              </w:rPr>
            </w:pPr>
            <w:r w:rsidRPr="00867BC4">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BC4">
            <w:pPr>
              <w:pStyle w:val="BodyText"/>
              <w:rPr>
                <w:lang w:val="en-NZ"/>
              </w:rPr>
            </w:pPr>
          </w:p>
        </w:tc>
      </w:tr>
      <w:tr w:rsidTr="000F256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BC4">
            <w:pPr>
              <w:pStyle w:val="BodyText"/>
              <w:rPr>
                <w:lang w:val="en-NZ"/>
              </w:rPr>
            </w:pPr>
            <w:r w:rsidRPr="00867BC4">
              <w:t xml:space="preserve">How are mathematical </w:t>
            </w:r>
            <w:r w:rsidRPr="00867BC4">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67BC4">
            <w:pPr>
              <w:pStyle w:val="BodyText"/>
              <w:rPr>
                <w:lang w:val="en-NZ"/>
              </w:rPr>
            </w:pPr>
            <w:r w:rsidRPr="00867BC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BC4" w:rsidP="00867BC4">
            <w:pPr>
              <w:pStyle w:val="BodyText"/>
            </w:pPr>
          </w:p>
          <w:p w:rsidR="00000000" w:rsidP="00867BC4">
            <w:pPr>
              <w:pStyle w:val="BodyText"/>
              <w:rPr>
                <w:lang w:val="en-NZ"/>
              </w:rPr>
            </w:pPr>
            <w:r w:rsidRPr="00867BC4">
              <w:t>1</w:t>
            </w:r>
          </w:p>
        </w:tc>
      </w:tr>
      <w:tr w:rsidTr="000F256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67BC4">
            <w:pPr>
              <w:pStyle w:val="BodyText"/>
              <w:rPr>
                <w:lang w:val="en-NZ"/>
              </w:rPr>
            </w:pPr>
            <w:r w:rsidRPr="00867BC4">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BC4">
            <w:pPr>
              <w:pStyle w:val="BodyText"/>
              <w:rPr>
                <w:lang w:val="en-NZ"/>
              </w:rPr>
            </w:pPr>
          </w:p>
        </w:tc>
      </w:tr>
      <w:tr w:rsidTr="000F256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BC4">
            <w:pPr>
              <w:pStyle w:val="BodyText"/>
              <w:rPr>
                <w:lang w:val="en-NZ"/>
              </w:rPr>
            </w:pPr>
            <w:r w:rsidRPr="00867BC4">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67BC4">
            <w:pPr>
              <w:pStyle w:val="BodyText"/>
              <w:rPr>
                <w:lang w:val="en-NZ"/>
              </w:rPr>
            </w:pPr>
            <w:r w:rsidRPr="00867BC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BC4" w:rsidP="00867BC4">
            <w:pPr>
              <w:pStyle w:val="BodyText"/>
            </w:pPr>
          </w:p>
          <w:p w:rsidR="00000000" w:rsidP="00867BC4">
            <w:pPr>
              <w:pStyle w:val="BodyText"/>
              <w:rPr>
                <w:lang w:val="en-NZ"/>
              </w:rPr>
            </w:pPr>
            <w:r w:rsidRPr="00867BC4">
              <w:t>2</w:t>
            </w:r>
          </w:p>
        </w:tc>
      </w:tr>
      <w:tr w:rsidTr="000F256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67BC4">
            <w:pPr>
              <w:pStyle w:val="BodyText"/>
              <w:rPr>
                <w:lang w:val="en-NZ"/>
              </w:rPr>
            </w:pPr>
            <w:r w:rsidRPr="00867BC4">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BC4">
            <w:pPr>
              <w:pStyle w:val="BodyText"/>
              <w:rPr>
                <w:lang w:val="en-NZ"/>
              </w:rPr>
            </w:pPr>
          </w:p>
        </w:tc>
      </w:tr>
      <w:tr w:rsidTr="000F256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BC4">
            <w:pPr>
              <w:pStyle w:val="BodyText"/>
              <w:rPr>
                <w:lang w:val="en-NZ"/>
              </w:rPr>
            </w:pPr>
            <w:r w:rsidRPr="00867BC4">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67BC4">
            <w:pPr>
              <w:pStyle w:val="BodyText"/>
              <w:rPr>
                <w:lang w:val="en-NZ"/>
              </w:rPr>
            </w:pPr>
            <w:r w:rsidRPr="00867BC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BC4" w:rsidP="00867BC4">
            <w:pPr>
              <w:pStyle w:val="BodyText"/>
            </w:pPr>
          </w:p>
          <w:p w:rsidR="00000000" w:rsidP="00867BC4">
            <w:pPr>
              <w:pStyle w:val="BodyText"/>
              <w:rPr>
                <w:lang w:val="en-NZ"/>
              </w:rPr>
            </w:pPr>
            <w:r w:rsidRPr="00867BC4">
              <w:t>1</w:t>
            </w:r>
          </w:p>
        </w:tc>
      </w:tr>
      <w:tr w:rsidTr="000F256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67BC4">
            <w:pPr>
              <w:pStyle w:val="BodyText"/>
              <w:rPr>
                <w:lang w:val="en-NZ"/>
              </w:rPr>
            </w:pPr>
            <w:r w:rsidRPr="00867BC4">
              <w:t>Access, communicate, measure and record information with re</w:t>
            </w:r>
            <w:r w:rsidRPr="00867BC4">
              <w:t>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BC4">
            <w:pPr>
              <w:pStyle w:val="BodyText"/>
              <w:rPr>
                <w:lang w:val="en-NZ"/>
              </w:rPr>
            </w:pPr>
          </w:p>
        </w:tc>
      </w:tr>
      <w:tr w:rsidTr="000F256B">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F256B">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867BC4" w:rsidP="00867BC4">
            <w:pPr>
              <w:pStyle w:val="BodyText"/>
            </w:pPr>
            <w:r w:rsidRPr="00867BC4">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867BC4" w:rsidP="00867BC4">
            <w:pPr>
              <w:pStyle w:val="BodyText"/>
            </w:pPr>
            <w:r w:rsidRPr="00867BC4">
              <w:rPr>
                <w:rStyle w:val="SpecialBold"/>
              </w:rPr>
              <w:t>8</w:t>
            </w:r>
            <w:r w:rsidRPr="00867BC4">
              <w:t>.</w:t>
            </w:r>
            <w:r w:rsidRPr="00867BC4">
              <w:rPr>
                <w:rStyle w:val="SpecialBold"/>
              </w:rPr>
              <w:t>7</w:t>
            </w:r>
            <w:r w:rsidRPr="00867BC4">
              <w:t xml:space="preserve">) </w:t>
            </w:r>
          </w:p>
          <w:p w:rsidR="00000000" w:rsidP="00867BC4">
            <w:pPr>
              <w:pStyle w:val="BodyText"/>
              <w:rPr>
                <w:lang w:val="en-NZ"/>
              </w:rPr>
            </w:pPr>
            <w:r w:rsidRPr="00867BC4">
              <w:t xml:space="preserve">Evidence that competency in this unit incorporates skills enabling employment is in the context of the following performance. See Volume 2, Part 5 for definitions and an explanation of skills enabling employment. </w:t>
            </w:r>
          </w:p>
        </w:tc>
      </w:tr>
      <w:tr w:rsidTr="000F256B">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BC4" w:rsidP="00867BC4">
            <w:pPr>
              <w:pStyle w:val="BodyText"/>
            </w:pPr>
            <w:r w:rsidRPr="00867BC4">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BC4">
            <w:pPr>
              <w:pStyle w:val="BodyText"/>
              <w:rPr>
                <w:lang w:val="en-NZ"/>
              </w:rPr>
            </w:pPr>
            <w:r w:rsidRPr="00867BC4">
              <w:rPr>
                <w:rStyle w:val="SpecialBold"/>
              </w:rPr>
              <w:t>Example of Application</w:t>
            </w:r>
          </w:p>
        </w:tc>
      </w:tr>
      <w:tr w:rsidTr="000F256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BC4">
            <w:pPr>
              <w:pStyle w:val="BodyText"/>
              <w:rPr>
                <w:lang w:val="en-NZ"/>
              </w:rPr>
            </w:pPr>
            <w:r w:rsidRPr="00867BC4">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BC4">
            <w:pPr>
              <w:pStyle w:val="BodyText"/>
              <w:rPr>
                <w:lang w:val="en-NZ"/>
              </w:rPr>
            </w:pPr>
            <w:r w:rsidRPr="00867BC4">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67BC4">
            <w:pPr>
              <w:pStyle w:val="BodyText"/>
              <w:rPr>
                <w:lang w:val="en-NZ"/>
              </w:rPr>
            </w:pPr>
            <w:r w:rsidRPr="00867BC4">
              <w:t>Refer to the following example of application:</w:t>
            </w:r>
          </w:p>
        </w:tc>
      </w:tr>
      <w:tr w:rsidTr="000F256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67BC4">
            <w:pPr>
              <w:pStyle w:val="BodyText"/>
              <w:rPr>
                <w:lang w:val="en-NZ"/>
              </w:rPr>
            </w:pPr>
            <w:r w:rsidRPr="00867BC4">
              <w:t>Completion of tasks within an acceptable timeframe and performance with some supervision.</w:t>
            </w:r>
          </w:p>
        </w:tc>
      </w:tr>
      <w:tr w:rsidTr="000F256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BC4">
            <w:pPr>
              <w:pStyle w:val="BodyText"/>
              <w:rPr>
                <w:lang w:val="en-NZ"/>
              </w:rPr>
            </w:pPr>
            <w:r w:rsidRPr="00867BC4">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BC4">
            <w:pPr>
              <w:pStyle w:val="BodyText"/>
              <w:rPr>
                <w:lang w:val="en-NZ"/>
              </w:rPr>
            </w:pPr>
            <w:r w:rsidRPr="00867BC4">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67BC4">
            <w:pPr>
              <w:pStyle w:val="BodyText"/>
              <w:rPr>
                <w:lang w:val="en-NZ"/>
              </w:rPr>
            </w:pPr>
            <w:r w:rsidRPr="00867BC4">
              <w:t>Refer to the following example of application:</w:t>
            </w:r>
          </w:p>
        </w:tc>
      </w:tr>
      <w:tr w:rsidTr="000F256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67BC4">
            <w:pPr>
              <w:pStyle w:val="BodyText"/>
              <w:rPr>
                <w:lang w:val="en-NZ"/>
              </w:rPr>
            </w:pPr>
            <w:r w:rsidRPr="00867BC4">
              <w:t>Comprehension and application of theoretical knowledge to well-developed skills.</w:t>
            </w:r>
          </w:p>
        </w:tc>
      </w:tr>
      <w:tr w:rsidTr="000F256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BC4">
            <w:pPr>
              <w:pStyle w:val="BodyText"/>
              <w:rPr>
                <w:lang w:val="en-NZ"/>
              </w:rPr>
            </w:pPr>
            <w:r w:rsidRPr="00867BC4">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BC4">
            <w:pPr>
              <w:pStyle w:val="BodyText"/>
              <w:rPr>
                <w:lang w:val="en-NZ"/>
              </w:rPr>
            </w:pPr>
            <w:r w:rsidRPr="00867BC4">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67BC4">
            <w:pPr>
              <w:pStyle w:val="BodyText"/>
              <w:rPr>
                <w:lang w:val="en-NZ"/>
              </w:rPr>
            </w:pPr>
            <w:r w:rsidRPr="00867BC4">
              <w:t>Refer to the following example of application:</w:t>
            </w:r>
          </w:p>
        </w:tc>
      </w:tr>
      <w:tr w:rsidTr="000F256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67BC4">
            <w:pPr>
              <w:pStyle w:val="BodyText"/>
              <w:rPr>
                <w:lang w:val="en-NZ"/>
              </w:rPr>
            </w:pPr>
            <w:r w:rsidRPr="00867BC4">
              <w:t>Focused on improvement in own and other team member's performance in the workplace.</w:t>
            </w:r>
          </w:p>
        </w:tc>
      </w:tr>
      <w:tr w:rsidTr="000F256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BC4">
            <w:pPr>
              <w:pStyle w:val="BodyText"/>
              <w:rPr>
                <w:lang w:val="en-NZ"/>
              </w:rPr>
            </w:pPr>
            <w:r w:rsidRPr="00867BC4">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BC4">
            <w:pPr>
              <w:pStyle w:val="BodyText"/>
              <w:rPr>
                <w:lang w:val="en-NZ"/>
              </w:rPr>
            </w:pPr>
            <w:r w:rsidRPr="00867BC4">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67BC4">
            <w:pPr>
              <w:pStyle w:val="BodyText"/>
              <w:rPr>
                <w:lang w:val="en-NZ"/>
              </w:rPr>
            </w:pPr>
            <w:r w:rsidRPr="00867BC4">
              <w:t>Refer to the following example of application:</w:t>
            </w:r>
          </w:p>
        </w:tc>
      </w:tr>
      <w:tr w:rsidTr="000F256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67BC4">
            <w:pPr>
              <w:pStyle w:val="BodyText"/>
              <w:rPr>
                <w:lang w:val="en-NZ"/>
              </w:rPr>
            </w:pPr>
            <w:r w:rsidRPr="00867BC4">
              <w:t>Working understanding of the processes and systems which apply to the workplace.</w:t>
            </w:r>
          </w:p>
        </w:tc>
      </w:tr>
      <w:tr w:rsidTr="000F256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BC4">
            <w:pPr>
              <w:pStyle w:val="BodyText"/>
              <w:rPr>
                <w:lang w:val="en-NZ"/>
              </w:rPr>
            </w:pPr>
            <w:r w:rsidRPr="00867BC4">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BC4">
            <w:pPr>
              <w:pStyle w:val="BodyText"/>
              <w:rPr>
                <w:lang w:val="en-NZ"/>
              </w:rPr>
            </w:pPr>
            <w:r w:rsidRPr="00867BC4">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67BC4">
            <w:pPr>
              <w:pStyle w:val="BodyText"/>
              <w:rPr>
                <w:lang w:val="en-NZ"/>
              </w:rPr>
            </w:pPr>
            <w:r w:rsidRPr="00867BC4">
              <w:t>Refer to the following example of application:</w:t>
            </w:r>
          </w:p>
        </w:tc>
      </w:tr>
      <w:tr w:rsidTr="000F256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67BC4">
            <w:pPr>
              <w:pStyle w:val="BodyText"/>
              <w:rPr>
                <w:lang w:val="en-NZ"/>
              </w:rPr>
            </w:pPr>
            <w:r w:rsidRPr="00867BC4">
              <w:t>Achieving work tasks i</w:t>
            </w:r>
            <w:r w:rsidRPr="00867BC4">
              <w:t>n a timely manner and ensuring that the work team achieves its stated work goals.</w:t>
            </w:r>
          </w:p>
        </w:tc>
      </w:tr>
      <w:tr w:rsidTr="000F256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BC4">
            <w:pPr>
              <w:pStyle w:val="BodyText"/>
              <w:rPr>
                <w:lang w:val="en-NZ"/>
              </w:rPr>
            </w:pPr>
            <w:r w:rsidRPr="00867BC4">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BC4">
            <w:pPr>
              <w:pStyle w:val="BodyText"/>
              <w:rPr>
                <w:lang w:val="en-NZ"/>
              </w:rPr>
            </w:pPr>
            <w:r w:rsidRPr="00867BC4">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67BC4">
            <w:pPr>
              <w:pStyle w:val="BodyText"/>
              <w:rPr>
                <w:lang w:val="en-NZ"/>
              </w:rPr>
            </w:pPr>
            <w:r w:rsidRPr="00867BC4">
              <w:t>Refer to the following example of application:</w:t>
            </w:r>
          </w:p>
        </w:tc>
      </w:tr>
      <w:tr w:rsidTr="000F256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867BC4" w:rsidP="00867BC4">
            <w:pPr>
              <w:pStyle w:val="BodyText"/>
            </w:pPr>
            <w:r w:rsidRPr="00867BC4">
              <w:t>Seek advice and apply solutions to problems relevant to the workplace environment.</w:t>
            </w:r>
          </w:p>
        </w:tc>
      </w:tr>
    </w:tbl>
    <w:p w:rsidR="000F256B" w:rsidP="00867BC4">
      <w:pPr>
        <w:pStyle w:val="BodyText"/>
      </w:pPr>
    </w:p>
    <w:p w:rsidR="000F256B" w:rsidP="00867BC4">
      <w:pPr>
        <w:pStyle w:val="BodyText"/>
      </w:pPr>
    </w:p>
    <w:p w:rsidR="00000000" w:rsidRPr="00867BC4" w:rsidP="00867BC4">
      <w:pPr>
        <w:pStyle w:val="Heading1"/>
      </w:pPr>
      <w:bookmarkStart w:id="11" w:name="O_256035"/>
      <w:bookmarkEnd w:id="11"/>
      <w:r w:rsidRPr="00867BC4">
        <w:t>Range Statement</w:t>
      </w:r>
    </w:p>
    <w:tbl>
      <w:tblPr>
        <w:tblW w:w="0" w:type="auto"/>
        <w:tblLayout w:type="fixed"/>
        <w:tblCellMar>
          <w:left w:w="62" w:type="dxa"/>
          <w:right w:w="62" w:type="dxa"/>
        </w:tblCellMar>
        <w:tblLook w:val="0000"/>
      </w:tblPr>
      <w:tblGrid>
        <w:gridCol w:w="8460"/>
      </w:tblGrid>
      <w:tr w:rsidTr="000F256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rPr>
                <w:rStyle w:val="SpecialBold"/>
              </w:rPr>
              <w:t>RANGE STATEMENT</w:t>
            </w:r>
          </w:p>
        </w:tc>
      </w:tr>
      <w:tr w:rsidTr="000F256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rPr>
                <w:rStyle w:val="SpecialBold"/>
              </w:rPr>
              <w:t>7</w:t>
            </w:r>
            <w:r w:rsidRPr="00867BC4">
              <w:t xml:space="preserve">) This relates to the unit of competency as a whole providing the range of contexts and conditions </w:t>
            </w:r>
            <w:r w:rsidRPr="00867BC4">
              <w:t>to which the Performance Criteria apply. It allows for different work environments and situations that will affect performance.</w:t>
            </w:r>
          </w:p>
        </w:tc>
      </w:tr>
      <w:tr w:rsidTr="000F256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67BC4" w:rsidP="00867BC4">
            <w:pPr>
              <w:pStyle w:val="BodyText"/>
            </w:pPr>
            <w:r w:rsidRPr="00867BC4">
              <w:t>The equipment associated with a secondary connection to a source of supply.</w:t>
            </w:r>
          </w:p>
          <w:p w:rsidR="00000000" w:rsidRPr="00867BC4" w:rsidP="00867BC4">
            <w:pPr>
              <w:pStyle w:val="BodyText"/>
            </w:pPr>
            <w:r w:rsidRPr="00867BC4">
              <w:t>Equipment may include air insulated single phase/th</w:t>
            </w:r>
            <w:r w:rsidRPr="00867BC4">
              <w:t>ree phase link operated URD switchgear, oil immersed ring main switch (RMU) metal clad, compact switching station, load break elbows and oil immersed rotary switch, ring main switch SF6 metal clad, arc chute air break switch, horn deflecting air break swit</w:t>
            </w:r>
            <w:r w:rsidRPr="00867BC4">
              <w:t>ch, sectionalises, expulsion drop outs and H.V. links</w:t>
            </w:r>
          </w:p>
          <w:p w:rsidR="00000000" w:rsidRPr="00867BC4" w:rsidP="00867BC4">
            <w:pPr>
              <w:pStyle w:val="BodyText"/>
            </w:pPr>
            <w:r w:rsidRPr="00867BC4">
              <w:t>Safety standards may include relevant sections of occupational health and safety legislation, enterprise safety rules, relevant state and federal legislation and national standards for plant</w:t>
            </w:r>
          </w:p>
          <w:p w:rsidR="00000000" w:rsidRPr="00867BC4" w:rsidP="00867BC4">
            <w:pPr>
              <w:pStyle w:val="BodyText"/>
            </w:pPr>
            <w:r w:rsidRPr="00867BC4">
              <w:t>Information</w:t>
            </w:r>
            <w:r w:rsidRPr="00867BC4">
              <w:t xml:space="preserve"> and documentation sources may include verbal or written communications; enterprise safety rules documentation; enterprise operating instructions; dedicated computer equipment; enterprise/site standing and operating instructions; enterprise log books; manu</w:t>
            </w:r>
            <w:r w:rsidRPr="00867BC4">
              <w:t>facturer operation and maintenance manuals; and equipment and alarm manuals</w:t>
            </w:r>
          </w:p>
          <w:p w:rsidR="00000000" w:rsidRPr="00867BC4" w:rsidP="00867BC4">
            <w:pPr>
              <w:pStyle w:val="BodyText"/>
            </w:pPr>
            <w:r w:rsidRPr="00867BC4">
              <w:t>Technical and operational indicators may include stimuli (audio, smell, touch, visual), local indicators and recorders, computers and alarms (visible and or audible)</w:t>
            </w:r>
          </w:p>
          <w:p w:rsidR="00000000" w:rsidRPr="00867BC4" w:rsidP="00867BC4">
            <w:pPr>
              <w:pStyle w:val="BodyText"/>
            </w:pPr>
            <w:r w:rsidRPr="00867BC4">
              <w:t>Communications</w:t>
            </w:r>
            <w:r w:rsidRPr="00867BC4">
              <w:t xml:space="preserve"> may be by means of telephone, two way radio, pager,  computer (electronic mail), operating logs (written or verbal) and intercom</w:t>
            </w:r>
          </w:p>
          <w:p w:rsidR="00000000" w:rsidRPr="00867BC4" w:rsidP="00867BC4">
            <w:pPr>
              <w:pStyle w:val="BodyText"/>
            </w:pPr>
            <w:r w:rsidRPr="00867BC4">
              <w:t>Appropriate personnel for consultation, to give or receive direction may include supervisor/team leader or equivalent, power p</w:t>
            </w:r>
            <w:r w:rsidRPr="00867BC4">
              <w:t>lant operations personnel or equivalent, technical and engineering officers or equivalent, maintenance staff, other operating staff or equivalent, system controller/network controller, field operator and restricted H.V. operators</w:t>
            </w:r>
          </w:p>
          <w:p w:rsidR="00000000" w:rsidRPr="00867BC4" w:rsidP="00867BC4">
            <w:pPr>
              <w:pStyle w:val="BodyText"/>
            </w:pPr>
            <w:r w:rsidRPr="00867BC4">
              <w:t>Implications may be safety</w:t>
            </w:r>
            <w:r w:rsidRPr="00867BC4">
              <w:t xml:space="preserve"> of personnel and public, damage to equipment, loss of plant, legal implications, system integrity, capital cost, lost enterprise revenue and community costs.</w:t>
            </w:r>
          </w:p>
        </w:tc>
      </w:tr>
    </w:tbl>
    <w:p w:rsidR="000F256B" w:rsidP="00867BC4">
      <w:pPr>
        <w:pStyle w:val="BodyText"/>
      </w:pPr>
    </w:p>
    <w:p w:rsidR="000F256B" w:rsidP="00867BC4">
      <w:pPr>
        <w:pStyle w:val="BodyText"/>
      </w:pPr>
    </w:p>
    <w:p w:rsidR="00000000" w:rsidRPr="00867BC4" w:rsidP="00867BC4">
      <w:pPr>
        <w:pStyle w:val="Heading1"/>
      </w:pPr>
      <w:bookmarkStart w:id="12" w:name="O_297048"/>
      <w:bookmarkEnd w:id="12"/>
      <w:r w:rsidRPr="00867BC4">
        <w:t>Unit Sector(s)</w:t>
      </w:r>
    </w:p>
    <w:p w:rsidR="00000000" w:rsidRPr="00867BC4" w:rsidP="00867BC4">
      <w:pPr>
        <w:pStyle w:val="BodyText"/>
      </w:pPr>
      <w:r w:rsidRPr="00867BC4">
        <w:t>Not Applicable</w:t>
      </w:r>
    </w:p>
    <w:p w:rsidR="00000000" w:rsidRPr="00867BC4" w:rsidP="00867BC4">
      <w:pPr>
        <w:pStyle w:val="AllowPageBreak"/>
      </w:pPr>
    </w:p>
    <w:p w:rsidR="00000000" w:rsidRPr="00867BC4" w:rsidP="00867BC4">
      <w:pPr>
        <w:pStyle w:val="Heading1"/>
      </w:pPr>
      <w:bookmarkStart w:id="13" w:name="O_230744"/>
      <w:bookmarkEnd w:id="13"/>
      <w:r w:rsidRPr="00867BC4">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0F256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67BC4" w:rsidP="00867BC4">
            <w:pPr>
              <w:pStyle w:val="BodyText"/>
            </w:pPr>
            <w:r w:rsidRPr="00867BC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867BC4" w:rsidP="00867BC4">
            <w:pPr>
              <w:pStyle w:val="BodyText"/>
            </w:pPr>
            <w:r w:rsidRPr="00867BC4">
              <w:rPr>
                <w:rStyle w:val="SpecialBold"/>
              </w:rPr>
              <w:t>2</w:t>
            </w:r>
            <w:r w:rsidRPr="00867BC4">
              <w:t>.</w:t>
            </w:r>
            <w:r w:rsidRPr="00867BC4">
              <w:rPr>
                <w:rStyle w:val="SpecialBold"/>
              </w:rPr>
              <w:t>2</w:t>
            </w:r>
            <w:r w:rsidRPr="00867BC4">
              <w:t xml:space="preserve">) </w:t>
            </w:r>
          </w:p>
          <w:p w:rsidR="00000000" w:rsidP="00867BC4">
            <w:pPr>
              <w:pStyle w:val="BodyText"/>
              <w:rPr>
                <w:lang w:val="en-NZ"/>
              </w:rPr>
            </w:pPr>
            <w:r w:rsidRPr="00867BC4">
              <w:t>Participants are best equipped to achieve this unit if they have reading, writing and maths skills indicated by the following scales. Description of each scale is given in Volume 2, Part 3 Literacy and Numeracy</w:t>
            </w:r>
          </w:p>
        </w:tc>
      </w:tr>
      <w:tr w:rsidTr="000F25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Reading</w:t>
            </w:r>
          </w:p>
        </w:tc>
        <w:tc>
          <w:tcPr>
            <w:tcW w:w="805"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3</w:t>
            </w:r>
          </w:p>
        </w:tc>
        <w:tc>
          <w:tcPr>
            <w:tcW w:w="1184"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Writing</w:t>
            </w:r>
          </w:p>
        </w:tc>
        <w:tc>
          <w:tcPr>
            <w:tcW w:w="805"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3</w:t>
            </w:r>
          </w:p>
        </w:tc>
        <w:tc>
          <w:tcPr>
            <w:tcW w:w="1172"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t>Maths</w:t>
            </w:r>
          </w:p>
        </w:tc>
        <w:tc>
          <w:tcPr>
            <w:tcW w:w="805" w:type="dxa"/>
            <w:tcBorders>
              <w:top w:val="nil"/>
              <w:left w:val="nil"/>
              <w:bottom w:val="nil"/>
              <w:right w:val="nil"/>
            </w:tcBorders>
            <w:tcMar>
              <w:top w:w="0" w:type="dxa"/>
              <w:left w:w="62" w:type="dxa"/>
              <w:bottom w:w="0" w:type="dxa"/>
              <w:right w:w="62" w:type="dxa"/>
            </w:tcMar>
          </w:tcPr>
          <w:p w:rsidR="00000000" w:rsidRPr="00867BC4" w:rsidP="00867BC4">
            <w:pPr>
              <w:pStyle w:val="BodyText"/>
            </w:pPr>
            <w:r w:rsidRPr="00867BC4">
              <w:t>3</w:t>
            </w:r>
          </w:p>
        </w:tc>
      </w:tr>
    </w:tbl>
    <w:p w:rsidR="000F256B" w:rsidP="00867BC4">
      <w:pPr>
        <w:pStyle w:val="BodyText"/>
      </w:pPr>
    </w:p>
    <w:p w:rsidR="000F256B" w:rsidP="00867BC4">
      <w:pPr>
        <w:pStyle w:val="BodyText"/>
      </w:pPr>
    </w:p>
    <w:p w:rsidR="00000000" w:rsidRPr="00867BC4" w:rsidP="00867BC4">
      <w:pPr>
        <w:pStyle w:val="Heading1"/>
      </w:pPr>
      <w:bookmarkStart w:id="14" w:name="O_230746"/>
      <w:bookmarkEnd w:id="14"/>
      <w:r w:rsidRPr="00867BC4">
        <w:t>Competency Field</w:t>
      </w:r>
    </w:p>
    <w:tbl>
      <w:tblPr>
        <w:tblW w:w="0" w:type="auto"/>
        <w:tblLayout w:type="fixed"/>
        <w:tblCellMar>
          <w:left w:w="62" w:type="dxa"/>
          <w:right w:w="62" w:type="dxa"/>
        </w:tblCellMar>
        <w:tblLook w:val="0000"/>
      </w:tblPr>
      <w:tblGrid>
        <w:gridCol w:w="2700"/>
        <w:gridCol w:w="5760"/>
      </w:tblGrid>
      <w:tr w:rsidTr="000F256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67BC4" w:rsidP="00867BC4">
            <w:pPr>
              <w:pStyle w:val="BodyText"/>
            </w:pPr>
            <w:r w:rsidRPr="00867BC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67BC4">
            <w:pPr>
              <w:pStyle w:val="BodyText"/>
              <w:rPr>
                <w:lang w:val="en-NZ"/>
              </w:rPr>
            </w:pPr>
            <w:r w:rsidRPr="00867BC4">
              <w:rPr>
                <w:rStyle w:val="SpecialBold"/>
              </w:rPr>
              <w:t>4</w:t>
            </w:r>
            <w:r w:rsidRPr="00867BC4">
              <w:t xml:space="preserve">) </w:t>
            </w:r>
          </w:p>
        </w:tc>
      </w:tr>
      <w:tr w:rsidTr="000F25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67BC4" w:rsidP="00867BC4">
            <w:pPr>
              <w:pStyle w:val="BodyText"/>
            </w:pPr>
            <w:r w:rsidRPr="00867BC4">
              <w:t>Operations.</w:t>
            </w:r>
          </w:p>
        </w:tc>
      </w:tr>
    </w:tbl>
    <w:p w:rsidR="000F256B" w:rsidP="00867BC4">
      <w:pPr>
        <w:pStyle w:val="BodyText"/>
      </w:pPr>
    </w:p>
    <w:p w:rsidR="000F256B" w:rsidP="00867BC4">
      <w:pPr>
        <w:pStyle w:val="BodyText"/>
      </w:pPr>
    </w:p>
    <w:p w:rsidR="00000000" w:rsidRPr="00867BC4" w:rsidP="00867BC4"/>
    <w:sectPr w:rsidSect="00867B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B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256B" w:rsidP="000F25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B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56B" w:rsidP="00867B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F256B" w:rsidP="00867B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F256B" w:rsidP="00867B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B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256B" w:rsidP="000F256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B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56B" w:rsidP="00867BC4">
    <w:pPr>
      <w:pStyle w:val="Header"/>
      <w:framePr w:wrap="around"/>
    </w:pPr>
    <w:r>
      <w:fldChar w:fldCharType="begin"/>
    </w:r>
    <w:r>
      <w:instrText xml:space="preserve"> TITLE   \* MERGEFORMAT </w:instrText>
    </w:r>
    <w:r>
      <w:fldChar w:fldCharType="separate"/>
    </w:r>
    <w:r>
      <w:t>UEPOPS357A Operate H.V. Secondary Switchgear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F256B" w:rsidP="00867BC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F0DA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A609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BC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7BC4"/>
    <w:pPr>
      <w:spacing w:before="360" w:after="60"/>
      <w:outlineLvl w:val="0"/>
    </w:pPr>
    <w:rPr>
      <w:sz w:val="32"/>
    </w:rPr>
  </w:style>
  <w:style w:type="paragraph" w:styleId="Heading2">
    <w:name w:val="heading 2"/>
    <w:basedOn w:val="HeadingBase"/>
    <w:next w:val="BodyText"/>
    <w:link w:val="Heading2Char"/>
    <w:qFormat/>
    <w:rsid w:val="00867BC4"/>
    <w:pPr>
      <w:keepLines/>
      <w:spacing w:before="240" w:after="120"/>
      <w:outlineLvl w:val="1"/>
    </w:pPr>
    <w:rPr>
      <w:sz w:val="28"/>
      <w:szCs w:val="40"/>
    </w:rPr>
  </w:style>
  <w:style w:type="paragraph" w:styleId="Heading3">
    <w:name w:val="heading 3"/>
    <w:basedOn w:val="HeadingBase"/>
    <w:next w:val="BodyText"/>
    <w:link w:val="Heading3Char"/>
    <w:qFormat/>
    <w:rsid w:val="00867BC4"/>
    <w:pPr>
      <w:spacing w:before="180" w:after="120"/>
      <w:outlineLvl w:val="2"/>
    </w:pPr>
    <w:rPr>
      <w:spacing w:val="-10"/>
      <w:kern w:val="32"/>
    </w:rPr>
  </w:style>
  <w:style w:type="paragraph" w:styleId="Heading4">
    <w:name w:val="heading 4"/>
    <w:basedOn w:val="HeadingBase"/>
    <w:next w:val="BodyText"/>
    <w:link w:val="Heading4Char"/>
    <w:qFormat/>
    <w:rsid w:val="00867BC4"/>
    <w:pPr>
      <w:spacing w:before="160" w:after="120"/>
      <w:outlineLvl w:val="3"/>
    </w:pPr>
    <w:rPr>
      <w:sz w:val="22"/>
    </w:rPr>
  </w:style>
  <w:style w:type="paragraph" w:styleId="Heading5">
    <w:name w:val="heading 5"/>
    <w:basedOn w:val="HeadingBase"/>
    <w:next w:val="Normal"/>
    <w:link w:val="Heading5Char"/>
    <w:qFormat/>
    <w:rsid w:val="00867BC4"/>
    <w:pPr>
      <w:spacing w:before="80"/>
      <w:outlineLvl w:val="4"/>
    </w:pPr>
    <w:rPr>
      <w:color w:val="918585"/>
      <w:sz w:val="20"/>
    </w:rPr>
  </w:style>
  <w:style w:type="paragraph" w:styleId="Heading6">
    <w:name w:val="heading 6"/>
    <w:basedOn w:val="HeadingBase"/>
    <w:next w:val="Normal"/>
    <w:link w:val="Heading6Char"/>
    <w:qFormat/>
    <w:rsid w:val="00867BC4"/>
    <w:pPr>
      <w:spacing w:before="60"/>
      <w:outlineLvl w:val="5"/>
    </w:pPr>
    <w:rPr>
      <w:color w:val="918585"/>
      <w:sz w:val="20"/>
    </w:rPr>
  </w:style>
  <w:style w:type="paragraph" w:styleId="Heading7">
    <w:name w:val="heading 7"/>
    <w:basedOn w:val="Normal"/>
    <w:next w:val="Normal"/>
    <w:link w:val="Heading7Char"/>
    <w:qFormat/>
    <w:rsid w:val="00867BC4"/>
    <w:pPr>
      <w:ind w:left="720"/>
      <w:outlineLvl w:val="6"/>
    </w:pPr>
    <w:rPr>
      <w:i/>
    </w:rPr>
  </w:style>
  <w:style w:type="paragraph" w:styleId="Heading8">
    <w:name w:val="heading 8"/>
    <w:basedOn w:val="Normal"/>
    <w:next w:val="Normal"/>
    <w:link w:val="Heading8Char"/>
    <w:qFormat/>
    <w:rsid w:val="00867BC4"/>
    <w:pPr>
      <w:ind w:left="720"/>
      <w:outlineLvl w:val="7"/>
    </w:pPr>
    <w:rPr>
      <w:i/>
    </w:rPr>
  </w:style>
  <w:style w:type="paragraph" w:styleId="Heading9">
    <w:name w:val="heading 9"/>
    <w:basedOn w:val="Normal"/>
    <w:next w:val="Normal"/>
    <w:link w:val="Heading9Char"/>
    <w:qFormat/>
    <w:rsid w:val="00867BC4"/>
    <w:pPr>
      <w:ind w:left="720"/>
      <w:outlineLvl w:val="8"/>
    </w:pPr>
    <w:rPr>
      <w:i/>
    </w:rPr>
  </w:style>
  <w:style w:type="character" w:default="1" w:styleId="DefaultParagraphFont">
    <w:name w:val="Default Paragraph Font"/>
    <w:uiPriority w:val="1"/>
    <w:unhideWhenUsed/>
    <w:rsid w:val="00867B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7BC4"/>
  </w:style>
  <w:style w:type="character" w:customStyle="1" w:styleId="Heading1Char">
    <w:name w:val="Heading 1 Char"/>
    <w:basedOn w:val="DefaultParagraphFont"/>
    <w:link w:val="Heading1"/>
    <w:rsid w:val="00867BC4"/>
    <w:rPr>
      <w:rFonts w:ascii="Times New Roman" w:eastAsia="Times New Roman" w:hAnsi="Times New Roman" w:cs="Times New Roman"/>
      <w:b/>
      <w:sz w:val="32"/>
      <w:szCs w:val="20"/>
      <w:lang w:eastAsia="en-US"/>
    </w:rPr>
  </w:style>
  <w:style w:type="paragraph" w:styleId="BodyText">
    <w:name w:val="Body Text"/>
    <w:basedOn w:val="Normal"/>
    <w:link w:val="BodyTextChar"/>
    <w:rsid w:val="00867B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7BC4"/>
    <w:rPr>
      <w:rFonts w:ascii="Times New Roman" w:eastAsia="Times New Roman" w:hAnsi="Times New Roman" w:cs="Times New Roman"/>
      <w:sz w:val="24"/>
      <w:lang w:val="en-US" w:eastAsia="en-US"/>
    </w:rPr>
  </w:style>
  <w:style w:type="paragraph" w:styleId="Footer">
    <w:name w:val="footer"/>
    <w:basedOn w:val="Normal"/>
    <w:link w:val="FooterChar"/>
    <w:rsid w:val="00867B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7BC4"/>
    <w:rPr>
      <w:rFonts w:ascii="Times New Roman" w:eastAsia="Times New Roman" w:hAnsi="Times New Roman" w:cs="Times New Roman"/>
      <w:sz w:val="16"/>
      <w:lang w:val="en-US" w:eastAsia="en-US"/>
    </w:rPr>
  </w:style>
  <w:style w:type="paragraph" w:styleId="ListBullet">
    <w:name w:val="List Bullet"/>
    <w:basedOn w:val="List"/>
    <w:rsid w:val="00867BC4"/>
    <w:pPr>
      <w:numPr>
        <w:numId w:val="13"/>
      </w:numPr>
      <w:tabs>
        <w:tab w:val="clear" w:pos="340"/>
      </w:tabs>
      <w:spacing w:before="40" w:after="40"/>
    </w:pPr>
  </w:style>
  <w:style w:type="character" w:customStyle="1" w:styleId="SpecialBold">
    <w:name w:val="Special Bold"/>
    <w:basedOn w:val="DefaultParagraphFont"/>
    <w:rsid w:val="00867BC4"/>
    <w:rPr>
      <w:b/>
      <w:spacing w:val="0"/>
    </w:rPr>
  </w:style>
  <w:style w:type="paragraph" w:styleId="Header">
    <w:name w:val="header"/>
    <w:basedOn w:val="Normal"/>
    <w:link w:val="HeaderChar"/>
    <w:rsid w:val="00867B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7BC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67BC4"/>
    <w:pPr>
      <w:spacing w:before="240" w:after="120"/>
      <w:outlineLvl w:val="0"/>
    </w:pPr>
    <w:rPr>
      <w:rFonts w:ascii="Times New Roman" w:hAnsi="Times New Roman"/>
      <w:b/>
      <w:sz w:val="28"/>
    </w:rPr>
  </w:style>
  <w:style w:type="paragraph" w:customStyle="1" w:styleId="AllowPageBreak">
    <w:name w:val="AllowPageBreak"/>
    <w:rsid w:val="00867BC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67BC4"/>
    <w:pPr>
      <w:numPr>
        <w:numId w:val="2"/>
      </w:numPr>
      <w:tabs>
        <w:tab w:val="clear" w:pos="1021"/>
      </w:tabs>
      <w:ind w:left="1037" w:hanging="357"/>
    </w:pPr>
  </w:style>
  <w:style w:type="character" w:customStyle="1" w:styleId="Heading2Char">
    <w:name w:val="Heading 2 Char"/>
    <w:basedOn w:val="DefaultParagraphFont"/>
    <w:link w:val="Heading2"/>
    <w:rsid w:val="00867B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7B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7B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7B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7B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7BC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7BC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7BC4"/>
    <w:rPr>
      <w:rFonts w:ascii="Courier New" w:eastAsia="Times New Roman" w:hAnsi="Courier New" w:cs="Times New Roman"/>
      <w:i/>
      <w:szCs w:val="20"/>
      <w:lang w:val="en-US" w:eastAsia="en-US"/>
    </w:rPr>
  </w:style>
  <w:style w:type="paragraph" w:customStyle="1" w:styleId="HeadingBase">
    <w:name w:val="Heading Base"/>
    <w:rsid w:val="00867B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7BC4"/>
    <w:pPr>
      <w:tabs>
        <w:tab w:val="right" w:leader="dot" w:pos="9072"/>
      </w:tabs>
      <w:ind w:left="567"/>
    </w:pPr>
    <w:rPr>
      <w:szCs w:val="22"/>
    </w:rPr>
  </w:style>
  <w:style w:type="paragraph" w:customStyle="1" w:styleId="TOCBase">
    <w:name w:val="TOC Base"/>
    <w:rsid w:val="00867B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7BC4"/>
    <w:pPr>
      <w:tabs>
        <w:tab w:val="right" w:leader="dot" w:pos="9072"/>
      </w:tabs>
      <w:spacing w:before="40" w:after="40"/>
      <w:ind w:left="284"/>
    </w:pPr>
    <w:rPr>
      <w:rFonts w:ascii="Times New Roman" w:hAnsi="Times New Roman"/>
    </w:rPr>
  </w:style>
  <w:style w:type="paragraph" w:styleId="TOC1">
    <w:name w:val="toc 1"/>
    <w:basedOn w:val="TOCBase"/>
    <w:next w:val="Normal"/>
    <w:rsid w:val="00867B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7BC4"/>
    <w:pPr>
      <w:spacing w:before="5040"/>
      <w:jc w:val="center"/>
    </w:pPr>
    <w:rPr>
      <w:sz w:val="48"/>
      <w:szCs w:val="72"/>
      <w:lang w:val="en-US"/>
    </w:rPr>
  </w:style>
  <w:style w:type="character" w:customStyle="1" w:styleId="TitleChar">
    <w:name w:val="Title Char"/>
    <w:basedOn w:val="DefaultParagraphFont"/>
    <w:link w:val="Title"/>
    <w:rsid w:val="00867B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7BC4"/>
    <w:pPr>
      <w:tabs>
        <w:tab w:val="left" w:pos="3600"/>
        <w:tab w:val="left" w:pos="3958"/>
      </w:tabs>
    </w:pPr>
  </w:style>
  <w:style w:type="paragraph" w:styleId="List">
    <w:name w:val="List"/>
    <w:basedOn w:val="BodyText"/>
    <w:next w:val="BodyText"/>
    <w:rsid w:val="00867BC4"/>
    <w:pPr>
      <w:tabs>
        <w:tab w:val="left" w:pos="340"/>
      </w:tabs>
      <w:spacing w:before="60" w:after="60"/>
      <w:ind w:left="340" w:hanging="340"/>
    </w:pPr>
  </w:style>
  <w:style w:type="paragraph" w:customStyle="1" w:styleId="Note">
    <w:name w:val="Note"/>
    <w:basedOn w:val="BodyText"/>
    <w:rsid w:val="00867B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7BC4"/>
    <w:pPr>
      <w:framePr w:wrap="auto" w:hAnchor="text" w:y="6049"/>
    </w:pPr>
    <w:rPr>
      <w:color w:val="000000"/>
      <w:sz w:val="40"/>
    </w:rPr>
  </w:style>
  <w:style w:type="paragraph" w:customStyle="1" w:styleId="TOCTitle">
    <w:name w:val="TOCTitle"/>
    <w:basedOn w:val="Heading1"/>
    <w:rsid w:val="00867BC4"/>
    <w:pPr>
      <w:spacing w:after="240"/>
      <w:jc w:val="center"/>
      <w:outlineLvl w:val="9"/>
    </w:pPr>
    <w:rPr>
      <w:caps/>
    </w:rPr>
  </w:style>
  <w:style w:type="paragraph" w:customStyle="1" w:styleId="Version">
    <w:name w:val="Version"/>
    <w:rsid w:val="00867B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7BC4"/>
    <w:pPr>
      <w:numPr>
        <w:numId w:val="14"/>
      </w:numPr>
      <w:tabs>
        <w:tab w:val="clear" w:pos="680"/>
      </w:tabs>
    </w:pPr>
  </w:style>
  <w:style w:type="paragraph" w:styleId="Index1">
    <w:name w:val="index 1"/>
    <w:basedOn w:val="Normal"/>
    <w:next w:val="Normal"/>
    <w:semiHidden/>
    <w:rsid w:val="00867BC4"/>
    <w:pPr>
      <w:keepNext w:val="0"/>
      <w:tabs>
        <w:tab w:val="right" w:pos="4176"/>
      </w:tabs>
      <w:ind w:left="198" w:hanging="198"/>
    </w:pPr>
    <w:rPr>
      <w:rFonts w:ascii="Garamond" w:hAnsi="Garamond"/>
    </w:rPr>
  </w:style>
  <w:style w:type="paragraph" w:styleId="IndexHeading">
    <w:name w:val="index heading"/>
    <w:basedOn w:val="Normal"/>
    <w:next w:val="Index1"/>
    <w:semiHidden/>
    <w:rsid w:val="00867BC4"/>
    <w:pPr>
      <w:spacing w:before="120" w:after="120"/>
    </w:pPr>
    <w:rPr>
      <w:rFonts w:ascii="Arial" w:hAnsi="Arial"/>
      <w:b/>
      <w:color w:val="918585"/>
      <w:sz w:val="24"/>
    </w:rPr>
  </w:style>
  <w:style w:type="paragraph" w:customStyle="1" w:styleId="Chapter">
    <w:name w:val="Chapter"/>
    <w:basedOn w:val="Normal"/>
    <w:rsid w:val="00867BC4"/>
    <w:pPr>
      <w:spacing w:before="240"/>
    </w:pPr>
    <w:rPr>
      <w:rFonts w:ascii="Times New Roman" w:hAnsi="Times New Roman"/>
      <w:smallCaps/>
      <w:spacing w:val="80"/>
      <w:sz w:val="28"/>
    </w:rPr>
  </w:style>
  <w:style w:type="paragraph" w:customStyle="1" w:styleId="InChapter">
    <w:name w:val="InChapter"/>
    <w:basedOn w:val="Heading3"/>
    <w:rsid w:val="00867BC4"/>
    <w:pPr>
      <w:spacing w:after="240"/>
      <w:outlineLvl w:val="9"/>
    </w:pPr>
    <w:rPr>
      <w:noProof/>
    </w:rPr>
  </w:style>
  <w:style w:type="paragraph" w:styleId="Index2">
    <w:name w:val="index 2"/>
    <w:basedOn w:val="Normal"/>
    <w:next w:val="Normal"/>
    <w:semiHidden/>
    <w:rsid w:val="00867BC4"/>
    <w:pPr>
      <w:tabs>
        <w:tab w:val="right" w:pos="4176"/>
      </w:tabs>
      <w:ind w:left="568" w:hanging="284"/>
    </w:pPr>
    <w:rPr>
      <w:rFonts w:ascii="Garamond" w:hAnsi="Garamond"/>
    </w:rPr>
  </w:style>
  <w:style w:type="paragraph" w:customStyle="1" w:styleId="Byline">
    <w:name w:val="Byline"/>
    <w:rsid w:val="00867B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7BC4"/>
    <w:pPr>
      <w:tabs>
        <w:tab w:val="clear" w:pos="3600"/>
        <w:tab w:val="clear" w:pos="3958"/>
      </w:tabs>
      <w:jc w:val="right"/>
    </w:pPr>
  </w:style>
  <w:style w:type="character" w:styleId="Emphasis">
    <w:name w:val="Emphasis"/>
    <w:basedOn w:val="DefaultParagraphFont"/>
    <w:qFormat/>
    <w:rsid w:val="00867BC4"/>
    <w:rPr>
      <w:i/>
    </w:rPr>
  </w:style>
  <w:style w:type="paragraph" w:styleId="Caption">
    <w:name w:val="caption"/>
    <w:basedOn w:val="BodyText"/>
    <w:next w:val="Normal"/>
    <w:qFormat/>
    <w:rsid w:val="00867BC4"/>
    <w:pPr>
      <w:framePr w:w="2268" w:hSpace="181" w:vSpace="181" w:wrap="around" w:vAnchor="text" w:hAnchor="page" w:x="1135" w:y="285" w:anchorLock="1"/>
    </w:pPr>
    <w:rPr>
      <w:i/>
    </w:rPr>
  </w:style>
  <w:style w:type="paragraph" w:customStyle="1" w:styleId="MiniTOCTitle">
    <w:name w:val="MiniTOCTitle"/>
    <w:basedOn w:val="Heading4"/>
    <w:rsid w:val="00867BC4"/>
    <w:pPr>
      <w:spacing w:before="240"/>
      <w:outlineLvl w:val="9"/>
    </w:pPr>
    <w:rPr>
      <w:noProof/>
      <w:sz w:val="24"/>
    </w:rPr>
  </w:style>
  <w:style w:type="paragraph" w:customStyle="1" w:styleId="MiniTOCItem">
    <w:name w:val="MiniTOCItem"/>
    <w:basedOn w:val="ListBullet"/>
    <w:rsid w:val="00867BC4"/>
    <w:pPr>
      <w:numPr>
        <w:numId w:val="0"/>
      </w:numPr>
      <w:tabs>
        <w:tab w:val="right" w:leader="dot" w:pos="6521"/>
      </w:tabs>
      <w:spacing w:before="0" w:after="0"/>
    </w:pPr>
  </w:style>
  <w:style w:type="paragraph" w:customStyle="1" w:styleId="TOFTitle">
    <w:name w:val="TOFTitle"/>
    <w:basedOn w:val="TOCTitle"/>
    <w:rsid w:val="00867BC4"/>
  </w:style>
  <w:style w:type="paragraph" w:styleId="TableofFigures">
    <w:name w:val="table of figures"/>
    <w:basedOn w:val="Normal"/>
    <w:next w:val="Normal"/>
    <w:semiHidden/>
    <w:rsid w:val="00867BC4"/>
    <w:pPr>
      <w:tabs>
        <w:tab w:val="right" w:leader="dot" w:pos="9072"/>
      </w:tabs>
      <w:ind w:left="970" w:hanging="403"/>
    </w:pPr>
    <w:rPr>
      <w:rFonts w:ascii="Times New Roman" w:hAnsi="Times New Roman"/>
      <w:b/>
    </w:rPr>
  </w:style>
  <w:style w:type="paragraph" w:styleId="ListNumber">
    <w:name w:val="List Number"/>
    <w:basedOn w:val="List"/>
    <w:rsid w:val="00867BC4"/>
    <w:pPr>
      <w:numPr>
        <w:numId w:val="11"/>
      </w:numPr>
    </w:pPr>
  </w:style>
  <w:style w:type="character" w:customStyle="1" w:styleId="WingdingSymbols">
    <w:name w:val="Wingding Symbols"/>
    <w:rsid w:val="00867BC4"/>
    <w:rPr>
      <w:rFonts w:ascii="Wingdings" w:hAnsi="Wingdings"/>
    </w:rPr>
  </w:style>
  <w:style w:type="paragraph" w:customStyle="1" w:styleId="TableHeading">
    <w:name w:val="Table Heading"/>
    <w:basedOn w:val="HeadingBase"/>
    <w:rsid w:val="00867BC4"/>
    <w:pPr>
      <w:keepLines/>
      <w:pBdr>
        <w:bottom w:val="single" w:sz="6" w:space="1" w:color="918585"/>
      </w:pBdr>
      <w:spacing w:before="240"/>
    </w:pPr>
  </w:style>
  <w:style w:type="character" w:customStyle="1" w:styleId="HotSpot">
    <w:name w:val="HotSpot"/>
    <w:rsid w:val="00867BC4"/>
    <w:rPr>
      <w:color w:val="0033CC"/>
      <w:u w:val="none"/>
    </w:rPr>
  </w:style>
  <w:style w:type="paragraph" w:customStyle="1" w:styleId="BodyTextRight">
    <w:name w:val="Body Text Right"/>
    <w:basedOn w:val="BodyText"/>
    <w:rsid w:val="00867BC4"/>
    <w:pPr>
      <w:spacing w:before="0" w:after="0"/>
      <w:jc w:val="right"/>
    </w:pPr>
  </w:style>
  <w:style w:type="paragraph" w:styleId="Index3">
    <w:name w:val="index 3"/>
    <w:basedOn w:val="ListNumber2"/>
    <w:next w:val="Normal"/>
    <w:semiHidden/>
    <w:rsid w:val="00867BC4"/>
    <w:pPr>
      <w:numPr>
        <w:numId w:val="0"/>
      </w:numPr>
      <w:tabs>
        <w:tab w:val="right" w:leader="dot" w:pos="4176"/>
      </w:tabs>
    </w:pPr>
  </w:style>
  <w:style w:type="paragraph" w:styleId="ListNumber2">
    <w:name w:val="List Number 2"/>
    <w:basedOn w:val="List2"/>
    <w:rsid w:val="00867BC4"/>
    <w:pPr>
      <w:numPr>
        <w:numId w:val="10"/>
      </w:numPr>
      <w:tabs>
        <w:tab w:val="clear" w:pos="1060"/>
      </w:tabs>
    </w:pPr>
  </w:style>
  <w:style w:type="paragraph" w:customStyle="1" w:styleId="MarginNote">
    <w:name w:val="Margin Note"/>
    <w:basedOn w:val="BodyText"/>
    <w:rsid w:val="00867B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7B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7BC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7BC4"/>
    <w:rPr>
      <w:sz w:val="32"/>
    </w:rPr>
  </w:style>
  <w:style w:type="paragraph" w:customStyle="1" w:styleId="HeadingProcedure">
    <w:name w:val="Heading Procedure"/>
    <w:basedOn w:val="HeadingBase"/>
    <w:next w:val="Normal"/>
    <w:rsid w:val="00867BC4"/>
    <w:pPr>
      <w:tabs>
        <w:tab w:val="left" w:pos="0"/>
      </w:tabs>
      <w:spacing w:before="120" w:after="60"/>
    </w:pPr>
    <w:rPr>
      <w:i/>
      <w:color w:val="918585"/>
      <w:sz w:val="22"/>
    </w:rPr>
  </w:style>
  <w:style w:type="paragraph" w:customStyle="1" w:styleId="TableBodyText">
    <w:name w:val="Table Body Text"/>
    <w:basedOn w:val="BodyText"/>
    <w:rsid w:val="00867BC4"/>
    <w:pPr>
      <w:spacing w:before="60" w:after="60"/>
    </w:pPr>
  </w:style>
  <w:style w:type="paragraph" w:styleId="ListContinue">
    <w:name w:val="List Continue"/>
    <w:basedOn w:val="List"/>
    <w:rsid w:val="00867BC4"/>
    <w:pPr>
      <w:ind w:firstLine="0"/>
    </w:pPr>
  </w:style>
  <w:style w:type="paragraph" w:customStyle="1" w:styleId="ListNote">
    <w:name w:val="List Note"/>
    <w:basedOn w:val="List"/>
    <w:rsid w:val="00867BC4"/>
    <w:pPr>
      <w:pBdr>
        <w:top w:val="single" w:sz="6" w:space="2" w:color="918585"/>
        <w:bottom w:val="single" w:sz="6" w:space="2" w:color="918585"/>
      </w:pBdr>
      <w:tabs>
        <w:tab w:val="left" w:pos="1021"/>
      </w:tabs>
      <w:ind w:firstLine="0"/>
    </w:pPr>
  </w:style>
  <w:style w:type="paragraph" w:customStyle="1" w:styleId="Warning">
    <w:name w:val="Warning"/>
    <w:basedOn w:val="BodyText"/>
    <w:rsid w:val="00867BC4"/>
    <w:pPr>
      <w:shd w:val="clear" w:color="auto" w:fill="D9D9D9"/>
      <w:tabs>
        <w:tab w:val="left" w:pos="992"/>
      </w:tabs>
      <w:ind w:left="119" w:right="119"/>
    </w:pPr>
    <w:rPr>
      <w:sz w:val="20"/>
    </w:rPr>
  </w:style>
  <w:style w:type="paragraph" w:customStyle="1" w:styleId="MarginIcons">
    <w:name w:val="Margin Icons"/>
    <w:basedOn w:val="BodyText"/>
    <w:rsid w:val="00867B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7BC4"/>
    <w:rPr>
      <w:rFonts w:ascii="Courier New" w:hAnsi="Courier New"/>
    </w:rPr>
  </w:style>
  <w:style w:type="paragraph" w:customStyle="1" w:styleId="NoteBullet">
    <w:name w:val="Note Bullet"/>
    <w:basedOn w:val="Note"/>
    <w:rsid w:val="00867BC4"/>
    <w:pPr>
      <w:tabs>
        <w:tab w:val="clear" w:pos="680"/>
      </w:tabs>
      <w:spacing w:before="60" w:after="60"/>
    </w:pPr>
  </w:style>
  <w:style w:type="paragraph" w:customStyle="1" w:styleId="SubHeading2">
    <w:name w:val="SubHeading2"/>
    <w:basedOn w:val="HeadingBase"/>
    <w:rsid w:val="00867BC4"/>
    <w:pPr>
      <w:spacing w:before="240" w:after="60"/>
    </w:pPr>
    <w:rPr>
      <w:sz w:val="20"/>
    </w:rPr>
  </w:style>
  <w:style w:type="paragraph" w:customStyle="1" w:styleId="SubHeading1">
    <w:name w:val="SubHeading1"/>
    <w:basedOn w:val="HeadingBase"/>
    <w:rsid w:val="00867BC4"/>
    <w:pPr>
      <w:spacing w:before="240" w:after="60"/>
    </w:pPr>
    <w:rPr>
      <w:color w:val="918585"/>
      <w:sz w:val="22"/>
    </w:rPr>
  </w:style>
  <w:style w:type="paragraph" w:customStyle="1" w:styleId="SideHeading">
    <w:name w:val="Side Heading"/>
    <w:basedOn w:val="HeadingBase"/>
    <w:rsid w:val="00867B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7BC4"/>
    <w:pPr>
      <w:numPr>
        <w:numId w:val="12"/>
      </w:numPr>
    </w:pPr>
  </w:style>
  <w:style w:type="paragraph" w:styleId="PlainText">
    <w:name w:val="Plain Text"/>
    <w:basedOn w:val="Normal"/>
    <w:link w:val="PlainTextChar"/>
    <w:rsid w:val="00867BC4"/>
    <w:rPr>
      <w:sz w:val="20"/>
    </w:rPr>
  </w:style>
  <w:style w:type="character" w:customStyle="1" w:styleId="PlainTextChar">
    <w:name w:val="Plain Text Char"/>
    <w:basedOn w:val="DefaultParagraphFont"/>
    <w:link w:val="PlainText"/>
    <w:rsid w:val="00867BC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67BC4"/>
    <w:rPr>
      <w:b/>
      <w:smallCaps/>
    </w:rPr>
  </w:style>
  <w:style w:type="paragraph" w:customStyle="1" w:styleId="TableListNumber">
    <w:name w:val="Table List Number"/>
    <w:basedOn w:val="ListNumber"/>
    <w:rsid w:val="00867BC4"/>
    <w:pPr>
      <w:numPr>
        <w:numId w:val="0"/>
      </w:numPr>
    </w:pPr>
  </w:style>
  <w:style w:type="paragraph" w:styleId="TOC4">
    <w:name w:val="toc 4"/>
    <w:basedOn w:val="TOCBase"/>
    <w:next w:val="Normal"/>
    <w:semiHidden/>
    <w:rsid w:val="00867BC4"/>
    <w:pPr>
      <w:tabs>
        <w:tab w:val="right" w:leader="dot" w:pos="9071"/>
      </w:tabs>
      <w:ind w:left="1701"/>
    </w:pPr>
  </w:style>
  <w:style w:type="paragraph" w:customStyle="1" w:styleId="ListAlpha">
    <w:name w:val="List Alpha"/>
    <w:basedOn w:val="List"/>
    <w:rsid w:val="00867BC4"/>
    <w:pPr>
      <w:numPr>
        <w:numId w:val="9"/>
      </w:numPr>
    </w:pPr>
  </w:style>
  <w:style w:type="paragraph" w:customStyle="1" w:styleId="ListAlpha2">
    <w:name w:val="List Alpha 2"/>
    <w:basedOn w:val="List2"/>
    <w:rsid w:val="00867BC4"/>
    <w:pPr>
      <w:numPr>
        <w:numId w:val="8"/>
      </w:numPr>
    </w:pPr>
  </w:style>
  <w:style w:type="paragraph" w:styleId="List2">
    <w:name w:val="List 2"/>
    <w:basedOn w:val="BodyText"/>
    <w:rsid w:val="00867BC4"/>
    <w:pPr>
      <w:tabs>
        <w:tab w:val="left" w:pos="680"/>
      </w:tabs>
      <w:spacing w:before="60" w:after="60"/>
      <w:ind w:left="680" w:hanging="340"/>
    </w:pPr>
  </w:style>
  <w:style w:type="paragraph" w:styleId="List3">
    <w:name w:val="List 3"/>
    <w:basedOn w:val="BodyText"/>
    <w:rsid w:val="00867BC4"/>
    <w:pPr>
      <w:tabs>
        <w:tab w:val="left" w:pos="1021"/>
      </w:tabs>
      <w:spacing w:before="60" w:after="60"/>
      <w:ind w:left="1020" w:hanging="340"/>
    </w:pPr>
  </w:style>
  <w:style w:type="paragraph" w:styleId="List4">
    <w:name w:val="List 4"/>
    <w:basedOn w:val="BodyText"/>
    <w:rsid w:val="00867BC4"/>
    <w:pPr>
      <w:tabs>
        <w:tab w:val="left" w:pos="1361"/>
      </w:tabs>
      <w:spacing w:before="60" w:after="60"/>
      <w:ind w:left="1361" w:hanging="340"/>
    </w:pPr>
  </w:style>
  <w:style w:type="paragraph" w:styleId="List5">
    <w:name w:val="List 5"/>
    <w:basedOn w:val="BodyText"/>
    <w:rsid w:val="00867BC4"/>
    <w:pPr>
      <w:tabs>
        <w:tab w:val="left" w:pos="1701"/>
      </w:tabs>
      <w:spacing w:before="60" w:after="60"/>
      <w:ind w:left="1701" w:hanging="340"/>
    </w:pPr>
  </w:style>
  <w:style w:type="paragraph" w:styleId="ListBullet4">
    <w:name w:val="List Bullet 4"/>
    <w:basedOn w:val="List4"/>
    <w:rsid w:val="00867BC4"/>
    <w:pPr>
      <w:numPr>
        <w:numId w:val="3"/>
      </w:numPr>
    </w:pPr>
  </w:style>
  <w:style w:type="paragraph" w:styleId="ListBullet5">
    <w:name w:val="List Bullet 5"/>
    <w:basedOn w:val="List5"/>
    <w:rsid w:val="00867BC4"/>
    <w:pPr>
      <w:numPr>
        <w:numId w:val="4"/>
      </w:numPr>
    </w:pPr>
  </w:style>
  <w:style w:type="paragraph" w:styleId="ListContinue2">
    <w:name w:val="List Continue 2"/>
    <w:basedOn w:val="List2"/>
    <w:rsid w:val="00867BC4"/>
    <w:pPr>
      <w:ind w:firstLine="0"/>
    </w:pPr>
  </w:style>
  <w:style w:type="paragraph" w:styleId="ListContinue3">
    <w:name w:val="List Continue 3"/>
    <w:basedOn w:val="List3"/>
    <w:rsid w:val="00867BC4"/>
    <w:pPr>
      <w:ind w:left="1021" w:firstLine="0"/>
    </w:pPr>
  </w:style>
  <w:style w:type="paragraph" w:styleId="ListContinue4">
    <w:name w:val="List Continue 4"/>
    <w:basedOn w:val="List4"/>
    <w:rsid w:val="00867BC4"/>
    <w:pPr>
      <w:ind w:firstLine="0"/>
    </w:pPr>
  </w:style>
  <w:style w:type="paragraph" w:styleId="ListContinue5">
    <w:name w:val="List Continue 5"/>
    <w:basedOn w:val="List5"/>
    <w:rsid w:val="00867BC4"/>
    <w:pPr>
      <w:ind w:firstLine="0"/>
    </w:pPr>
  </w:style>
  <w:style w:type="paragraph" w:styleId="ListNumber3">
    <w:name w:val="List Number 3"/>
    <w:basedOn w:val="List3"/>
    <w:rsid w:val="00867BC4"/>
    <w:pPr>
      <w:numPr>
        <w:numId w:val="5"/>
      </w:numPr>
    </w:pPr>
  </w:style>
  <w:style w:type="paragraph" w:styleId="ListNumber4">
    <w:name w:val="List Number 4"/>
    <w:basedOn w:val="List4"/>
    <w:rsid w:val="00867BC4"/>
    <w:pPr>
      <w:numPr>
        <w:numId w:val="6"/>
      </w:numPr>
    </w:pPr>
  </w:style>
  <w:style w:type="paragraph" w:styleId="ListNumber5">
    <w:name w:val="List Number 5"/>
    <w:basedOn w:val="List5"/>
    <w:rsid w:val="00867BC4"/>
    <w:pPr>
      <w:numPr>
        <w:numId w:val="7"/>
      </w:numPr>
    </w:pPr>
  </w:style>
  <w:style w:type="paragraph" w:styleId="BlockText">
    <w:name w:val="Block Text"/>
    <w:basedOn w:val="Normal"/>
    <w:rsid w:val="00867BC4"/>
    <w:pPr>
      <w:spacing w:after="120"/>
      <w:ind w:left="1440" w:right="1440"/>
    </w:pPr>
  </w:style>
  <w:style w:type="character" w:customStyle="1" w:styleId="Subscript">
    <w:name w:val="Subscript"/>
    <w:basedOn w:val="DefaultParagraphFont"/>
    <w:rsid w:val="00867BC4"/>
    <w:rPr>
      <w:sz w:val="16"/>
      <w:vertAlign w:val="subscript"/>
    </w:rPr>
  </w:style>
  <w:style w:type="character" w:customStyle="1" w:styleId="Superscript">
    <w:name w:val="Superscript"/>
    <w:basedOn w:val="DefaultParagraphFont"/>
    <w:rsid w:val="00867BC4"/>
    <w:rPr>
      <w:sz w:val="16"/>
      <w:vertAlign w:val="superscript"/>
    </w:rPr>
  </w:style>
  <w:style w:type="character" w:customStyle="1" w:styleId="Symbols">
    <w:name w:val="Symbols"/>
    <w:basedOn w:val="DefaultParagraphFont"/>
    <w:rsid w:val="00867BC4"/>
    <w:rPr>
      <w:rFonts w:ascii="Symbol" w:hAnsi="Symbol"/>
    </w:rPr>
  </w:style>
  <w:style w:type="character" w:customStyle="1" w:styleId="MenuOptions">
    <w:name w:val="Menu Options"/>
    <w:basedOn w:val="DefaultParagraphFont"/>
    <w:rsid w:val="00867BC4"/>
    <w:rPr>
      <w:rFonts w:ascii="Arial Narrow" w:hAnsi="Arial Narrow"/>
      <w:smallCaps/>
    </w:rPr>
  </w:style>
  <w:style w:type="character" w:customStyle="1" w:styleId="Buttons">
    <w:name w:val="Buttons"/>
    <w:basedOn w:val="DefaultParagraphFont"/>
    <w:rsid w:val="00867BC4"/>
    <w:rPr>
      <w:b/>
    </w:rPr>
  </w:style>
  <w:style w:type="character" w:customStyle="1" w:styleId="Underlined">
    <w:name w:val="Underlined"/>
    <w:basedOn w:val="DefaultParagraphFont"/>
    <w:rsid w:val="00867BC4"/>
    <w:rPr>
      <w:u w:val="single"/>
    </w:rPr>
  </w:style>
  <w:style w:type="paragraph" w:customStyle="1" w:styleId="TableBodyTextRight">
    <w:name w:val="Table Body Text Right"/>
    <w:basedOn w:val="TableBodyText"/>
    <w:rsid w:val="00867BC4"/>
    <w:pPr>
      <w:widowControl w:val="0"/>
      <w:autoSpaceDE w:val="0"/>
      <w:autoSpaceDN w:val="0"/>
      <w:adjustRightInd w:val="0"/>
      <w:jc w:val="right"/>
    </w:pPr>
    <w:rPr>
      <w:rFonts w:cs="Arial"/>
      <w:szCs w:val="18"/>
    </w:rPr>
  </w:style>
  <w:style w:type="paragraph" w:customStyle="1" w:styleId="CopyrightText">
    <w:name w:val="Copyright Text"/>
    <w:basedOn w:val="BodyText"/>
    <w:rsid w:val="00867BC4"/>
    <w:rPr>
      <w:sz w:val="18"/>
    </w:rPr>
  </w:style>
  <w:style w:type="paragraph" w:customStyle="1" w:styleId="BodySmallRight">
    <w:name w:val="Body Small Right"/>
    <w:basedOn w:val="BodyTextRight"/>
    <w:rsid w:val="00867BC4"/>
    <w:rPr>
      <w:sz w:val="18"/>
      <w:szCs w:val="18"/>
    </w:rPr>
  </w:style>
  <w:style w:type="paragraph" w:customStyle="1" w:styleId="MarginEdition">
    <w:name w:val="Margin Edition"/>
    <w:basedOn w:val="MarginNote"/>
    <w:rsid w:val="00867BC4"/>
    <w:pPr>
      <w:spacing w:before="0" w:after="0"/>
    </w:pPr>
    <w:rPr>
      <w:rFonts w:ascii="Times New Roman" w:hAnsi="Times New Roman"/>
      <w:color w:val="999999"/>
    </w:rPr>
  </w:style>
  <w:style w:type="paragraph" w:customStyle="1" w:styleId="Spacer">
    <w:name w:val="Spacer"/>
    <w:basedOn w:val="Normal"/>
    <w:rsid w:val="00867BC4"/>
    <w:rPr>
      <w:sz w:val="2"/>
      <w:szCs w:val="2"/>
    </w:rPr>
  </w:style>
  <w:style w:type="character" w:customStyle="1" w:styleId="Small">
    <w:name w:val="Small"/>
    <w:basedOn w:val="DefaultParagraphFont"/>
    <w:rsid w:val="00867BC4"/>
    <w:rPr>
      <w:sz w:val="16"/>
    </w:rPr>
  </w:style>
  <w:style w:type="paragraph" w:customStyle="1" w:styleId="WideTable">
    <w:name w:val="Wide Table"/>
    <w:basedOn w:val="Normal"/>
    <w:rsid w:val="00867BC4"/>
    <w:pPr>
      <w:ind w:left="-1418"/>
    </w:pPr>
    <w:rPr>
      <w:sz w:val="2"/>
      <w:szCs w:val="2"/>
    </w:rPr>
  </w:style>
  <w:style w:type="character" w:styleId="PageNumber">
    <w:name w:val="page number"/>
    <w:basedOn w:val="DefaultParagraphFont"/>
    <w:rsid w:val="00867BC4"/>
  </w:style>
  <w:style w:type="paragraph" w:styleId="Quote">
    <w:name w:val="Quote"/>
    <w:basedOn w:val="Heading1"/>
    <w:link w:val="QuoteChar"/>
    <w:qFormat/>
    <w:rsid w:val="00867BC4"/>
    <w:rPr>
      <w:b w:val="0"/>
      <w:sz w:val="72"/>
      <w:szCs w:val="72"/>
      <w:lang w:val="en-NZ"/>
    </w:rPr>
  </w:style>
  <w:style w:type="character" w:customStyle="1" w:styleId="QuoteChar">
    <w:name w:val="Quote Char"/>
    <w:basedOn w:val="DefaultParagraphFont"/>
    <w:link w:val="Quote"/>
    <w:rsid w:val="00867B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7BC4"/>
    <w:pPr>
      <w:pageBreakBefore/>
    </w:pPr>
  </w:style>
  <w:style w:type="paragraph" w:customStyle="1" w:styleId="Border">
    <w:name w:val="Border"/>
    <w:basedOn w:val="Normal"/>
    <w:qFormat/>
    <w:rsid w:val="00867B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7BC4"/>
    <w:rPr>
      <w:b/>
      <w:bCs/>
      <w:i/>
      <w:iCs/>
      <w:color w:val="auto"/>
    </w:rPr>
  </w:style>
  <w:style w:type="paragraph" w:styleId="IntenseQuote">
    <w:name w:val="Intense Quote"/>
    <w:basedOn w:val="Normal"/>
    <w:next w:val="Normal"/>
    <w:link w:val="IntenseQuoteChar"/>
    <w:uiPriority w:val="30"/>
    <w:qFormat/>
    <w:rsid w:val="00867B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7BC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67BC4"/>
    <w:rPr>
      <w:smallCaps/>
      <w:color w:val="auto"/>
      <w:u w:val="single"/>
    </w:rPr>
  </w:style>
  <w:style w:type="character" w:styleId="IntenseReference">
    <w:name w:val="Intense Reference"/>
    <w:basedOn w:val="DefaultParagraphFont"/>
    <w:uiPriority w:val="32"/>
    <w:qFormat/>
    <w:rsid w:val="00867BC4"/>
    <w:rPr>
      <w:b/>
      <w:bCs/>
      <w:smallCaps/>
      <w:color w:val="auto"/>
      <w:spacing w:val="5"/>
      <w:u w:val="single"/>
    </w:rPr>
  </w:style>
  <w:style w:type="paragraph" w:customStyle="1" w:styleId="2ColumnHeading">
    <w:name w:val="2Column Heading"/>
    <w:basedOn w:val="BodyText"/>
    <w:qFormat/>
    <w:rsid w:val="00867BC4"/>
    <w:pPr>
      <w:spacing w:after="60"/>
      <w:ind w:left="-2268"/>
    </w:pPr>
    <w:rPr>
      <w:b/>
    </w:rPr>
  </w:style>
  <w:style w:type="paragraph" w:customStyle="1" w:styleId="Heading1TOC">
    <w:name w:val="Heading1 TOC"/>
    <w:basedOn w:val="Normal"/>
    <w:qFormat/>
    <w:rsid w:val="00867BC4"/>
    <w:pPr>
      <w:spacing w:before="240" w:after="120"/>
    </w:pPr>
    <w:rPr>
      <w:rFonts w:ascii="Times New Roman" w:hAnsi="Times New Roman"/>
      <w:b/>
      <w:sz w:val="32"/>
    </w:rPr>
  </w:style>
  <w:style w:type="paragraph" w:customStyle="1" w:styleId="Heading2TOC">
    <w:name w:val="Heading2 TOC"/>
    <w:basedOn w:val="Normal"/>
    <w:qFormat/>
    <w:rsid w:val="00867BC4"/>
    <w:pPr>
      <w:spacing w:before="240" w:after="60"/>
    </w:pPr>
    <w:rPr>
      <w:rFonts w:ascii="Times New Roman" w:hAnsi="Times New Roman"/>
      <w:b/>
      <w:sz w:val="28"/>
    </w:rPr>
  </w:style>
  <w:style w:type="character" w:customStyle="1" w:styleId="Underline">
    <w:name w:val="Underline"/>
    <w:basedOn w:val="DefaultParagraphFont"/>
    <w:qFormat/>
    <w:rsid w:val="00867BC4"/>
    <w:rPr>
      <w:u w:val="single"/>
    </w:rPr>
  </w:style>
  <w:style w:type="character" w:customStyle="1" w:styleId="BoldandItalics">
    <w:name w:val="Bold and Italics"/>
    <w:qFormat/>
    <w:rsid w:val="00867BC4"/>
    <w:rPr>
      <w:b/>
      <w:i/>
      <w:u w:val="none"/>
    </w:rPr>
  </w:style>
  <w:style w:type="paragraph" w:styleId="BalloonText">
    <w:name w:val="Balloon Text"/>
    <w:basedOn w:val="Normal"/>
    <w:link w:val="BalloonTextChar"/>
    <w:rsid w:val="00867BC4"/>
    <w:rPr>
      <w:rFonts w:ascii="Tahoma" w:hAnsi="Tahoma" w:cs="Tahoma"/>
      <w:sz w:val="16"/>
      <w:szCs w:val="16"/>
    </w:rPr>
  </w:style>
  <w:style w:type="character" w:customStyle="1" w:styleId="BalloonTextChar">
    <w:name w:val="Balloon Text Char"/>
    <w:basedOn w:val="DefaultParagraphFont"/>
    <w:link w:val="BalloonText"/>
    <w:rsid w:val="00867BC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7B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7BC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2376</Words>
  <Characters>14507</Characters>
  <Application>Microsoft Office Word</Application>
  <DocSecurity>0</DocSecurity>
  <Lines>583</Lines>
  <Paragraphs>244</Paragraphs>
  <ScaleCrop>false</ScaleCrop>
  <Company>Author-it Software Corporation Ltd.</Company>
  <LinksUpToDate>false</LinksUpToDate>
  <CharactersWithSpaces>16703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UEPOPS357A Operate H.V. Secondary Switchgear</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2012-05-26T22:27:00Z</dcterms:created>
  <dcterms:modified xsi:type="dcterms:W3CDTF">2012-05-26T22:27:00Z</dcterms:modified>
</cp:coreProperties>
</file>