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B71" w:rsidP="00B66B71">
      <w:pPr>
        <w:pStyle w:val="Title"/>
      </w:pPr>
      <w:r>
        <w:fldChar w:fldCharType="begin"/>
      </w:r>
      <w:r>
        <w:instrText xml:space="preserve"> TITLE   \* MERGEFORMAT </w:instrText>
      </w:r>
      <w:r>
        <w:fldChar w:fldCharType="separate"/>
      </w:r>
      <w:r>
        <w:t>UEPOPS356A Apply Environmental and Sustainable Energy Procedures</w:t>
      </w:r>
      <w:r>
        <w:fldChar w:fldCharType="end"/>
      </w:r>
    </w:p>
    <w:p w:rsidR="00B66B71" w:rsidP="00B66B71">
      <w:pPr>
        <w:pStyle w:val="Version"/>
        <w:sectPr w:rsidSect="00A03B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B0E" w:rsidP="00A03B0E">
      <w:pPr>
        <w:pStyle w:val="SuperHeading"/>
      </w:pPr>
      <w:r w:rsidRPr="00A03B0E">
        <w:t>UEPOPS356A Apply Environmental and Sustainable Energy Procedures</w:t>
      </w:r>
    </w:p>
    <w:p w:rsidR="00000000" w:rsidRPr="00A03B0E" w:rsidP="00A03B0E">
      <w:pPr>
        <w:pStyle w:val="Heading1"/>
      </w:pPr>
      <w:bookmarkStart w:id="1" w:name="O_275353"/>
      <w:bookmarkEnd w:id="1"/>
      <w:r w:rsidRPr="00A03B0E">
        <w:t>Modification History</w:t>
      </w:r>
    </w:p>
    <w:p w:rsidR="00000000" w:rsidRPr="00A03B0E" w:rsidP="00A03B0E">
      <w:pPr>
        <w:pStyle w:val="BodyText"/>
      </w:pPr>
      <w:r w:rsidRPr="00A03B0E">
        <w:t>Not Applicable</w:t>
      </w:r>
    </w:p>
    <w:p w:rsidR="00000000" w:rsidRPr="00A03B0E" w:rsidP="00A03B0E">
      <w:pPr>
        <w:pStyle w:val="AllowPageBreak"/>
      </w:pPr>
    </w:p>
    <w:p w:rsidR="00000000" w:rsidRPr="00A03B0E" w:rsidP="00A03B0E">
      <w:pPr>
        <w:pStyle w:val="Heading1"/>
      </w:pPr>
      <w:bookmarkStart w:id="2" w:name="O_230737"/>
      <w:bookmarkEnd w:id="2"/>
      <w:r w:rsidRPr="00A03B0E">
        <w:t>Unit Descriptor</w:t>
      </w:r>
    </w:p>
    <w:tbl>
      <w:tblPr>
        <w:tblW w:w="0" w:type="auto"/>
        <w:tblLayout w:type="fixed"/>
        <w:tblCellMar>
          <w:left w:w="62" w:type="dxa"/>
          <w:right w:w="62" w:type="dxa"/>
        </w:tblCellMar>
        <w:tblLook w:val="0000"/>
      </w:tblPr>
      <w:tblGrid>
        <w:gridCol w:w="2700"/>
        <w:gridCol w:w="5760"/>
      </w:tblGrid>
      <w:tr w:rsidTr="00B6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1</w:t>
            </w:r>
            <w:r w:rsidRPr="00A03B0E">
              <w:t xml:space="preserve">) </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This unit deals with the skills and knowledge required for the implementation of environmental procedures to demonstrate duty of care and to identify assess and control environmental risks and the impact of work related activities. It includes a commitment</w:t>
            </w:r>
            <w:r w:rsidRPr="00A03B0E">
              <w:t xml:space="preserve"> to the principles of sustainable energy.</w:t>
            </w:r>
          </w:p>
        </w:tc>
      </w:tr>
    </w:tbl>
    <w:p w:rsidR="00B66B71" w:rsidP="00A03B0E">
      <w:pPr>
        <w:pStyle w:val="BodyText"/>
      </w:pPr>
    </w:p>
    <w:p w:rsidR="00B66B71" w:rsidP="00A03B0E">
      <w:pPr>
        <w:pStyle w:val="BodyText"/>
      </w:pPr>
    </w:p>
    <w:p w:rsidR="00000000" w:rsidRPr="00A03B0E" w:rsidP="00A03B0E">
      <w:pPr>
        <w:pStyle w:val="Heading1"/>
      </w:pPr>
      <w:bookmarkStart w:id="3" w:name="O_230740"/>
      <w:bookmarkEnd w:id="3"/>
      <w:r w:rsidRPr="00A03B0E">
        <w:t>Application of the Unit</w:t>
      </w:r>
    </w:p>
    <w:tbl>
      <w:tblPr>
        <w:tblW w:w="0" w:type="auto"/>
        <w:tblLayout w:type="fixed"/>
        <w:tblCellMar>
          <w:left w:w="62" w:type="dxa"/>
          <w:right w:w="62" w:type="dxa"/>
        </w:tblCellMar>
        <w:tblLook w:val="0000"/>
      </w:tblPr>
      <w:tblGrid>
        <w:gridCol w:w="2700"/>
        <w:gridCol w:w="5760"/>
      </w:tblGrid>
      <w:tr w:rsidTr="00B6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3</w:t>
            </w:r>
            <w:r w:rsidRPr="00A03B0E">
              <w:t xml:space="preserve">) </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 xml:space="preserve">This unit is intended to augment formally acquired competencies. It is suitable for employment-based programs under an approved contract of </w:t>
            </w:r>
            <w:r w:rsidRPr="00A03B0E">
              <w:t>training.</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3</w:t>
            </w:r>
            <w:r w:rsidRPr="00A03B0E">
              <w:t>.</w:t>
            </w:r>
            <w:r w:rsidRPr="00A03B0E">
              <w:rPr>
                <w:rStyle w:val="SpecialBold"/>
              </w:rPr>
              <w:t>1</w:t>
            </w:r>
            <w:r w:rsidRPr="00A03B0E">
              <w:t xml:space="preserve">) </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The skills and knowledge described in this unit do not require a licence to practise in the workplace. However, practice in this unit is subject to regulations directly related to Occupational Health and Safety.</w:t>
            </w:r>
          </w:p>
        </w:tc>
      </w:tr>
    </w:tbl>
    <w:p w:rsidR="00B66B71" w:rsidP="00A03B0E">
      <w:pPr>
        <w:pStyle w:val="BodyText"/>
      </w:pPr>
    </w:p>
    <w:p w:rsidR="00B66B71" w:rsidP="00A03B0E">
      <w:pPr>
        <w:pStyle w:val="BodyText"/>
      </w:pPr>
    </w:p>
    <w:p w:rsidR="00000000" w:rsidRPr="00A03B0E" w:rsidP="00A03B0E">
      <w:pPr>
        <w:pStyle w:val="Heading1"/>
      </w:pPr>
      <w:bookmarkStart w:id="4" w:name="O_282887"/>
      <w:bookmarkEnd w:id="4"/>
      <w:r w:rsidRPr="00A03B0E">
        <w:t>Licensing/Regulatory Information</w:t>
      </w:r>
    </w:p>
    <w:p w:rsidR="00000000" w:rsidRPr="00A03B0E" w:rsidP="00A03B0E">
      <w:pPr>
        <w:pStyle w:val="BodyText"/>
      </w:pPr>
      <w:r w:rsidRPr="00A03B0E">
        <w:t>Not Applicable</w:t>
      </w:r>
    </w:p>
    <w:p w:rsidR="00000000" w:rsidRPr="00A03B0E" w:rsidP="00A03B0E">
      <w:pPr>
        <w:pStyle w:val="AllowPageBreak"/>
      </w:pPr>
    </w:p>
    <w:p w:rsidR="00000000" w:rsidRPr="00A03B0E" w:rsidP="00A03B0E">
      <w:pPr>
        <w:pStyle w:val="Heading1"/>
      </w:pPr>
      <w:bookmarkStart w:id="5" w:name="O_230738"/>
      <w:bookmarkEnd w:id="5"/>
      <w:r w:rsidRPr="00A03B0E">
        <w:t>Pre-Requisites</w:t>
      </w:r>
    </w:p>
    <w:tbl>
      <w:tblPr>
        <w:tblW w:w="0" w:type="auto"/>
        <w:tblLayout w:type="fixed"/>
        <w:tblCellMar>
          <w:left w:w="62" w:type="dxa"/>
          <w:right w:w="62" w:type="dxa"/>
        </w:tblCellMar>
        <w:tblLook w:val="0000"/>
      </w:tblPr>
      <w:tblGrid>
        <w:gridCol w:w="2700"/>
        <w:gridCol w:w="5760"/>
      </w:tblGrid>
      <w:tr w:rsidTr="00B6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Prerequisite Unit</w:t>
            </w:r>
            <w:r w:rsidRPr="00A03B0E">
              <w:t>(</w:t>
            </w:r>
            <w:r w:rsidRPr="00A03B0E">
              <w:rPr>
                <w:rStyle w:val="SpecialBold"/>
              </w:rPr>
              <w:t>s</w:t>
            </w:r>
            <w:r w:rsidRPr="00A03B0E">
              <w:t>)</w:t>
            </w:r>
          </w:p>
        </w:tc>
        <w:tc>
          <w:tcPr>
            <w:tcW w:w="57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2</w:t>
            </w:r>
            <w:r w:rsidRPr="00A03B0E">
              <w:t xml:space="preserve">) </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2</w:t>
            </w:r>
            <w:r w:rsidRPr="00A03B0E">
              <w:t>.</w:t>
            </w:r>
            <w:r w:rsidRPr="00A03B0E">
              <w:rPr>
                <w:rStyle w:val="SpecialBold"/>
              </w:rPr>
              <w:t>1</w:t>
            </w:r>
            <w:r w:rsidRPr="00A03B0E">
              <w:t xml:space="preserve">) </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There are no prerequisite units.</w:t>
            </w:r>
          </w:p>
        </w:tc>
      </w:tr>
    </w:tbl>
    <w:p w:rsidR="00B66B71" w:rsidP="00A03B0E">
      <w:pPr>
        <w:pStyle w:val="BodyText"/>
      </w:pPr>
    </w:p>
    <w:p w:rsidR="00B66B71" w:rsidP="00A03B0E">
      <w:pPr>
        <w:pStyle w:val="BodyText"/>
      </w:pPr>
    </w:p>
    <w:p w:rsidR="00000000" w:rsidRPr="00A03B0E" w:rsidP="00A03B0E">
      <w:pPr>
        <w:pStyle w:val="Heading1"/>
      </w:pPr>
      <w:bookmarkStart w:id="6" w:name="O_285602"/>
      <w:bookmarkEnd w:id="6"/>
      <w:r w:rsidRPr="00A03B0E">
        <w:t>Employability Skills Information</w:t>
      </w:r>
    </w:p>
    <w:p w:rsidR="00000000" w:rsidRPr="00A03B0E" w:rsidP="00A03B0E">
      <w:pPr>
        <w:pStyle w:val="BodyText"/>
      </w:pPr>
      <w:r w:rsidRPr="00A03B0E">
        <w:t>Refer to the Evidence Guide</w:t>
      </w:r>
    </w:p>
    <w:p w:rsidR="00000000" w:rsidRPr="00A03B0E" w:rsidP="00A03B0E">
      <w:pPr>
        <w:pStyle w:val="AllowPageBreak"/>
      </w:pPr>
    </w:p>
    <w:p w:rsidR="00000000" w:rsidRPr="00A03B0E" w:rsidP="00A03B0E">
      <w:pPr>
        <w:pStyle w:val="Heading1"/>
      </w:pPr>
      <w:bookmarkStart w:id="7" w:name="O_293399"/>
      <w:bookmarkEnd w:id="7"/>
      <w:r w:rsidRPr="00A03B0E">
        <w:t>Elements and Performance Criteria Pre-Content</w:t>
      </w:r>
    </w:p>
    <w:tbl>
      <w:tblPr>
        <w:tblW w:w="0" w:type="auto"/>
        <w:tblLayout w:type="fixed"/>
        <w:tblCellMar>
          <w:left w:w="62" w:type="dxa"/>
          <w:right w:w="62" w:type="dxa"/>
        </w:tblCellMar>
        <w:tblLook w:val="0000"/>
      </w:tblPr>
      <w:tblGrid>
        <w:gridCol w:w="2700"/>
        <w:gridCol w:w="5760"/>
      </w:tblGrid>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5</w:t>
            </w:r>
            <w:r w:rsidRPr="00A03B0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Performance Criteria describe the required performance needed to demonstrate achievement of the element. Assessment of perf</w:t>
            </w:r>
            <w:r w:rsidRPr="00A03B0E">
              <w:t>ormance is to be consistent with the evidence guide.</w:t>
            </w:r>
          </w:p>
        </w:tc>
      </w:tr>
    </w:tbl>
    <w:p w:rsidR="00000000" w:rsidRPr="00A03B0E" w:rsidP="00A03B0E">
      <w:pPr>
        <w:pStyle w:val="BodyText"/>
      </w:pPr>
    </w:p>
    <w:p w:rsidR="00000000" w:rsidRPr="00A03B0E" w:rsidP="00A03B0E">
      <w:pPr>
        <w:pStyle w:val="AllowPageBreak"/>
      </w:pPr>
    </w:p>
    <w:p w:rsidR="00000000" w:rsidRPr="00A03B0E" w:rsidP="00A03B0E">
      <w:pPr>
        <w:pStyle w:val="Heading1"/>
      </w:pPr>
      <w:bookmarkStart w:id="8" w:name="O_240067"/>
      <w:bookmarkEnd w:id="8"/>
      <w:r w:rsidRPr="00A03B0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66B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PERFORMANCE CRITERIA</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1</w:t>
            </w:r>
          </w:p>
        </w:tc>
        <w:tc>
          <w:tcPr>
            <w:tcW w:w="2296" w:type="dxa"/>
            <w:vMerge w:val="restart"/>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Relate environmental procedures to the specific work/site</w:t>
            </w: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1.1</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Environmental procedures are identified and examined</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1.2</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Environmental procedures are related to the specific work(s)/site(s)</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w:t>
            </w:r>
          </w:p>
        </w:tc>
        <w:tc>
          <w:tcPr>
            <w:tcW w:w="2296" w:type="dxa"/>
            <w:vMerge w:val="restart"/>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Implement environmental procedures</w:t>
            </w: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2.1</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Relevant environmental procedures are applied to specific work(s)/site(s)</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2.2</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Environmental risks and impacts are identified</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2.3</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Environmental risks and impacts are assessed</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2.4</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Environmental risks and impacts are controlled and monitored throughout the work</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2.5</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Environmental incidents are dealt with and emergency procedures/contingencies are applied</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2.6</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 xml:space="preserve">Work is conducted in accordance with the </w:t>
            </w:r>
            <w:r w:rsidRPr="00A03B0E">
              <w:t>principles of sustainable energy and energy conservation.</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2.7</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Provision for the re-cycling or re-use of materials is undertaken where possible</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2.8</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Environmental incidents are reported and recorded according to established procedures</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3</w:t>
            </w:r>
          </w:p>
        </w:tc>
        <w:tc>
          <w:tcPr>
            <w:tcW w:w="2296" w:type="dxa"/>
            <w:vMerge w:val="restart"/>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Application of environmental procedures is reported and reviewed</w:t>
            </w: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3.1</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Reporting procedures for environmental processes are monitored with respect to a specific work(s)/</w:t>
            </w:r>
            <w:r w:rsidRPr="00A03B0E">
              <w:t>site(s)</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3.2</w:t>
            </w:r>
          </w:p>
        </w:tc>
        <w:tc>
          <w:tcPr>
            <w:tcW w:w="48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Environmental risks, potential impacts and incidents are monitored and reported according to established procedures</w:t>
            </w:r>
          </w:p>
        </w:tc>
      </w:tr>
      <w:tr w:rsidTr="00B66B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3.3</w:t>
            </w:r>
          </w:p>
        </w:tc>
        <w:tc>
          <w:tcPr>
            <w:tcW w:w="48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Participation and contribution into reviews of environmental procedures is carried out</w:t>
            </w:r>
          </w:p>
        </w:tc>
      </w:tr>
    </w:tbl>
    <w:p w:rsidR="00B66B71" w:rsidP="00A03B0E">
      <w:pPr>
        <w:pStyle w:val="BodyText"/>
      </w:pPr>
    </w:p>
    <w:p w:rsidR="00B66B71" w:rsidP="00A03B0E">
      <w:pPr>
        <w:pStyle w:val="BodyText"/>
      </w:pPr>
    </w:p>
    <w:p w:rsidR="00000000" w:rsidRPr="00A03B0E" w:rsidP="00A03B0E">
      <w:pPr>
        <w:pStyle w:val="Heading1"/>
      </w:pPr>
      <w:bookmarkStart w:id="9" w:name="O_263858"/>
      <w:bookmarkEnd w:id="9"/>
      <w:r w:rsidRPr="00A03B0E">
        <w:t>Required Skills and Knowledge</w:t>
      </w:r>
    </w:p>
    <w:tbl>
      <w:tblPr>
        <w:tblW w:w="0" w:type="auto"/>
        <w:tblLayout w:type="fixed"/>
        <w:tblCellMar>
          <w:left w:w="62" w:type="dxa"/>
          <w:right w:w="62" w:type="dxa"/>
        </w:tblCellMar>
        <w:tblLook w:val="0000"/>
      </w:tblPr>
      <w:tblGrid>
        <w:gridCol w:w="2700"/>
        <w:gridCol w:w="5760"/>
      </w:tblGrid>
      <w:tr w:rsidTr="00B66B7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REQUIRED SKILLS AND KNOWLEDGE</w:t>
            </w:r>
          </w:p>
        </w:tc>
      </w:tr>
      <w:tr w:rsidTr="00B66B7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6</w:t>
            </w:r>
            <w:r w:rsidRPr="00A03B0E">
              <w:t>) This describes the essential skills and knowledge and their level, required for this unit.</w:t>
            </w:r>
          </w:p>
        </w:tc>
      </w:tr>
      <w:tr w:rsidTr="00B66B7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Evidence shall show that knowledge has been acquired of applying environmental and sustainable energy procedures for a permit to work.</w:t>
            </w:r>
          </w:p>
          <w:p w:rsidR="00000000" w:rsidP="00A03B0E">
            <w:pPr>
              <w:pStyle w:val="BodyText"/>
              <w:rPr>
                <w:lang w:val="en-NZ"/>
              </w:rPr>
            </w:pPr>
            <w:r w:rsidRPr="00A03B0E">
              <w:t>The extent of the Essential Knowledge and Associated Skills required follows:</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Evidence shall show that knowledge has b</w:t>
            </w:r>
            <w:r w:rsidRPr="00A03B0E">
              <w:t>een acquired for safe working practices of:</w:t>
            </w:r>
          </w:p>
          <w:p w:rsidR="00000000" w:rsidRPr="00A03B0E" w:rsidP="00A03B0E">
            <w:pPr>
              <w:pStyle w:val="ListBullet3"/>
            </w:pPr>
            <w:r w:rsidRPr="00A03B0E">
              <w:t xml:space="preserve">Environmental statutory requirements (acts, legislation, regulations) and codes of practice </w:t>
            </w:r>
          </w:p>
          <w:p w:rsidR="00000000" w:rsidRPr="00A03B0E" w:rsidP="00A03B0E">
            <w:pPr>
              <w:pStyle w:val="ListBullet3"/>
            </w:pPr>
            <w:r w:rsidRPr="00A03B0E">
              <w:t xml:space="preserve">Sustainable energy principles and practice </w:t>
            </w:r>
          </w:p>
          <w:p w:rsidR="00000000" w:rsidRPr="00A03B0E" w:rsidP="00A03B0E">
            <w:pPr>
              <w:pStyle w:val="ListBullet3"/>
            </w:pPr>
            <w:r w:rsidRPr="00A03B0E">
              <w:t xml:space="preserve">Environmental awareness and impact </w:t>
            </w:r>
          </w:p>
          <w:p w:rsidR="00000000" w:rsidRPr="00A03B0E" w:rsidP="00A03B0E">
            <w:pPr>
              <w:pStyle w:val="ListBullet3"/>
            </w:pPr>
            <w:r w:rsidRPr="00A03B0E">
              <w:t xml:space="preserve">Sources of pollution </w:t>
            </w:r>
          </w:p>
          <w:p w:rsidR="00000000" w:rsidRPr="00A03B0E" w:rsidP="00A03B0E">
            <w:pPr>
              <w:pStyle w:val="ListBullet3"/>
            </w:pPr>
            <w:r w:rsidRPr="00A03B0E">
              <w:t>Pollution minimi</w:t>
            </w:r>
            <w:r w:rsidRPr="00A03B0E">
              <w:t xml:space="preserve">sation; Occupational Health and Safety standards </w:t>
            </w:r>
          </w:p>
          <w:p w:rsidR="00000000" w:rsidRPr="00A03B0E" w:rsidP="00A03B0E">
            <w:pPr>
              <w:pStyle w:val="ListBullet3"/>
            </w:pPr>
            <w:r w:rsidRPr="00A03B0E">
              <w:t xml:space="preserve">Resource usage </w:t>
            </w:r>
          </w:p>
          <w:p w:rsidR="00000000" w:rsidRPr="00A03B0E" w:rsidP="00A03B0E">
            <w:pPr>
              <w:pStyle w:val="ListBullet3"/>
            </w:pPr>
            <w:r w:rsidRPr="00A03B0E">
              <w:t xml:space="preserve">Communication principles </w:t>
            </w:r>
          </w:p>
          <w:p w:rsidR="00000000" w:rsidRPr="00A03B0E" w:rsidP="00A03B0E">
            <w:pPr>
              <w:pStyle w:val="ListBullet3"/>
            </w:pPr>
            <w:r w:rsidRPr="00A03B0E">
              <w:t xml:space="preserve">Risk management </w:t>
            </w:r>
          </w:p>
          <w:p w:rsidR="00000000" w:rsidRPr="00A03B0E" w:rsidP="00A03B0E">
            <w:pPr>
              <w:pStyle w:val="ListBullet3"/>
            </w:pPr>
            <w:r w:rsidRPr="00A03B0E">
              <w:t xml:space="preserve">Stakeholder interests, concerns and sensitivities </w:t>
            </w:r>
          </w:p>
          <w:p w:rsidR="00000000" w:rsidP="00A03B0E">
            <w:pPr>
              <w:pStyle w:val="ListBullet3"/>
              <w:rPr>
                <w:lang w:val="en-NZ"/>
              </w:rPr>
            </w:pPr>
            <w:r w:rsidRPr="00A03B0E">
              <w:t>Responding to environmental issues and reporting procedures</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Specific skills needed to achieve the Performance Criteria:</w:t>
            </w:r>
          </w:p>
          <w:p w:rsidR="00000000" w:rsidRPr="00A03B0E" w:rsidP="00A03B0E">
            <w:pPr>
              <w:pStyle w:val="ListBullet3"/>
            </w:pPr>
            <w:r w:rsidRPr="00A03B0E">
              <w:t xml:space="preserve">Apply: environmental standards; sustainable energy principles and practices </w:t>
            </w:r>
          </w:p>
          <w:p w:rsidR="00000000" w:rsidRPr="00A03B0E" w:rsidP="00A03B0E">
            <w:pPr>
              <w:pStyle w:val="ListBullet3"/>
            </w:pPr>
            <w:r w:rsidRPr="00A03B0E">
              <w:t xml:space="preserve">Occupational Health and Safety standards </w:t>
            </w:r>
          </w:p>
          <w:p w:rsidR="00000000" w:rsidRPr="00A03B0E" w:rsidP="00A03B0E">
            <w:pPr>
              <w:pStyle w:val="ListBullet3"/>
            </w:pPr>
            <w:r w:rsidRPr="00A03B0E">
              <w:t xml:space="preserve">Recognise potential environmental issues </w:t>
            </w:r>
          </w:p>
          <w:p w:rsidR="00000000" w:rsidRPr="00A03B0E" w:rsidP="00A03B0E">
            <w:pPr>
              <w:pStyle w:val="ListBullet3"/>
            </w:pPr>
            <w:r w:rsidRPr="00A03B0E">
              <w:t>Carry out environmental risk asses</w:t>
            </w:r>
            <w:r w:rsidRPr="00A03B0E">
              <w:t xml:space="preserve">sments </w:t>
            </w:r>
          </w:p>
          <w:p w:rsidR="00000000" w:rsidRPr="00A03B0E" w:rsidP="00A03B0E">
            <w:pPr>
              <w:pStyle w:val="ListBullet3"/>
            </w:pPr>
            <w:r w:rsidRPr="00A03B0E">
              <w:t xml:space="preserve">Identify environmental impacts of work </w:t>
            </w:r>
          </w:p>
          <w:p w:rsidR="00000000" w:rsidRPr="00A03B0E" w:rsidP="00A03B0E">
            <w:pPr>
              <w:pStyle w:val="ListBullet3"/>
            </w:pPr>
            <w:r w:rsidRPr="00A03B0E">
              <w:t xml:space="preserve">Enterprise environmental procedures </w:t>
            </w:r>
          </w:p>
          <w:p w:rsidR="00000000" w:rsidRPr="00A03B0E" w:rsidP="00A03B0E">
            <w:pPr>
              <w:pStyle w:val="ListBullet3"/>
            </w:pPr>
            <w:r w:rsidRPr="00A03B0E">
              <w:t xml:space="preserve">Identify sources of pollution </w:t>
            </w:r>
          </w:p>
          <w:p w:rsidR="00000000" w:rsidRPr="00A03B0E" w:rsidP="00A03B0E">
            <w:pPr>
              <w:pStyle w:val="ListBullet3"/>
            </w:pPr>
            <w:r w:rsidRPr="00A03B0E">
              <w:t>Monitor environmental procedures / requirements and communicate effectively with stakeholders and report.</w:t>
            </w:r>
          </w:p>
        </w:tc>
      </w:tr>
    </w:tbl>
    <w:p w:rsidR="00B66B71" w:rsidP="00A03B0E">
      <w:pPr>
        <w:pStyle w:val="BodyText"/>
      </w:pPr>
    </w:p>
    <w:p w:rsidR="00B66B71" w:rsidP="00A03B0E">
      <w:pPr>
        <w:pStyle w:val="BodyText"/>
      </w:pPr>
    </w:p>
    <w:p w:rsidR="00000000" w:rsidRPr="00A03B0E" w:rsidP="00A03B0E">
      <w:pPr>
        <w:pStyle w:val="Heading1"/>
      </w:pPr>
      <w:bookmarkStart w:id="10" w:name="O_248050"/>
      <w:bookmarkEnd w:id="10"/>
      <w:r w:rsidRPr="00A03B0E">
        <w:t>Evidence Guide</w:t>
      </w:r>
    </w:p>
    <w:tbl>
      <w:tblPr>
        <w:tblW w:w="0" w:type="auto"/>
        <w:tblLayout w:type="fixed"/>
        <w:tblCellMar>
          <w:left w:w="62" w:type="dxa"/>
          <w:right w:w="62" w:type="dxa"/>
        </w:tblCellMar>
        <w:tblLook w:val="0000"/>
      </w:tblPr>
      <w:tblGrid>
        <w:gridCol w:w="2160"/>
        <w:gridCol w:w="6300"/>
      </w:tblGrid>
      <w:tr w:rsidTr="00B66B7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EVIDENCE GUIDE</w:t>
            </w:r>
          </w:p>
        </w:tc>
      </w:tr>
      <w:tr w:rsidTr="00B66B7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8</w:t>
            </w:r>
            <w:r w:rsidRPr="00A03B0E">
              <w:t>) This provides essential advice for assessment of the unit of competency and must be read in conjunction with the Performance Criteria and the Range Statement of the unit and the Training Package Assessment Guidelines.</w:t>
            </w:r>
          </w:p>
          <w:p w:rsidR="00000000" w:rsidP="00A03B0E">
            <w:pPr>
              <w:pStyle w:val="BodyText"/>
              <w:rPr>
                <w:lang w:val="en-NZ"/>
              </w:rPr>
            </w:pPr>
            <w:r w:rsidRPr="00A03B0E">
              <w:t>The</w:t>
            </w:r>
            <w:r w:rsidRPr="00A03B0E">
              <w:t xml:space="preserve"> Evidence Guide forms an integral part of this Competency Standard Unit and shall be used in conjunction with all components parts of this unit and, performed in accordance with the Assessment Guidelines of this Training Package.</w:t>
            </w:r>
          </w:p>
        </w:tc>
      </w:tr>
      <w:tr w:rsidTr="00B66B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8</w:t>
            </w:r>
            <w:r w:rsidRPr="00A03B0E">
              <w:t>.</w:t>
            </w:r>
            <w:r w:rsidRPr="00A03B0E">
              <w:rPr>
                <w:rStyle w:val="SpecialBold"/>
              </w:rPr>
              <w:t>1</w:t>
            </w:r>
            <w:r w:rsidRPr="00A03B0E">
              <w:t xml:space="preserve">) </w:t>
            </w:r>
          </w:p>
          <w:p w:rsidR="00000000" w:rsidRPr="00A03B0E" w:rsidP="00A03B0E">
            <w:pPr>
              <w:pStyle w:val="BodyText"/>
            </w:pPr>
            <w:r w:rsidRPr="00A03B0E">
              <w:t>Longitude competency development approaches to assessment, such as Profiling, require data to be reliably gathered in a form that can be consistently interpreted over time. This approach is best utilised in Apprenticeship programs and reduces assessme</w:t>
            </w:r>
            <w:r w:rsidRPr="00A03B0E">
              <w:t>nt intervention. It is the Industry's preferred model for apprenticeships. However, where summative (or final) assessment is used it is to include the application of the competency in the normal work environment or, at a minimum, the application of the com</w:t>
            </w:r>
            <w:r w:rsidRPr="00A03B0E">
              <w:t>petency in a realistically simulated work environment. It is recognised that, in some circumstances, assessment in part or full can occur outside the workplace. However, it must be in accord with Industry and, Regulatory policy in this regard.</w:t>
            </w:r>
          </w:p>
          <w:p w:rsidR="00000000" w:rsidRPr="00A03B0E" w:rsidP="00A03B0E">
            <w:pPr>
              <w:pStyle w:val="BodyText"/>
            </w:pPr>
            <w:r w:rsidRPr="00A03B0E">
              <w:t>Methods chos</w:t>
            </w:r>
            <w:r w:rsidRPr="00A03B0E">
              <w:t>en for a particular assessment will be influenced by various factors. These include the extent of the assessment, the most effective locations for the assessment activities to take place, access to physical resources, additional safety measures that may be</w:t>
            </w:r>
            <w:r w:rsidRPr="00A03B0E">
              <w:t xml:space="preserve"> required and the critical nature of the competencies being assessed.</w:t>
            </w:r>
          </w:p>
          <w:p w:rsidR="00000000" w:rsidRPr="00A03B0E" w:rsidP="00A03B0E">
            <w:pPr>
              <w:pStyle w:val="BodyText"/>
            </w:pPr>
            <w:r w:rsidRPr="00A03B0E">
              <w:t xml:space="preserve">The critical safety nature of working with electricity, electrical equipment, gas or any other hazardous substance/material carries risk in deeming a person competent. Hence, sources of </w:t>
            </w:r>
            <w:r w:rsidRPr="00A03B0E">
              <w:t>evidence need to be 'rich' in nature so as to minimise error in judgment.</w:t>
            </w:r>
          </w:p>
          <w:p w:rsidR="00000000" w:rsidRPr="00A03B0E" w:rsidP="00A03B0E">
            <w:pPr>
              <w:pStyle w:val="BodyText"/>
            </w:pPr>
            <w:r w:rsidRPr="00A03B0E">
              <w:t>Activities associated with normal every day work have a bearing on the decision as to how much and how detailed the data gathered will contribute to its 'richness'. Some skills are m</w:t>
            </w:r>
            <w:r w:rsidRPr="00A03B0E">
              <w:t>ore critical to safety and operational requirements while the same skills may be more or less frequently practised. These points are raised for the assessors to consider when choosing an assessment method and developing assessment instruments. Sample asses</w:t>
            </w:r>
            <w:r w:rsidRPr="00A03B0E">
              <w:t>sment instruments are included for Assessors in the Assessment Guidelines of this Training Package.</w:t>
            </w:r>
          </w:p>
        </w:tc>
      </w:tr>
    </w:tbl>
    <w:p w:rsidR="00000000" w:rsidRPr="00A03B0E" w:rsidP="00A03B0E">
      <w:pPr>
        <w:pStyle w:val="BodyText"/>
      </w:pPr>
    </w:p>
    <w:tbl>
      <w:tblPr>
        <w:tblW w:w="0" w:type="auto"/>
        <w:tblLayout w:type="fixed"/>
        <w:tblCellMar>
          <w:left w:w="62" w:type="dxa"/>
          <w:right w:w="62" w:type="dxa"/>
        </w:tblCellMar>
        <w:tblLook w:val="0000"/>
      </w:tblPr>
      <w:tblGrid>
        <w:gridCol w:w="2160"/>
        <w:gridCol w:w="1620"/>
        <w:gridCol w:w="4680"/>
      </w:tblGrid>
      <w:tr w:rsidTr="00B66B7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8</w:t>
            </w:r>
            <w:r w:rsidRPr="00A03B0E">
              <w:t>.</w:t>
            </w:r>
            <w:r w:rsidRPr="00A03B0E">
              <w:rPr>
                <w:rStyle w:val="SpecialBold"/>
              </w:rPr>
              <w:t>2</w:t>
            </w:r>
            <w:r w:rsidRPr="00A03B0E">
              <w:t xml:space="preserve">) </w:t>
            </w:r>
          </w:p>
          <w:p w:rsidR="00000000" w:rsidP="00A03B0E">
            <w:pPr>
              <w:pStyle w:val="BodyText"/>
              <w:rPr>
                <w:lang w:val="en-NZ"/>
              </w:rPr>
            </w:pPr>
            <w:r w:rsidRPr="00A03B0E">
              <w:t>Before the critical aspects of evidence are considered all prerequisite</w:t>
            </w:r>
            <w:r w:rsidRPr="00A03B0E">
              <w:t>s shall be met.</w:t>
            </w:r>
          </w:p>
        </w:tc>
      </w:tr>
      <w:tr w:rsidTr="00B66B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Evidence for competence in this unit shall be considered holistically.  Each element and associated Performance Criteria shall be demonstrated on</w:t>
            </w:r>
            <w:r w:rsidRPr="00A03B0E">
              <w:t xml:space="preserve"> at least two occasions in accordance with the "Assessment Guidelines - UEP06".  Evidence shall also comprise:</w:t>
            </w:r>
          </w:p>
          <w:p w:rsidR="00000000" w:rsidP="00A03B0E">
            <w:pPr>
              <w:pStyle w:val="ListBullet"/>
              <w:rPr>
                <w:lang w:val="en-NZ"/>
              </w:rPr>
            </w:pPr>
            <w:r w:rsidRPr="00A03B0E">
              <w:t>A representative body of Performance Criteria demonstrated within the timeframes typically expected of the discipline, work function and industr</w:t>
            </w:r>
            <w:r w:rsidRPr="00A03B0E">
              <w:t>ial environment. In particular this shall incorporate evidence that shows a candidate is able to:</w:t>
            </w:r>
          </w:p>
        </w:tc>
      </w:tr>
      <w:tr w:rsidTr="00B66B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03B0E" w:rsidP="00A03B0E">
            <w:pPr>
              <w:pStyle w:val="ListBullet3"/>
            </w:pPr>
            <w:r w:rsidRPr="00A03B0E">
              <w:t xml:space="preserve">Implement Occupational Health and Safety workplace procedures and practices including </w:t>
            </w:r>
            <w:r w:rsidRPr="00A03B0E">
              <w:t>the use of risk control measures as specified in the Performance Criteria and Range Statement</w:t>
            </w:r>
          </w:p>
          <w:p w:rsidR="00000000" w:rsidRPr="00A03B0E" w:rsidP="00A03B0E">
            <w:pPr>
              <w:pStyle w:val="ListBullet3"/>
            </w:pPr>
            <w:r w:rsidRPr="00A03B0E">
              <w:t>Apply sustainable energy principles and practices as specified in the Performance Criteria and Range Statement</w:t>
            </w:r>
          </w:p>
          <w:p w:rsidR="00000000" w:rsidRPr="00A03B0E" w:rsidP="00A03B0E">
            <w:pPr>
              <w:pStyle w:val="ListBullet3"/>
            </w:pPr>
            <w:r w:rsidRPr="00A03B0E">
              <w:t>Demonstrate an understanding of the essential knowl</w:t>
            </w:r>
            <w:r w:rsidRPr="00A03B0E">
              <w:t>edge and associated skills as described in 6) Essential Knowledge and Associated Skills of this unit</w:t>
            </w:r>
          </w:p>
          <w:p w:rsidR="00000000" w:rsidRPr="00A03B0E" w:rsidP="00A03B0E">
            <w:pPr>
              <w:pStyle w:val="ListBullet3"/>
            </w:pPr>
            <w:r w:rsidRPr="00A03B0E">
              <w:t>Demonstrate an appropriate level of skills enabling employment</w:t>
            </w:r>
          </w:p>
          <w:p w:rsidR="00000000" w:rsidP="00A03B0E">
            <w:pPr>
              <w:pStyle w:val="ListBullet3"/>
              <w:rPr>
                <w:lang w:val="en-NZ"/>
              </w:rPr>
            </w:pPr>
            <w:r w:rsidRPr="00A03B0E">
              <w:t>Conduct work observing the relevant Anti Discrimination legislation, regulations, polices an</w:t>
            </w:r>
            <w:r w:rsidRPr="00A03B0E">
              <w:t>d workplace procedures</w:t>
            </w:r>
          </w:p>
        </w:tc>
      </w:tr>
      <w:tr w:rsidTr="00B66B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03B0E">
            <w:pPr>
              <w:pStyle w:val="ListBullet"/>
              <w:rPr>
                <w:lang w:val="en-NZ"/>
              </w:rPr>
            </w:pPr>
            <w:r w:rsidRPr="00A03B0E">
              <w:t>Demonstrated performance across a representative range of contexts from the prescribed items below:</w:t>
            </w:r>
          </w:p>
        </w:tc>
      </w:tr>
      <w:tr w:rsidTr="00B66B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03B0E" w:rsidP="00A03B0E">
            <w:pPr>
              <w:pStyle w:val="ListBullet3"/>
            </w:pPr>
            <w:r w:rsidRPr="00A03B0E">
              <w:t xml:space="preserve">Knowledge and application of relevant sections of; Environmental Legislative requirements; </w:t>
            </w:r>
            <w:r w:rsidRPr="00A03B0E">
              <w:t>Environmental Statutory legislation; Enterprise/site Environmental and Sustainable energy principles and practice</w:t>
            </w:r>
          </w:p>
          <w:p w:rsidR="00000000" w:rsidRPr="00A03B0E" w:rsidP="00A03B0E">
            <w:pPr>
              <w:pStyle w:val="ListBullet3"/>
            </w:pPr>
            <w:r w:rsidRPr="00A03B0E">
              <w:t>Apply environmental risk assessment process</w:t>
            </w:r>
          </w:p>
          <w:p w:rsidR="00000000" w:rsidRPr="00A03B0E" w:rsidP="00A03B0E">
            <w:pPr>
              <w:pStyle w:val="ListBullet3"/>
            </w:pPr>
            <w:r w:rsidRPr="00A03B0E">
              <w:t>Implement, monitor and review environmental procedures during the currency of the work</w:t>
            </w:r>
          </w:p>
          <w:p w:rsidR="00000000" w:rsidP="00A03B0E">
            <w:pPr>
              <w:pStyle w:val="ListBullet3"/>
              <w:rPr>
                <w:lang w:val="en-NZ"/>
              </w:rPr>
            </w:pPr>
            <w:r w:rsidRPr="00A03B0E">
              <w:t>Dealing with an unplanned event by drawing on essential knowledge and skills to provide appropriate solutions incorporated in the holistic assessment with the above listed items.</w:t>
            </w:r>
          </w:p>
        </w:tc>
      </w:tr>
      <w:tr w:rsidTr="00B66B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8</w:t>
            </w:r>
            <w:r w:rsidRPr="00A03B0E">
              <w:t>.</w:t>
            </w:r>
            <w:r w:rsidRPr="00A03B0E">
              <w:rPr>
                <w:rStyle w:val="SpecialBold"/>
              </w:rPr>
              <w:t>3</w:t>
            </w:r>
            <w:r w:rsidRPr="00A03B0E">
              <w:t xml:space="preserve">) </w:t>
            </w:r>
          </w:p>
          <w:p w:rsidR="00000000" w:rsidRPr="00A03B0E" w:rsidP="00A03B0E">
            <w:pPr>
              <w:pStyle w:val="BodyText"/>
            </w:pPr>
            <w:r w:rsidRPr="00A03B0E">
              <w:t>This unit should be assessed as it relates to normal work practice using procedures, information and resources typical of a workplace. This should include:</w:t>
            </w:r>
          </w:p>
          <w:p w:rsidR="00000000" w:rsidRPr="00A03B0E" w:rsidP="00A03B0E">
            <w:pPr>
              <w:pStyle w:val="ListBullet"/>
            </w:pPr>
            <w:r w:rsidRPr="00A03B0E">
              <w:t>OHS policy and work procedures and instructions.</w:t>
            </w:r>
          </w:p>
          <w:p w:rsidR="00000000" w:rsidRPr="00A03B0E" w:rsidP="00A03B0E">
            <w:pPr>
              <w:pStyle w:val="ListBullet"/>
            </w:pPr>
            <w:r w:rsidRPr="00A03B0E">
              <w:t>Suitable work environment, facilities, equipment and materials to undertake actual work as prescribed by this unit.</w:t>
            </w:r>
          </w:p>
          <w:p w:rsidR="00000000" w:rsidRPr="00A03B0E" w:rsidP="00A03B0E">
            <w:pPr>
              <w:pStyle w:val="BodyText"/>
            </w:pPr>
            <w:r w:rsidRPr="00A03B0E">
              <w:t>Competency Standards should be assessed in the workplace or simulated workplace and under the normal range of workplace conditions.</w:t>
            </w:r>
          </w:p>
          <w:p w:rsidR="00000000" w:rsidP="00A03B0E">
            <w:pPr>
              <w:pStyle w:val="BodyText"/>
              <w:rPr>
                <w:lang w:val="en-NZ"/>
              </w:rPr>
            </w:pPr>
            <w:r w:rsidRPr="00A03B0E">
              <w:t>Assessme</w:t>
            </w:r>
            <w:r w:rsidRPr="00A03B0E">
              <w:t>nt of this unit will be supported with documentary evidence, by means of endorsement stating type and application of work.</w:t>
            </w:r>
          </w:p>
        </w:tc>
      </w:tr>
      <w:tr w:rsidTr="00B66B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In addition to the resources listed above in Context of assessment', evidence should show competency working, in limited spaces, w</w:t>
            </w:r>
            <w:r w:rsidRPr="00A03B0E">
              <w:t>ith different types of plant and equipment as well as different structural/construction types and methods and in a variety of environments.</w:t>
            </w:r>
          </w:p>
        </w:tc>
      </w:tr>
      <w:tr w:rsidTr="00B66B7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8</w:t>
            </w:r>
            <w:r w:rsidRPr="00A03B0E">
              <w:t>.</w:t>
            </w:r>
            <w:r w:rsidRPr="00A03B0E">
              <w:rPr>
                <w:rStyle w:val="SpecialBold"/>
              </w:rPr>
              <w:t>4</w:t>
            </w:r>
            <w:r w:rsidRPr="00A03B0E">
              <w:t xml:space="preserve">) </w:t>
            </w:r>
          </w:p>
          <w:p w:rsidR="00000000" w:rsidRPr="00A03B0E" w:rsidP="00A03B0E">
            <w:pPr>
              <w:pStyle w:val="BodyText"/>
            </w:pPr>
            <w:r w:rsidRPr="00A03B0E">
              <w:t>This unit shall be assessed by methods given in Volume 1, Part 3 Assessment Guidelines.</w:t>
            </w:r>
          </w:p>
          <w:p w:rsidR="00000000" w:rsidP="00A03B0E">
            <w:pPr>
              <w:pStyle w:val="BodyText"/>
              <w:rPr>
                <w:lang w:val="en-NZ"/>
              </w:rPr>
            </w:pPr>
            <w:r w:rsidRPr="00A03B0E">
              <w:t>Note: Competent performance with inherent safe working practices is expected in the Industry to which this unit applies. This requires that the specified essential knowledge and associated skills are assessed in a structured environment which is primarily</w:t>
            </w:r>
            <w:r w:rsidRPr="00A03B0E">
              <w:t xml:space="preserve"> intended for learning/assessment and incorporates all necessary equipment and facilities for learners to develop and demonstrate the essential knowledge and skills described in this unit.</w:t>
            </w:r>
          </w:p>
        </w:tc>
      </w:tr>
      <w:tr w:rsidTr="00B66B7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8</w:t>
            </w:r>
            <w:r w:rsidRPr="00A03B0E">
              <w:t>.</w:t>
            </w:r>
            <w:r w:rsidRPr="00A03B0E">
              <w:rPr>
                <w:rStyle w:val="SpecialBold"/>
              </w:rPr>
              <w:t>5</w:t>
            </w:r>
            <w:r w:rsidRPr="00A03B0E">
              <w:t xml:space="preserve">) </w:t>
            </w:r>
          </w:p>
        </w:tc>
      </w:tr>
      <w:tr w:rsidTr="00B66B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There are no recommended concurrent assessments with this unit, however in some cases efficiencies may be gained in terms of learning and assessment effort being concurrently managed with allied competency standard units where listed.</w:t>
            </w:r>
          </w:p>
        </w:tc>
      </w:tr>
      <w:tr w:rsidTr="00B66B7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Nil</w:t>
            </w:r>
          </w:p>
        </w:tc>
        <w:tc>
          <w:tcPr>
            <w:tcW w:w="4680" w:type="dxa"/>
            <w:tcBorders>
              <w:top w:val="nil"/>
              <w:left w:val="nil"/>
              <w:bottom w:val="nil"/>
              <w:right w:val="nil"/>
            </w:tcBorders>
            <w:tcMar>
              <w:top w:w="0" w:type="dxa"/>
              <w:left w:w="62" w:type="dxa"/>
              <w:bottom w:w="0" w:type="dxa"/>
              <w:right w:w="62" w:type="dxa"/>
            </w:tcMar>
          </w:tcPr>
          <w:p w:rsidR="00000000" w:rsidRPr="00A03B0E" w:rsidP="00A03B0E">
            <w:pPr>
              <w:pStyle w:val="BodyText"/>
            </w:pPr>
          </w:p>
        </w:tc>
      </w:tr>
    </w:tbl>
    <w:p w:rsidR="00000000" w:rsidRPr="00A03B0E" w:rsidP="00A03B0E">
      <w:pPr>
        <w:pStyle w:val="BodyText"/>
      </w:pPr>
    </w:p>
    <w:tbl>
      <w:tblPr>
        <w:tblW w:w="0" w:type="auto"/>
        <w:tblLayout w:type="fixed"/>
        <w:tblCellMar>
          <w:left w:w="62" w:type="dxa"/>
          <w:right w:w="62" w:type="dxa"/>
        </w:tblCellMar>
        <w:tblLook w:val="0000"/>
      </w:tblPr>
      <w:tblGrid>
        <w:gridCol w:w="2160"/>
        <w:gridCol w:w="4737"/>
        <w:gridCol w:w="1563"/>
      </w:tblGrid>
      <w:tr w:rsidTr="00B66B71">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A03B0E" w:rsidP="00A03B0E">
            <w:pPr>
              <w:pStyle w:val="BodyText"/>
            </w:pPr>
            <w:r w:rsidRPr="00A03B0E">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8</w:t>
            </w:r>
            <w:r w:rsidRPr="00A03B0E">
              <w:t>.</w:t>
            </w:r>
            <w:r w:rsidRPr="00A03B0E">
              <w:rPr>
                <w:rStyle w:val="SpecialBold"/>
              </w:rPr>
              <w:t>6</w:t>
            </w:r>
            <w:r w:rsidRPr="00A03B0E">
              <w:t xml:space="preserve">) </w:t>
            </w:r>
          </w:p>
          <w:p w:rsidR="00000000" w:rsidP="00A03B0E">
            <w:pPr>
              <w:pStyle w:val="BodyText"/>
              <w:rPr>
                <w:lang w:val="en-NZ"/>
              </w:rPr>
            </w:pPr>
            <w:r w:rsidRPr="00A03B0E">
              <w:t>Evidence that particular key competencies have been achieved within this unit is in the context of the following Performance Criteria of evidence. See Volume 2, Part 4 for an explanation of Key competencies and levels of this Trainin</w:t>
            </w:r>
            <w:r w:rsidRPr="00A03B0E">
              <w:t>g Package.</w:t>
            </w:r>
          </w:p>
        </w:tc>
      </w:tr>
      <w:tr w:rsidTr="00B66B71">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r w:rsidRPr="00A03B0E">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r w:rsidRPr="00A03B0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rPr>
                <w:rStyle w:val="SpecialBold"/>
              </w:rPr>
              <w:t>Performance Level</w:t>
            </w:r>
          </w:p>
        </w:tc>
      </w:tr>
      <w:tr w:rsidTr="00B66B7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p>
          <w:p w:rsidR="00000000" w:rsidP="00A03B0E">
            <w:pPr>
              <w:pStyle w:val="BodyText"/>
              <w:rPr>
                <w:lang w:val="en-NZ"/>
              </w:rPr>
            </w:pPr>
            <w:r w:rsidRPr="00A03B0E">
              <w:t>2</w:t>
            </w:r>
          </w:p>
        </w:tc>
      </w:tr>
      <w:tr w:rsidTr="00B66B7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p>
        </w:tc>
      </w:tr>
      <w:tr w:rsidTr="00B66B7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p>
          <w:p w:rsidR="00000000" w:rsidP="00A03B0E">
            <w:pPr>
              <w:pStyle w:val="BodyText"/>
              <w:rPr>
                <w:lang w:val="en-NZ"/>
              </w:rPr>
            </w:pPr>
            <w:r w:rsidRPr="00A03B0E">
              <w:t>2</w:t>
            </w:r>
          </w:p>
        </w:tc>
      </w:tr>
      <w:tr w:rsidTr="00B66B7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p>
        </w:tc>
      </w:tr>
      <w:tr w:rsidTr="00B66B7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p>
          <w:p w:rsidR="00000000" w:rsidP="00A03B0E">
            <w:pPr>
              <w:pStyle w:val="BodyText"/>
              <w:rPr>
                <w:lang w:val="en-NZ"/>
              </w:rPr>
            </w:pPr>
            <w:r w:rsidRPr="00A03B0E">
              <w:t>1</w:t>
            </w:r>
          </w:p>
        </w:tc>
      </w:tr>
      <w:tr w:rsidTr="00B66B7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p>
        </w:tc>
      </w:tr>
      <w:tr w:rsidTr="00B66B7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p>
          <w:p w:rsidR="00000000" w:rsidP="00A03B0E">
            <w:pPr>
              <w:pStyle w:val="BodyText"/>
              <w:rPr>
                <w:lang w:val="en-NZ"/>
              </w:rPr>
            </w:pPr>
            <w:r w:rsidRPr="00A03B0E">
              <w:t>2</w:t>
            </w:r>
          </w:p>
        </w:tc>
      </w:tr>
      <w:tr w:rsidTr="00B66B7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p>
        </w:tc>
      </w:tr>
      <w:tr w:rsidTr="00B66B7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 xml:space="preserve">How are mathematical </w:t>
            </w:r>
            <w:r w:rsidRPr="00A03B0E">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p>
          <w:p w:rsidR="00000000" w:rsidP="00A03B0E">
            <w:pPr>
              <w:pStyle w:val="BodyText"/>
              <w:rPr>
                <w:lang w:val="en-NZ"/>
              </w:rPr>
            </w:pPr>
            <w:r w:rsidRPr="00A03B0E">
              <w:t>1</w:t>
            </w:r>
          </w:p>
        </w:tc>
      </w:tr>
      <w:tr w:rsidTr="00B66B7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p>
        </w:tc>
      </w:tr>
      <w:tr w:rsidTr="00B66B7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p>
          <w:p w:rsidR="00000000" w:rsidP="00A03B0E">
            <w:pPr>
              <w:pStyle w:val="BodyText"/>
              <w:rPr>
                <w:lang w:val="en-NZ"/>
              </w:rPr>
            </w:pPr>
            <w:r w:rsidRPr="00A03B0E">
              <w:t>2</w:t>
            </w:r>
          </w:p>
        </w:tc>
      </w:tr>
      <w:tr w:rsidTr="00B66B7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p>
        </w:tc>
      </w:tr>
      <w:tr w:rsidTr="00B66B7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p>
          <w:p w:rsidR="00000000" w:rsidP="00A03B0E">
            <w:pPr>
              <w:pStyle w:val="BodyText"/>
              <w:rPr>
                <w:lang w:val="en-NZ"/>
              </w:rPr>
            </w:pPr>
            <w:r w:rsidRPr="00A03B0E">
              <w:t>1</w:t>
            </w:r>
          </w:p>
        </w:tc>
      </w:tr>
      <w:tr w:rsidTr="00B66B7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p>
        </w:tc>
      </w:tr>
    </w:tbl>
    <w:p w:rsidR="00000000" w:rsidRPr="00A03B0E" w:rsidP="00A03B0E">
      <w:pPr>
        <w:pStyle w:val="BodyText"/>
      </w:pPr>
    </w:p>
    <w:tbl>
      <w:tblPr>
        <w:tblW w:w="0" w:type="auto"/>
        <w:tblLayout w:type="fixed"/>
        <w:tblCellMar>
          <w:left w:w="62" w:type="dxa"/>
          <w:right w:w="62" w:type="dxa"/>
        </w:tblCellMar>
        <w:tblLook w:val="0000"/>
      </w:tblPr>
      <w:tblGrid>
        <w:gridCol w:w="326"/>
        <w:gridCol w:w="1834"/>
        <w:gridCol w:w="6300"/>
      </w:tblGrid>
      <w:tr w:rsidTr="00B66B7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p>
        </w:tc>
      </w:tr>
      <w:tr w:rsidTr="00B66B7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03B0E" w:rsidP="00A03B0E">
            <w:pPr>
              <w:pStyle w:val="BodyText"/>
            </w:pPr>
            <w:r w:rsidRPr="00A03B0E">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A03B0E" w:rsidP="00A03B0E">
            <w:pPr>
              <w:pStyle w:val="BodyText"/>
            </w:pPr>
            <w:r w:rsidRPr="00A03B0E">
              <w:rPr>
                <w:rStyle w:val="SpecialBold"/>
              </w:rPr>
              <w:t>8</w:t>
            </w:r>
            <w:r w:rsidRPr="00A03B0E">
              <w:t>.</w:t>
            </w:r>
            <w:r w:rsidRPr="00A03B0E">
              <w:rPr>
                <w:rStyle w:val="SpecialBold"/>
              </w:rPr>
              <w:t>7</w:t>
            </w:r>
            <w:r w:rsidRPr="00A03B0E">
              <w:t xml:space="preserve">) </w:t>
            </w:r>
          </w:p>
          <w:p w:rsidR="00000000" w:rsidP="00A03B0E">
            <w:pPr>
              <w:pStyle w:val="BodyText"/>
              <w:rPr>
                <w:lang w:val="en-NZ"/>
              </w:rPr>
            </w:pPr>
            <w:r w:rsidRPr="00A03B0E">
              <w:t xml:space="preserve">Evidence that competency in this unit incorporates skills enabling employment is in the context of the following performance. See Volume 2, Part 5 for definitions and an explanation of skills enabling employment. </w:t>
            </w:r>
          </w:p>
        </w:tc>
      </w:tr>
      <w:tr w:rsidTr="00B66B7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r w:rsidRPr="00A03B0E">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rPr>
                <w:rStyle w:val="SpecialBold"/>
              </w:rPr>
              <w:t>Example of Application</w:t>
            </w:r>
          </w:p>
        </w:tc>
      </w:tr>
      <w:tr w:rsidTr="00B66B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r>
      <w:tr w:rsidTr="00B66B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Completion of tasks within an acceptable timeframe and performance with some supervision.</w:t>
            </w:r>
          </w:p>
        </w:tc>
      </w:tr>
      <w:tr w:rsidTr="00B66B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r>
      <w:tr w:rsidTr="00B66B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Comprehension and application of theoretical knowledge to well-developed skills.</w:t>
            </w:r>
          </w:p>
        </w:tc>
      </w:tr>
      <w:tr w:rsidTr="00B66B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r>
      <w:tr w:rsidTr="00B66B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Focused on improvement in own and other team member's performance in the workplace.</w:t>
            </w:r>
          </w:p>
        </w:tc>
      </w:tr>
      <w:tr w:rsidTr="00B66B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r>
      <w:tr w:rsidTr="00B66B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Working understanding of the processes and systems which apply to the workplace.</w:t>
            </w:r>
          </w:p>
        </w:tc>
      </w:tr>
      <w:tr w:rsidTr="00B66B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r>
      <w:tr w:rsidTr="00B66B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Achieving work tasks in a timely manner and ensuring that the work team a</w:t>
            </w:r>
            <w:r w:rsidRPr="00A03B0E">
              <w:t>chieves its stated work goals.</w:t>
            </w:r>
          </w:p>
        </w:tc>
      </w:tr>
      <w:tr w:rsidTr="00B66B7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B0E">
            <w:pPr>
              <w:pStyle w:val="BodyText"/>
              <w:rPr>
                <w:lang w:val="en-NZ"/>
              </w:rPr>
            </w:pPr>
            <w:r w:rsidRPr="00A03B0E">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B0E">
            <w:pPr>
              <w:pStyle w:val="BodyText"/>
              <w:rPr>
                <w:lang w:val="en-NZ"/>
              </w:rPr>
            </w:pPr>
            <w:r w:rsidRPr="00A03B0E">
              <w:t>Refer to the following example of application:</w:t>
            </w:r>
          </w:p>
        </w:tc>
      </w:tr>
      <w:tr w:rsidTr="00B66B7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03B0E" w:rsidP="00A03B0E">
            <w:pPr>
              <w:pStyle w:val="BodyText"/>
            </w:pPr>
            <w:r w:rsidRPr="00A03B0E">
              <w:t>Seek advice and apply solutions to problems relevant to the workplace environment.</w:t>
            </w:r>
          </w:p>
        </w:tc>
      </w:tr>
    </w:tbl>
    <w:p w:rsidR="00B66B71" w:rsidP="00A03B0E">
      <w:pPr>
        <w:pStyle w:val="BodyText"/>
      </w:pPr>
    </w:p>
    <w:p w:rsidR="00B66B71" w:rsidP="00A03B0E">
      <w:pPr>
        <w:pStyle w:val="BodyText"/>
      </w:pPr>
    </w:p>
    <w:p w:rsidR="00000000" w:rsidRPr="00A03B0E" w:rsidP="00A03B0E">
      <w:pPr>
        <w:pStyle w:val="Heading1"/>
      </w:pPr>
      <w:bookmarkStart w:id="11" w:name="O_256034"/>
      <w:bookmarkEnd w:id="11"/>
      <w:r w:rsidRPr="00A03B0E">
        <w:t>Range Statement</w:t>
      </w:r>
    </w:p>
    <w:tbl>
      <w:tblPr>
        <w:tblW w:w="0" w:type="auto"/>
        <w:tblLayout w:type="fixed"/>
        <w:tblCellMar>
          <w:left w:w="62" w:type="dxa"/>
          <w:right w:w="62" w:type="dxa"/>
        </w:tblCellMar>
        <w:tblLook w:val="0000"/>
      </w:tblPr>
      <w:tblGrid>
        <w:gridCol w:w="8460"/>
      </w:tblGrid>
      <w:tr w:rsidTr="00B66B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RANGE STATEMENT</w:t>
            </w:r>
          </w:p>
        </w:tc>
      </w:tr>
      <w:tr w:rsidTr="00B66B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7</w:t>
            </w:r>
            <w:r w:rsidRPr="00A03B0E">
              <w:t>) This relates to the unit of competency as a whole providing the range of contexts and conditions to which the Performance Criteria apply. It allows for different work environments and situations that will affect performa</w:t>
            </w:r>
            <w:r w:rsidRPr="00A03B0E">
              <w:t>nce.</w:t>
            </w:r>
          </w:p>
        </w:tc>
      </w:tr>
      <w:tr w:rsidTr="00B66B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 xml:space="preserve">All work is performed in accordance with relevant enterprise safe working practices/established procedures and environmental requirements, manufacturers specifications, codes of practice, statutory requirements, Australian Standards and Occupational </w:t>
            </w:r>
            <w:r w:rsidRPr="00A03B0E">
              <w:t>Health and Safety standards.</w:t>
            </w:r>
          </w:p>
          <w:p w:rsidR="00000000" w:rsidRPr="00A03B0E" w:rsidP="00A03B0E">
            <w:pPr>
              <w:pStyle w:val="BodyText"/>
            </w:pPr>
            <w:r w:rsidRPr="00A03B0E">
              <w:t>Specific work(s)/site(s) may include, but is not limited to buildings; plants construction and maintenance sites; workshops; laboratories; dams; catchments; flood plains irrigation sites; wetlands; drainage sites; waste disposa</w:t>
            </w:r>
            <w:r w:rsidRPr="00A03B0E">
              <w:t>l sites</w:t>
            </w:r>
          </w:p>
          <w:p w:rsidR="00000000" w:rsidRPr="00A03B0E" w:rsidP="00A03B0E">
            <w:pPr>
              <w:pStyle w:val="BodyText"/>
            </w:pPr>
            <w:r w:rsidRPr="00A03B0E">
              <w:t>Environmental risks may include impact of mismanagement of chemicals; impact of mismanagement of biological agents; detrimental impact on limited water resources; spillage; waste disposal; detrimental impact on water catchment areas (urban and non-</w:t>
            </w:r>
            <w:r w:rsidRPr="00A03B0E">
              <w:t>urban); detrimental impact on rivers, waterways and channels; unsatisfactory trade waste treatment and disposal processes; poor construction processes; planning deficiencies; neglect of sustainable energy principles</w:t>
            </w:r>
          </w:p>
          <w:p w:rsidR="00000000" w:rsidRPr="00A03B0E" w:rsidP="00A03B0E">
            <w:pPr>
              <w:pStyle w:val="BodyText"/>
            </w:pPr>
            <w:r w:rsidRPr="00A03B0E">
              <w:t>Environmental legislation may include re</w:t>
            </w:r>
            <w:r w:rsidRPr="00A03B0E">
              <w:t>levant federal legislation; relevant State/Territory legislation; relevant local government by-laws; relevant government or quasi government policies and regulations; relevant community planning and development agreements (e.g. land care agreements)</w:t>
            </w:r>
          </w:p>
          <w:p w:rsidR="00000000" w:rsidRPr="00A03B0E" w:rsidP="00A03B0E">
            <w:pPr>
              <w:pStyle w:val="BodyText"/>
            </w:pPr>
            <w:r w:rsidRPr="00A03B0E">
              <w:t>Incide</w:t>
            </w:r>
            <w:r w:rsidRPr="00A03B0E">
              <w:t>nts of environmental impact may include emissions to air; releases to/of water; releases to land; vibration and noise; disposal of waste; contamination of land; impact on communities; reduction of biodiversity; destruction of habitat; use of energy sources</w:t>
            </w:r>
            <w:r w:rsidRPr="00A03B0E">
              <w:t>; waste generation processes and technologies; impact on culturally significant sites; and may involve the implementation of emergency responses</w:t>
            </w:r>
          </w:p>
          <w:p w:rsidR="00000000" w:rsidRPr="00A03B0E" w:rsidP="00A03B0E">
            <w:pPr>
              <w:pStyle w:val="BodyText"/>
            </w:pPr>
            <w:r w:rsidRPr="00A03B0E">
              <w:t>Environmental management documentation may include information on applicable environmental laws or other requir</w:t>
            </w:r>
            <w:r w:rsidRPr="00A03B0E">
              <w:t>ements; complaint records; training records; process information; process operational log books; inspection, maintenance and calibration records; relevant contractor and supplier information; incident reports; information on emergency preparedness and resp</w:t>
            </w:r>
            <w:r w:rsidRPr="00A03B0E">
              <w:t>onse; records of significant environmental impacts and compliance records.</w:t>
            </w:r>
          </w:p>
          <w:p w:rsidR="00000000" w:rsidRPr="00A03B0E" w:rsidP="00A03B0E">
            <w:pPr>
              <w:pStyle w:val="BodyText"/>
            </w:pPr>
            <w:r w:rsidRPr="00A03B0E">
              <w:t xml:space="preserve">Generic terms are used throughout this Training Package for vocational standard shall be regarded as part of the Range Statement in which competency is demonstrated. The definition </w:t>
            </w:r>
            <w:r w:rsidRPr="00A03B0E">
              <w:t>of these and other terms are given in Volume 2, Part 1.</w:t>
            </w:r>
          </w:p>
        </w:tc>
      </w:tr>
    </w:tbl>
    <w:p w:rsidR="00B66B71" w:rsidP="00A03B0E">
      <w:pPr>
        <w:pStyle w:val="BodyText"/>
      </w:pPr>
    </w:p>
    <w:p w:rsidR="00B66B71" w:rsidP="00A03B0E">
      <w:pPr>
        <w:pStyle w:val="BodyText"/>
      </w:pPr>
    </w:p>
    <w:p w:rsidR="00000000" w:rsidRPr="00A03B0E" w:rsidP="00A03B0E">
      <w:pPr>
        <w:pStyle w:val="Heading1"/>
      </w:pPr>
      <w:bookmarkStart w:id="12" w:name="O_297047"/>
      <w:bookmarkEnd w:id="12"/>
      <w:r w:rsidRPr="00A03B0E">
        <w:t>Unit Sector(s)</w:t>
      </w:r>
    </w:p>
    <w:p w:rsidR="00000000" w:rsidRPr="00A03B0E" w:rsidP="00A03B0E">
      <w:pPr>
        <w:pStyle w:val="BodyText"/>
      </w:pPr>
      <w:r w:rsidRPr="00A03B0E">
        <w:t>Not Applicable</w:t>
      </w:r>
    </w:p>
    <w:p w:rsidR="00000000" w:rsidRPr="00A03B0E" w:rsidP="00A03B0E">
      <w:pPr>
        <w:pStyle w:val="AllowPageBreak"/>
      </w:pPr>
    </w:p>
    <w:p w:rsidR="00000000" w:rsidRPr="00A03B0E" w:rsidP="00A03B0E">
      <w:pPr>
        <w:pStyle w:val="Heading1"/>
      </w:pPr>
      <w:bookmarkStart w:id="13" w:name="O_230739"/>
      <w:bookmarkEnd w:id="13"/>
      <w:r w:rsidRPr="00A03B0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6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2</w:t>
            </w:r>
            <w:r w:rsidRPr="00A03B0E">
              <w:t>.</w:t>
            </w:r>
            <w:r w:rsidRPr="00A03B0E">
              <w:rPr>
                <w:rStyle w:val="SpecialBold"/>
              </w:rPr>
              <w:t>2</w:t>
            </w:r>
            <w:r w:rsidRPr="00A03B0E">
              <w:t xml:space="preserve">) </w:t>
            </w:r>
          </w:p>
          <w:p w:rsidR="00000000" w:rsidP="00A03B0E">
            <w:pPr>
              <w:pStyle w:val="BodyText"/>
              <w:rPr>
                <w:lang w:val="en-NZ"/>
              </w:rPr>
            </w:pPr>
            <w:r w:rsidRPr="00A03B0E">
              <w:t>Participants are best equipped to achieve this unit if they have reading, writing and maths skills indicated by the following scales. Description of each scale is given in Volume 2, Part 3 Literacy and Numeracy</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Reading</w:t>
            </w:r>
          </w:p>
        </w:tc>
        <w:tc>
          <w:tcPr>
            <w:tcW w:w="805"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3</w:t>
            </w:r>
          </w:p>
        </w:tc>
        <w:tc>
          <w:tcPr>
            <w:tcW w:w="1184"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Writing</w:t>
            </w:r>
          </w:p>
        </w:tc>
        <w:tc>
          <w:tcPr>
            <w:tcW w:w="805"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3</w:t>
            </w:r>
          </w:p>
        </w:tc>
        <w:tc>
          <w:tcPr>
            <w:tcW w:w="1172"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t>Maths</w:t>
            </w:r>
          </w:p>
        </w:tc>
        <w:tc>
          <w:tcPr>
            <w:tcW w:w="805"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3</w:t>
            </w:r>
          </w:p>
        </w:tc>
      </w:tr>
    </w:tbl>
    <w:p w:rsidR="00B66B71" w:rsidP="00A03B0E">
      <w:pPr>
        <w:pStyle w:val="BodyText"/>
      </w:pPr>
    </w:p>
    <w:p w:rsidR="00B66B71" w:rsidP="00A03B0E">
      <w:pPr>
        <w:pStyle w:val="BodyText"/>
      </w:pPr>
    </w:p>
    <w:p w:rsidR="00000000" w:rsidRPr="00A03B0E" w:rsidP="00A03B0E">
      <w:pPr>
        <w:pStyle w:val="Heading1"/>
      </w:pPr>
      <w:bookmarkStart w:id="14" w:name="O_230741"/>
      <w:bookmarkEnd w:id="14"/>
      <w:r w:rsidRPr="00A03B0E">
        <w:t>Competency Field</w:t>
      </w:r>
    </w:p>
    <w:tbl>
      <w:tblPr>
        <w:tblW w:w="0" w:type="auto"/>
        <w:tblLayout w:type="fixed"/>
        <w:tblCellMar>
          <w:left w:w="62" w:type="dxa"/>
          <w:right w:w="62" w:type="dxa"/>
        </w:tblCellMar>
        <w:tblLook w:val="0000"/>
      </w:tblPr>
      <w:tblGrid>
        <w:gridCol w:w="2700"/>
        <w:gridCol w:w="5760"/>
      </w:tblGrid>
      <w:tr w:rsidTr="00B66B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03B0E">
            <w:pPr>
              <w:pStyle w:val="BodyText"/>
              <w:rPr>
                <w:lang w:val="en-NZ"/>
              </w:rPr>
            </w:pPr>
            <w:r w:rsidRPr="00A03B0E">
              <w:rPr>
                <w:rStyle w:val="SpecialBold"/>
              </w:rPr>
              <w:t>4</w:t>
            </w:r>
            <w:r w:rsidRPr="00A03B0E">
              <w:t xml:space="preserve">) </w:t>
            </w:r>
          </w:p>
        </w:tc>
      </w:tr>
      <w:tr w:rsidTr="00B66B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03B0E" w:rsidP="00A03B0E">
            <w:pPr>
              <w:pStyle w:val="BodyText"/>
            </w:pPr>
            <w:r w:rsidRPr="00A03B0E">
              <w:t>Operations.</w:t>
            </w:r>
          </w:p>
        </w:tc>
      </w:tr>
    </w:tbl>
    <w:p w:rsidR="00B66B71" w:rsidP="00A03B0E">
      <w:pPr>
        <w:pStyle w:val="BodyText"/>
      </w:pPr>
    </w:p>
    <w:p w:rsidR="00B66B71" w:rsidP="00A03B0E">
      <w:pPr>
        <w:pStyle w:val="BodyText"/>
      </w:pPr>
    </w:p>
    <w:p w:rsidR="00000000" w:rsidRPr="00A03B0E" w:rsidP="00A03B0E"/>
    <w:sectPr w:rsidSect="00A03B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B71" w:rsidP="00B66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B71" w:rsidP="00A03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6B71" w:rsidP="00A03B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66B71" w:rsidP="00A03B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B71" w:rsidP="00B66B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B71" w:rsidP="00A03B0E">
    <w:pPr>
      <w:pStyle w:val="Header"/>
      <w:framePr w:wrap="around"/>
    </w:pPr>
    <w:r>
      <w:fldChar w:fldCharType="begin"/>
    </w:r>
    <w:r>
      <w:instrText xml:space="preserve"> TITLE   \* MERGEFORMAT </w:instrText>
    </w:r>
    <w:r>
      <w:fldChar w:fldCharType="separate"/>
    </w:r>
    <w:r>
      <w:t>UEPOPS356A Apply Environmental and Sustainable Energy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6B71" w:rsidP="00A03B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389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6E6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B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3B0E"/>
    <w:pPr>
      <w:spacing w:before="360" w:after="60"/>
      <w:outlineLvl w:val="0"/>
    </w:pPr>
    <w:rPr>
      <w:sz w:val="32"/>
    </w:rPr>
  </w:style>
  <w:style w:type="paragraph" w:styleId="Heading2">
    <w:name w:val="heading 2"/>
    <w:basedOn w:val="HeadingBase"/>
    <w:next w:val="BodyText"/>
    <w:link w:val="Heading2Char"/>
    <w:qFormat/>
    <w:rsid w:val="00A03B0E"/>
    <w:pPr>
      <w:keepLines/>
      <w:spacing w:before="240" w:after="120"/>
      <w:outlineLvl w:val="1"/>
    </w:pPr>
    <w:rPr>
      <w:sz w:val="28"/>
      <w:szCs w:val="40"/>
    </w:rPr>
  </w:style>
  <w:style w:type="paragraph" w:styleId="Heading3">
    <w:name w:val="heading 3"/>
    <w:basedOn w:val="HeadingBase"/>
    <w:next w:val="BodyText"/>
    <w:link w:val="Heading3Char"/>
    <w:qFormat/>
    <w:rsid w:val="00A03B0E"/>
    <w:pPr>
      <w:spacing w:before="180" w:after="120"/>
      <w:outlineLvl w:val="2"/>
    </w:pPr>
    <w:rPr>
      <w:spacing w:val="-10"/>
      <w:kern w:val="32"/>
    </w:rPr>
  </w:style>
  <w:style w:type="paragraph" w:styleId="Heading4">
    <w:name w:val="heading 4"/>
    <w:basedOn w:val="HeadingBase"/>
    <w:next w:val="BodyText"/>
    <w:link w:val="Heading4Char"/>
    <w:qFormat/>
    <w:rsid w:val="00A03B0E"/>
    <w:pPr>
      <w:spacing w:before="160" w:after="120"/>
      <w:outlineLvl w:val="3"/>
    </w:pPr>
    <w:rPr>
      <w:sz w:val="22"/>
    </w:rPr>
  </w:style>
  <w:style w:type="paragraph" w:styleId="Heading5">
    <w:name w:val="heading 5"/>
    <w:basedOn w:val="HeadingBase"/>
    <w:next w:val="Normal"/>
    <w:link w:val="Heading5Char"/>
    <w:qFormat/>
    <w:rsid w:val="00A03B0E"/>
    <w:pPr>
      <w:spacing w:before="80"/>
      <w:outlineLvl w:val="4"/>
    </w:pPr>
    <w:rPr>
      <w:color w:val="918585"/>
      <w:sz w:val="20"/>
    </w:rPr>
  </w:style>
  <w:style w:type="paragraph" w:styleId="Heading6">
    <w:name w:val="heading 6"/>
    <w:basedOn w:val="HeadingBase"/>
    <w:next w:val="Normal"/>
    <w:link w:val="Heading6Char"/>
    <w:qFormat/>
    <w:rsid w:val="00A03B0E"/>
    <w:pPr>
      <w:spacing w:before="60"/>
      <w:outlineLvl w:val="5"/>
    </w:pPr>
    <w:rPr>
      <w:color w:val="918585"/>
      <w:sz w:val="20"/>
    </w:rPr>
  </w:style>
  <w:style w:type="paragraph" w:styleId="Heading7">
    <w:name w:val="heading 7"/>
    <w:basedOn w:val="Normal"/>
    <w:next w:val="Normal"/>
    <w:link w:val="Heading7Char"/>
    <w:qFormat/>
    <w:rsid w:val="00A03B0E"/>
    <w:pPr>
      <w:ind w:left="720"/>
      <w:outlineLvl w:val="6"/>
    </w:pPr>
    <w:rPr>
      <w:i/>
    </w:rPr>
  </w:style>
  <w:style w:type="paragraph" w:styleId="Heading8">
    <w:name w:val="heading 8"/>
    <w:basedOn w:val="Normal"/>
    <w:next w:val="Normal"/>
    <w:link w:val="Heading8Char"/>
    <w:qFormat/>
    <w:rsid w:val="00A03B0E"/>
    <w:pPr>
      <w:ind w:left="720"/>
      <w:outlineLvl w:val="7"/>
    </w:pPr>
    <w:rPr>
      <w:i/>
    </w:rPr>
  </w:style>
  <w:style w:type="paragraph" w:styleId="Heading9">
    <w:name w:val="heading 9"/>
    <w:basedOn w:val="Normal"/>
    <w:next w:val="Normal"/>
    <w:link w:val="Heading9Char"/>
    <w:qFormat/>
    <w:rsid w:val="00A03B0E"/>
    <w:pPr>
      <w:ind w:left="720"/>
      <w:outlineLvl w:val="8"/>
    </w:pPr>
    <w:rPr>
      <w:i/>
    </w:rPr>
  </w:style>
  <w:style w:type="character" w:default="1" w:styleId="DefaultParagraphFont">
    <w:name w:val="Default Paragraph Font"/>
    <w:uiPriority w:val="1"/>
    <w:unhideWhenUsed/>
    <w:rsid w:val="00A03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B0E"/>
  </w:style>
  <w:style w:type="character" w:customStyle="1" w:styleId="Heading1Char">
    <w:name w:val="Heading 1 Char"/>
    <w:basedOn w:val="DefaultParagraphFont"/>
    <w:link w:val="Heading1"/>
    <w:rsid w:val="00A03B0E"/>
    <w:rPr>
      <w:rFonts w:ascii="Times New Roman" w:eastAsia="Times New Roman" w:hAnsi="Times New Roman" w:cs="Times New Roman"/>
      <w:b/>
      <w:sz w:val="32"/>
      <w:szCs w:val="20"/>
      <w:lang w:eastAsia="en-US"/>
    </w:rPr>
  </w:style>
  <w:style w:type="paragraph" w:styleId="BodyText">
    <w:name w:val="Body Text"/>
    <w:basedOn w:val="Normal"/>
    <w:link w:val="BodyTextChar"/>
    <w:rsid w:val="00A03B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B0E"/>
    <w:rPr>
      <w:rFonts w:ascii="Times New Roman" w:eastAsia="Times New Roman" w:hAnsi="Times New Roman" w:cs="Times New Roman"/>
      <w:sz w:val="24"/>
      <w:lang w:val="en-US" w:eastAsia="en-US"/>
    </w:rPr>
  </w:style>
  <w:style w:type="paragraph" w:styleId="Footer">
    <w:name w:val="footer"/>
    <w:basedOn w:val="Normal"/>
    <w:link w:val="FooterChar"/>
    <w:rsid w:val="00A03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B0E"/>
    <w:rPr>
      <w:rFonts w:ascii="Times New Roman" w:eastAsia="Times New Roman" w:hAnsi="Times New Roman" w:cs="Times New Roman"/>
      <w:sz w:val="16"/>
      <w:lang w:val="en-US" w:eastAsia="en-US"/>
    </w:rPr>
  </w:style>
  <w:style w:type="paragraph" w:styleId="ListBullet">
    <w:name w:val="List Bullet"/>
    <w:basedOn w:val="List"/>
    <w:rsid w:val="00A03B0E"/>
    <w:pPr>
      <w:numPr>
        <w:numId w:val="13"/>
      </w:numPr>
      <w:tabs>
        <w:tab w:val="clear" w:pos="340"/>
      </w:tabs>
      <w:spacing w:before="40" w:after="40"/>
    </w:pPr>
  </w:style>
  <w:style w:type="character" w:customStyle="1" w:styleId="SpecialBold">
    <w:name w:val="Special Bold"/>
    <w:basedOn w:val="DefaultParagraphFont"/>
    <w:rsid w:val="00A03B0E"/>
    <w:rPr>
      <w:b/>
      <w:spacing w:val="0"/>
    </w:rPr>
  </w:style>
  <w:style w:type="paragraph" w:styleId="Header">
    <w:name w:val="header"/>
    <w:basedOn w:val="Normal"/>
    <w:link w:val="HeaderChar"/>
    <w:rsid w:val="00A03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B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3B0E"/>
    <w:pPr>
      <w:spacing w:before="240" w:after="120"/>
      <w:outlineLvl w:val="0"/>
    </w:pPr>
    <w:rPr>
      <w:rFonts w:ascii="Times New Roman" w:hAnsi="Times New Roman"/>
      <w:b/>
      <w:sz w:val="28"/>
    </w:rPr>
  </w:style>
  <w:style w:type="paragraph" w:customStyle="1" w:styleId="AllowPageBreak">
    <w:name w:val="AllowPageBreak"/>
    <w:rsid w:val="00A03B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3B0E"/>
    <w:pPr>
      <w:numPr>
        <w:numId w:val="2"/>
      </w:numPr>
      <w:tabs>
        <w:tab w:val="clear" w:pos="1021"/>
      </w:tabs>
      <w:ind w:left="1037" w:hanging="357"/>
    </w:pPr>
  </w:style>
  <w:style w:type="character" w:customStyle="1" w:styleId="Heading2Char">
    <w:name w:val="Heading 2 Char"/>
    <w:basedOn w:val="DefaultParagraphFont"/>
    <w:link w:val="Heading2"/>
    <w:rsid w:val="00A03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B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3B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3B0E"/>
    <w:rPr>
      <w:rFonts w:ascii="Courier New" w:eastAsia="Times New Roman" w:hAnsi="Courier New" w:cs="Times New Roman"/>
      <w:i/>
      <w:szCs w:val="20"/>
      <w:lang w:val="en-US" w:eastAsia="en-US"/>
    </w:rPr>
  </w:style>
  <w:style w:type="paragraph" w:customStyle="1" w:styleId="HeadingBase">
    <w:name w:val="Heading Base"/>
    <w:rsid w:val="00A03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B0E"/>
    <w:pPr>
      <w:tabs>
        <w:tab w:val="right" w:leader="dot" w:pos="9072"/>
      </w:tabs>
      <w:ind w:left="567"/>
    </w:pPr>
    <w:rPr>
      <w:szCs w:val="22"/>
    </w:rPr>
  </w:style>
  <w:style w:type="paragraph" w:customStyle="1" w:styleId="TOCBase">
    <w:name w:val="TOC Base"/>
    <w:rsid w:val="00A03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B0E"/>
    <w:pPr>
      <w:tabs>
        <w:tab w:val="right" w:leader="dot" w:pos="9072"/>
      </w:tabs>
      <w:spacing w:before="40" w:after="40"/>
      <w:ind w:left="284"/>
    </w:pPr>
    <w:rPr>
      <w:rFonts w:ascii="Times New Roman" w:hAnsi="Times New Roman"/>
    </w:rPr>
  </w:style>
  <w:style w:type="paragraph" w:styleId="TOC1">
    <w:name w:val="toc 1"/>
    <w:basedOn w:val="TOCBase"/>
    <w:next w:val="Normal"/>
    <w:rsid w:val="00A03B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3B0E"/>
    <w:pPr>
      <w:spacing w:before="5040"/>
      <w:jc w:val="center"/>
    </w:pPr>
    <w:rPr>
      <w:sz w:val="48"/>
      <w:szCs w:val="72"/>
      <w:lang w:val="en-US"/>
    </w:rPr>
  </w:style>
  <w:style w:type="character" w:customStyle="1" w:styleId="TitleChar">
    <w:name w:val="Title Char"/>
    <w:basedOn w:val="DefaultParagraphFont"/>
    <w:link w:val="Title"/>
    <w:rsid w:val="00A03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B0E"/>
    <w:pPr>
      <w:tabs>
        <w:tab w:val="left" w:pos="3600"/>
        <w:tab w:val="left" w:pos="3958"/>
      </w:tabs>
    </w:pPr>
  </w:style>
  <w:style w:type="paragraph" w:styleId="List">
    <w:name w:val="List"/>
    <w:basedOn w:val="BodyText"/>
    <w:next w:val="BodyText"/>
    <w:rsid w:val="00A03B0E"/>
    <w:pPr>
      <w:tabs>
        <w:tab w:val="left" w:pos="340"/>
      </w:tabs>
      <w:spacing w:before="60" w:after="60"/>
      <w:ind w:left="340" w:hanging="340"/>
    </w:pPr>
  </w:style>
  <w:style w:type="paragraph" w:customStyle="1" w:styleId="Note">
    <w:name w:val="Note"/>
    <w:basedOn w:val="BodyText"/>
    <w:rsid w:val="00A03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B0E"/>
    <w:pPr>
      <w:framePr w:wrap="auto" w:hAnchor="text" w:y="6049"/>
    </w:pPr>
    <w:rPr>
      <w:color w:val="000000"/>
      <w:sz w:val="40"/>
    </w:rPr>
  </w:style>
  <w:style w:type="paragraph" w:customStyle="1" w:styleId="TOCTitle">
    <w:name w:val="TOCTitle"/>
    <w:basedOn w:val="Heading1"/>
    <w:rsid w:val="00A03B0E"/>
    <w:pPr>
      <w:spacing w:after="240"/>
      <w:jc w:val="center"/>
      <w:outlineLvl w:val="9"/>
    </w:pPr>
    <w:rPr>
      <w:caps/>
    </w:rPr>
  </w:style>
  <w:style w:type="paragraph" w:customStyle="1" w:styleId="Version">
    <w:name w:val="Version"/>
    <w:rsid w:val="00A03B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B0E"/>
    <w:pPr>
      <w:numPr>
        <w:numId w:val="14"/>
      </w:numPr>
      <w:tabs>
        <w:tab w:val="clear" w:pos="680"/>
      </w:tabs>
    </w:pPr>
  </w:style>
  <w:style w:type="paragraph" w:styleId="Index1">
    <w:name w:val="index 1"/>
    <w:basedOn w:val="Normal"/>
    <w:next w:val="Normal"/>
    <w:semiHidden/>
    <w:rsid w:val="00A03B0E"/>
    <w:pPr>
      <w:keepNext w:val="0"/>
      <w:tabs>
        <w:tab w:val="right" w:pos="4176"/>
      </w:tabs>
      <w:ind w:left="198" w:hanging="198"/>
    </w:pPr>
    <w:rPr>
      <w:rFonts w:ascii="Garamond" w:hAnsi="Garamond"/>
    </w:rPr>
  </w:style>
  <w:style w:type="paragraph" w:styleId="IndexHeading">
    <w:name w:val="index heading"/>
    <w:basedOn w:val="Normal"/>
    <w:next w:val="Index1"/>
    <w:semiHidden/>
    <w:rsid w:val="00A03B0E"/>
    <w:pPr>
      <w:spacing w:before="120" w:after="120"/>
    </w:pPr>
    <w:rPr>
      <w:rFonts w:ascii="Arial" w:hAnsi="Arial"/>
      <w:b/>
      <w:color w:val="918585"/>
      <w:sz w:val="24"/>
    </w:rPr>
  </w:style>
  <w:style w:type="paragraph" w:customStyle="1" w:styleId="Chapter">
    <w:name w:val="Chapter"/>
    <w:basedOn w:val="Normal"/>
    <w:rsid w:val="00A03B0E"/>
    <w:pPr>
      <w:spacing w:before="240"/>
    </w:pPr>
    <w:rPr>
      <w:rFonts w:ascii="Times New Roman" w:hAnsi="Times New Roman"/>
      <w:smallCaps/>
      <w:spacing w:val="80"/>
      <w:sz w:val="28"/>
    </w:rPr>
  </w:style>
  <w:style w:type="paragraph" w:customStyle="1" w:styleId="InChapter">
    <w:name w:val="InChapter"/>
    <w:basedOn w:val="Heading3"/>
    <w:rsid w:val="00A03B0E"/>
    <w:pPr>
      <w:spacing w:after="240"/>
      <w:outlineLvl w:val="9"/>
    </w:pPr>
    <w:rPr>
      <w:noProof/>
    </w:rPr>
  </w:style>
  <w:style w:type="paragraph" w:styleId="Index2">
    <w:name w:val="index 2"/>
    <w:basedOn w:val="Normal"/>
    <w:next w:val="Normal"/>
    <w:semiHidden/>
    <w:rsid w:val="00A03B0E"/>
    <w:pPr>
      <w:tabs>
        <w:tab w:val="right" w:pos="4176"/>
      </w:tabs>
      <w:ind w:left="568" w:hanging="284"/>
    </w:pPr>
    <w:rPr>
      <w:rFonts w:ascii="Garamond" w:hAnsi="Garamond"/>
    </w:rPr>
  </w:style>
  <w:style w:type="paragraph" w:customStyle="1" w:styleId="Byline">
    <w:name w:val="Byline"/>
    <w:rsid w:val="00A03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B0E"/>
    <w:pPr>
      <w:tabs>
        <w:tab w:val="clear" w:pos="3600"/>
        <w:tab w:val="clear" w:pos="3958"/>
      </w:tabs>
      <w:jc w:val="right"/>
    </w:pPr>
  </w:style>
  <w:style w:type="character" w:styleId="Emphasis">
    <w:name w:val="Emphasis"/>
    <w:basedOn w:val="DefaultParagraphFont"/>
    <w:qFormat/>
    <w:rsid w:val="00A03B0E"/>
    <w:rPr>
      <w:i/>
    </w:rPr>
  </w:style>
  <w:style w:type="paragraph" w:styleId="Caption">
    <w:name w:val="caption"/>
    <w:basedOn w:val="BodyText"/>
    <w:next w:val="Normal"/>
    <w:qFormat/>
    <w:rsid w:val="00A03B0E"/>
    <w:pPr>
      <w:framePr w:w="2268" w:hSpace="181" w:vSpace="181" w:wrap="around" w:vAnchor="text" w:hAnchor="page" w:x="1135" w:y="285" w:anchorLock="1"/>
    </w:pPr>
    <w:rPr>
      <w:i/>
    </w:rPr>
  </w:style>
  <w:style w:type="paragraph" w:customStyle="1" w:styleId="MiniTOCTitle">
    <w:name w:val="MiniTOCTitle"/>
    <w:basedOn w:val="Heading4"/>
    <w:rsid w:val="00A03B0E"/>
    <w:pPr>
      <w:spacing w:before="240"/>
      <w:outlineLvl w:val="9"/>
    </w:pPr>
    <w:rPr>
      <w:noProof/>
      <w:sz w:val="24"/>
    </w:rPr>
  </w:style>
  <w:style w:type="paragraph" w:customStyle="1" w:styleId="MiniTOCItem">
    <w:name w:val="MiniTOCItem"/>
    <w:basedOn w:val="ListBullet"/>
    <w:rsid w:val="00A03B0E"/>
    <w:pPr>
      <w:numPr>
        <w:numId w:val="0"/>
      </w:numPr>
      <w:tabs>
        <w:tab w:val="right" w:leader="dot" w:pos="6521"/>
      </w:tabs>
      <w:spacing w:before="0" w:after="0"/>
    </w:pPr>
  </w:style>
  <w:style w:type="paragraph" w:customStyle="1" w:styleId="TOFTitle">
    <w:name w:val="TOFTitle"/>
    <w:basedOn w:val="TOCTitle"/>
    <w:rsid w:val="00A03B0E"/>
  </w:style>
  <w:style w:type="paragraph" w:styleId="TableofFigures">
    <w:name w:val="table of figures"/>
    <w:basedOn w:val="Normal"/>
    <w:next w:val="Normal"/>
    <w:semiHidden/>
    <w:rsid w:val="00A03B0E"/>
    <w:pPr>
      <w:tabs>
        <w:tab w:val="right" w:leader="dot" w:pos="9072"/>
      </w:tabs>
      <w:ind w:left="970" w:hanging="403"/>
    </w:pPr>
    <w:rPr>
      <w:rFonts w:ascii="Times New Roman" w:hAnsi="Times New Roman"/>
      <w:b/>
    </w:rPr>
  </w:style>
  <w:style w:type="paragraph" w:styleId="ListNumber">
    <w:name w:val="List Number"/>
    <w:basedOn w:val="List"/>
    <w:rsid w:val="00A03B0E"/>
    <w:pPr>
      <w:numPr>
        <w:numId w:val="11"/>
      </w:numPr>
    </w:pPr>
  </w:style>
  <w:style w:type="character" w:customStyle="1" w:styleId="WingdingSymbols">
    <w:name w:val="Wingding Symbols"/>
    <w:rsid w:val="00A03B0E"/>
    <w:rPr>
      <w:rFonts w:ascii="Wingdings" w:hAnsi="Wingdings"/>
    </w:rPr>
  </w:style>
  <w:style w:type="paragraph" w:customStyle="1" w:styleId="TableHeading">
    <w:name w:val="Table Heading"/>
    <w:basedOn w:val="HeadingBase"/>
    <w:rsid w:val="00A03B0E"/>
    <w:pPr>
      <w:keepLines/>
      <w:pBdr>
        <w:bottom w:val="single" w:sz="6" w:space="1" w:color="918585"/>
      </w:pBdr>
      <w:spacing w:before="240"/>
    </w:pPr>
  </w:style>
  <w:style w:type="character" w:customStyle="1" w:styleId="HotSpot">
    <w:name w:val="HotSpot"/>
    <w:rsid w:val="00A03B0E"/>
    <w:rPr>
      <w:color w:val="0033CC"/>
      <w:u w:val="none"/>
    </w:rPr>
  </w:style>
  <w:style w:type="paragraph" w:customStyle="1" w:styleId="BodyTextRight">
    <w:name w:val="Body Text Right"/>
    <w:basedOn w:val="BodyText"/>
    <w:rsid w:val="00A03B0E"/>
    <w:pPr>
      <w:spacing w:before="0" w:after="0"/>
      <w:jc w:val="right"/>
    </w:pPr>
  </w:style>
  <w:style w:type="paragraph" w:styleId="Index3">
    <w:name w:val="index 3"/>
    <w:basedOn w:val="ListNumber2"/>
    <w:next w:val="Normal"/>
    <w:semiHidden/>
    <w:rsid w:val="00A03B0E"/>
    <w:pPr>
      <w:numPr>
        <w:numId w:val="0"/>
      </w:numPr>
      <w:tabs>
        <w:tab w:val="right" w:leader="dot" w:pos="4176"/>
      </w:tabs>
    </w:pPr>
  </w:style>
  <w:style w:type="paragraph" w:styleId="ListNumber2">
    <w:name w:val="List Number 2"/>
    <w:basedOn w:val="List2"/>
    <w:rsid w:val="00A03B0E"/>
    <w:pPr>
      <w:numPr>
        <w:numId w:val="10"/>
      </w:numPr>
      <w:tabs>
        <w:tab w:val="clear" w:pos="1060"/>
      </w:tabs>
    </w:pPr>
  </w:style>
  <w:style w:type="paragraph" w:customStyle="1" w:styleId="MarginNote">
    <w:name w:val="Margin Note"/>
    <w:basedOn w:val="BodyText"/>
    <w:rsid w:val="00A03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B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3B0E"/>
    <w:rPr>
      <w:sz w:val="32"/>
    </w:rPr>
  </w:style>
  <w:style w:type="paragraph" w:customStyle="1" w:styleId="HeadingProcedure">
    <w:name w:val="Heading Procedure"/>
    <w:basedOn w:val="HeadingBase"/>
    <w:next w:val="Normal"/>
    <w:rsid w:val="00A03B0E"/>
    <w:pPr>
      <w:tabs>
        <w:tab w:val="left" w:pos="0"/>
      </w:tabs>
      <w:spacing w:before="120" w:after="60"/>
    </w:pPr>
    <w:rPr>
      <w:i/>
      <w:color w:val="918585"/>
      <w:sz w:val="22"/>
    </w:rPr>
  </w:style>
  <w:style w:type="paragraph" w:customStyle="1" w:styleId="TableBodyText">
    <w:name w:val="Table Body Text"/>
    <w:basedOn w:val="BodyText"/>
    <w:rsid w:val="00A03B0E"/>
    <w:pPr>
      <w:spacing w:before="60" w:after="60"/>
    </w:pPr>
  </w:style>
  <w:style w:type="paragraph" w:styleId="ListContinue">
    <w:name w:val="List Continue"/>
    <w:basedOn w:val="List"/>
    <w:rsid w:val="00A03B0E"/>
    <w:pPr>
      <w:ind w:firstLine="0"/>
    </w:pPr>
  </w:style>
  <w:style w:type="paragraph" w:customStyle="1" w:styleId="ListNote">
    <w:name w:val="List Note"/>
    <w:basedOn w:val="List"/>
    <w:rsid w:val="00A03B0E"/>
    <w:pPr>
      <w:pBdr>
        <w:top w:val="single" w:sz="6" w:space="2" w:color="918585"/>
        <w:bottom w:val="single" w:sz="6" w:space="2" w:color="918585"/>
      </w:pBdr>
      <w:tabs>
        <w:tab w:val="left" w:pos="1021"/>
      </w:tabs>
      <w:ind w:firstLine="0"/>
    </w:pPr>
  </w:style>
  <w:style w:type="paragraph" w:customStyle="1" w:styleId="Warning">
    <w:name w:val="Warning"/>
    <w:basedOn w:val="BodyText"/>
    <w:rsid w:val="00A03B0E"/>
    <w:pPr>
      <w:shd w:val="clear" w:color="auto" w:fill="D9D9D9"/>
      <w:tabs>
        <w:tab w:val="left" w:pos="992"/>
      </w:tabs>
      <w:ind w:left="119" w:right="119"/>
    </w:pPr>
    <w:rPr>
      <w:sz w:val="20"/>
    </w:rPr>
  </w:style>
  <w:style w:type="paragraph" w:customStyle="1" w:styleId="MarginIcons">
    <w:name w:val="Margin Icons"/>
    <w:basedOn w:val="BodyText"/>
    <w:rsid w:val="00A03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B0E"/>
    <w:rPr>
      <w:rFonts w:ascii="Courier New" w:hAnsi="Courier New"/>
    </w:rPr>
  </w:style>
  <w:style w:type="paragraph" w:customStyle="1" w:styleId="NoteBullet">
    <w:name w:val="Note Bullet"/>
    <w:basedOn w:val="Note"/>
    <w:rsid w:val="00A03B0E"/>
    <w:pPr>
      <w:tabs>
        <w:tab w:val="clear" w:pos="680"/>
      </w:tabs>
      <w:spacing w:before="60" w:after="60"/>
    </w:pPr>
  </w:style>
  <w:style w:type="paragraph" w:customStyle="1" w:styleId="SubHeading2">
    <w:name w:val="SubHeading2"/>
    <w:basedOn w:val="HeadingBase"/>
    <w:rsid w:val="00A03B0E"/>
    <w:pPr>
      <w:spacing w:before="240" w:after="60"/>
    </w:pPr>
    <w:rPr>
      <w:sz w:val="20"/>
    </w:rPr>
  </w:style>
  <w:style w:type="paragraph" w:customStyle="1" w:styleId="SubHeading1">
    <w:name w:val="SubHeading1"/>
    <w:basedOn w:val="HeadingBase"/>
    <w:rsid w:val="00A03B0E"/>
    <w:pPr>
      <w:spacing w:before="240" w:after="60"/>
    </w:pPr>
    <w:rPr>
      <w:color w:val="918585"/>
      <w:sz w:val="22"/>
    </w:rPr>
  </w:style>
  <w:style w:type="paragraph" w:customStyle="1" w:styleId="SideHeading">
    <w:name w:val="Side Heading"/>
    <w:basedOn w:val="HeadingBase"/>
    <w:rsid w:val="00A03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B0E"/>
    <w:pPr>
      <w:numPr>
        <w:numId w:val="12"/>
      </w:numPr>
    </w:pPr>
  </w:style>
  <w:style w:type="paragraph" w:styleId="PlainText">
    <w:name w:val="Plain Text"/>
    <w:basedOn w:val="Normal"/>
    <w:link w:val="PlainTextChar"/>
    <w:rsid w:val="00A03B0E"/>
    <w:rPr>
      <w:sz w:val="20"/>
    </w:rPr>
  </w:style>
  <w:style w:type="character" w:customStyle="1" w:styleId="PlainTextChar">
    <w:name w:val="Plain Text Char"/>
    <w:basedOn w:val="DefaultParagraphFont"/>
    <w:link w:val="PlainText"/>
    <w:rsid w:val="00A03B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3B0E"/>
    <w:rPr>
      <w:b/>
      <w:smallCaps/>
    </w:rPr>
  </w:style>
  <w:style w:type="paragraph" w:customStyle="1" w:styleId="TableListNumber">
    <w:name w:val="Table List Number"/>
    <w:basedOn w:val="ListNumber"/>
    <w:rsid w:val="00A03B0E"/>
    <w:pPr>
      <w:numPr>
        <w:numId w:val="0"/>
      </w:numPr>
    </w:pPr>
  </w:style>
  <w:style w:type="paragraph" w:styleId="TOC4">
    <w:name w:val="toc 4"/>
    <w:basedOn w:val="TOCBase"/>
    <w:next w:val="Normal"/>
    <w:semiHidden/>
    <w:rsid w:val="00A03B0E"/>
    <w:pPr>
      <w:tabs>
        <w:tab w:val="right" w:leader="dot" w:pos="9071"/>
      </w:tabs>
      <w:ind w:left="1701"/>
    </w:pPr>
  </w:style>
  <w:style w:type="paragraph" w:customStyle="1" w:styleId="ListAlpha">
    <w:name w:val="List Alpha"/>
    <w:basedOn w:val="List"/>
    <w:rsid w:val="00A03B0E"/>
    <w:pPr>
      <w:numPr>
        <w:numId w:val="9"/>
      </w:numPr>
    </w:pPr>
  </w:style>
  <w:style w:type="paragraph" w:customStyle="1" w:styleId="ListAlpha2">
    <w:name w:val="List Alpha 2"/>
    <w:basedOn w:val="List2"/>
    <w:rsid w:val="00A03B0E"/>
    <w:pPr>
      <w:numPr>
        <w:numId w:val="8"/>
      </w:numPr>
    </w:pPr>
  </w:style>
  <w:style w:type="paragraph" w:styleId="List2">
    <w:name w:val="List 2"/>
    <w:basedOn w:val="BodyText"/>
    <w:rsid w:val="00A03B0E"/>
    <w:pPr>
      <w:tabs>
        <w:tab w:val="left" w:pos="680"/>
      </w:tabs>
      <w:spacing w:before="60" w:after="60"/>
      <w:ind w:left="680" w:hanging="340"/>
    </w:pPr>
  </w:style>
  <w:style w:type="paragraph" w:styleId="List3">
    <w:name w:val="List 3"/>
    <w:basedOn w:val="BodyText"/>
    <w:rsid w:val="00A03B0E"/>
    <w:pPr>
      <w:tabs>
        <w:tab w:val="left" w:pos="1021"/>
      </w:tabs>
      <w:spacing w:before="60" w:after="60"/>
      <w:ind w:left="1020" w:hanging="340"/>
    </w:pPr>
  </w:style>
  <w:style w:type="paragraph" w:styleId="List4">
    <w:name w:val="List 4"/>
    <w:basedOn w:val="BodyText"/>
    <w:rsid w:val="00A03B0E"/>
    <w:pPr>
      <w:tabs>
        <w:tab w:val="left" w:pos="1361"/>
      </w:tabs>
      <w:spacing w:before="60" w:after="60"/>
      <w:ind w:left="1361" w:hanging="340"/>
    </w:pPr>
  </w:style>
  <w:style w:type="paragraph" w:styleId="List5">
    <w:name w:val="List 5"/>
    <w:basedOn w:val="BodyText"/>
    <w:rsid w:val="00A03B0E"/>
    <w:pPr>
      <w:tabs>
        <w:tab w:val="left" w:pos="1701"/>
      </w:tabs>
      <w:spacing w:before="60" w:after="60"/>
      <w:ind w:left="1701" w:hanging="340"/>
    </w:pPr>
  </w:style>
  <w:style w:type="paragraph" w:styleId="ListBullet4">
    <w:name w:val="List Bullet 4"/>
    <w:basedOn w:val="List4"/>
    <w:rsid w:val="00A03B0E"/>
    <w:pPr>
      <w:numPr>
        <w:numId w:val="3"/>
      </w:numPr>
    </w:pPr>
  </w:style>
  <w:style w:type="paragraph" w:styleId="ListBullet5">
    <w:name w:val="List Bullet 5"/>
    <w:basedOn w:val="List5"/>
    <w:rsid w:val="00A03B0E"/>
    <w:pPr>
      <w:numPr>
        <w:numId w:val="4"/>
      </w:numPr>
    </w:pPr>
  </w:style>
  <w:style w:type="paragraph" w:styleId="ListContinue2">
    <w:name w:val="List Continue 2"/>
    <w:basedOn w:val="List2"/>
    <w:rsid w:val="00A03B0E"/>
    <w:pPr>
      <w:ind w:firstLine="0"/>
    </w:pPr>
  </w:style>
  <w:style w:type="paragraph" w:styleId="ListContinue3">
    <w:name w:val="List Continue 3"/>
    <w:basedOn w:val="List3"/>
    <w:rsid w:val="00A03B0E"/>
    <w:pPr>
      <w:ind w:left="1021" w:firstLine="0"/>
    </w:pPr>
  </w:style>
  <w:style w:type="paragraph" w:styleId="ListContinue4">
    <w:name w:val="List Continue 4"/>
    <w:basedOn w:val="List4"/>
    <w:rsid w:val="00A03B0E"/>
    <w:pPr>
      <w:ind w:firstLine="0"/>
    </w:pPr>
  </w:style>
  <w:style w:type="paragraph" w:styleId="ListContinue5">
    <w:name w:val="List Continue 5"/>
    <w:basedOn w:val="List5"/>
    <w:rsid w:val="00A03B0E"/>
    <w:pPr>
      <w:ind w:firstLine="0"/>
    </w:pPr>
  </w:style>
  <w:style w:type="paragraph" w:styleId="ListNumber3">
    <w:name w:val="List Number 3"/>
    <w:basedOn w:val="List3"/>
    <w:rsid w:val="00A03B0E"/>
    <w:pPr>
      <w:numPr>
        <w:numId w:val="5"/>
      </w:numPr>
    </w:pPr>
  </w:style>
  <w:style w:type="paragraph" w:styleId="ListNumber4">
    <w:name w:val="List Number 4"/>
    <w:basedOn w:val="List4"/>
    <w:rsid w:val="00A03B0E"/>
    <w:pPr>
      <w:numPr>
        <w:numId w:val="6"/>
      </w:numPr>
    </w:pPr>
  </w:style>
  <w:style w:type="paragraph" w:styleId="ListNumber5">
    <w:name w:val="List Number 5"/>
    <w:basedOn w:val="List5"/>
    <w:rsid w:val="00A03B0E"/>
    <w:pPr>
      <w:numPr>
        <w:numId w:val="7"/>
      </w:numPr>
    </w:pPr>
  </w:style>
  <w:style w:type="paragraph" w:styleId="BlockText">
    <w:name w:val="Block Text"/>
    <w:basedOn w:val="Normal"/>
    <w:rsid w:val="00A03B0E"/>
    <w:pPr>
      <w:spacing w:after="120"/>
      <w:ind w:left="1440" w:right="1440"/>
    </w:pPr>
  </w:style>
  <w:style w:type="character" w:customStyle="1" w:styleId="Subscript">
    <w:name w:val="Subscript"/>
    <w:basedOn w:val="DefaultParagraphFont"/>
    <w:rsid w:val="00A03B0E"/>
    <w:rPr>
      <w:sz w:val="16"/>
      <w:vertAlign w:val="subscript"/>
    </w:rPr>
  </w:style>
  <w:style w:type="character" w:customStyle="1" w:styleId="Superscript">
    <w:name w:val="Superscript"/>
    <w:basedOn w:val="DefaultParagraphFont"/>
    <w:rsid w:val="00A03B0E"/>
    <w:rPr>
      <w:sz w:val="16"/>
      <w:vertAlign w:val="superscript"/>
    </w:rPr>
  </w:style>
  <w:style w:type="character" w:customStyle="1" w:styleId="Symbols">
    <w:name w:val="Symbols"/>
    <w:basedOn w:val="DefaultParagraphFont"/>
    <w:rsid w:val="00A03B0E"/>
    <w:rPr>
      <w:rFonts w:ascii="Symbol" w:hAnsi="Symbol"/>
    </w:rPr>
  </w:style>
  <w:style w:type="character" w:customStyle="1" w:styleId="MenuOptions">
    <w:name w:val="Menu Options"/>
    <w:basedOn w:val="DefaultParagraphFont"/>
    <w:rsid w:val="00A03B0E"/>
    <w:rPr>
      <w:rFonts w:ascii="Arial Narrow" w:hAnsi="Arial Narrow"/>
      <w:smallCaps/>
    </w:rPr>
  </w:style>
  <w:style w:type="character" w:customStyle="1" w:styleId="Buttons">
    <w:name w:val="Buttons"/>
    <w:basedOn w:val="DefaultParagraphFont"/>
    <w:rsid w:val="00A03B0E"/>
    <w:rPr>
      <w:b/>
    </w:rPr>
  </w:style>
  <w:style w:type="character" w:customStyle="1" w:styleId="Underlined">
    <w:name w:val="Underlined"/>
    <w:basedOn w:val="DefaultParagraphFont"/>
    <w:rsid w:val="00A03B0E"/>
    <w:rPr>
      <w:u w:val="single"/>
    </w:rPr>
  </w:style>
  <w:style w:type="paragraph" w:customStyle="1" w:styleId="TableBodyTextRight">
    <w:name w:val="Table Body Text Right"/>
    <w:basedOn w:val="TableBodyText"/>
    <w:rsid w:val="00A03B0E"/>
    <w:pPr>
      <w:widowControl w:val="0"/>
      <w:autoSpaceDE w:val="0"/>
      <w:autoSpaceDN w:val="0"/>
      <w:adjustRightInd w:val="0"/>
      <w:jc w:val="right"/>
    </w:pPr>
    <w:rPr>
      <w:rFonts w:cs="Arial"/>
      <w:szCs w:val="18"/>
    </w:rPr>
  </w:style>
  <w:style w:type="paragraph" w:customStyle="1" w:styleId="CopyrightText">
    <w:name w:val="Copyright Text"/>
    <w:basedOn w:val="BodyText"/>
    <w:rsid w:val="00A03B0E"/>
    <w:rPr>
      <w:sz w:val="18"/>
    </w:rPr>
  </w:style>
  <w:style w:type="paragraph" w:customStyle="1" w:styleId="BodySmallRight">
    <w:name w:val="Body Small Right"/>
    <w:basedOn w:val="BodyTextRight"/>
    <w:rsid w:val="00A03B0E"/>
    <w:rPr>
      <w:sz w:val="18"/>
      <w:szCs w:val="18"/>
    </w:rPr>
  </w:style>
  <w:style w:type="paragraph" w:customStyle="1" w:styleId="MarginEdition">
    <w:name w:val="Margin Edition"/>
    <w:basedOn w:val="MarginNote"/>
    <w:rsid w:val="00A03B0E"/>
    <w:pPr>
      <w:spacing w:before="0" w:after="0"/>
    </w:pPr>
    <w:rPr>
      <w:rFonts w:ascii="Times New Roman" w:hAnsi="Times New Roman"/>
      <w:color w:val="999999"/>
    </w:rPr>
  </w:style>
  <w:style w:type="paragraph" w:customStyle="1" w:styleId="Spacer">
    <w:name w:val="Spacer"/>
    <w:basedOn w:val="Normal"/>
    <w:rsid w:val="00A03B0E"/>
    <w:rPr>
      <w:sz w:val="2"/>
      <w:szCs w:val="2"/>
    </w:rPr>
  </w:style>
  <w:style w:type="character" w:customStyle="1" w:styleId="Small">
    <w:name w:val="Small"/>
    <w:basedOn w:val="DefaultParagraphFont"/>
    <w:rsid w:val="00A03B0E"/>
    <w:rPr>
      <w:sz w:val="16"/>
    </w:rPr>
  </w:style>
  <w:style w:type="paragraph" w:customStyle="1" w:styleId="WideTable">
    <w:name w:val="Wide Table"/>
    <w:basedOn w:val="Normal"/>
    <w:rsid w:val="00A03B0E"/>
    <w:pPr>
      <w:ind w:left="-1418"/>
    </w:pPr>
    <w:rPr>
      <w:sz w:val="2"/>
      <w:szCs w:val="2"/>
    </w:rPr>
  </w:style>
  <w:style w:type="character" w:styleId="PageNumber">
    <w:name w:val="page number"/>
    <w:basedOn w:val="DefaultParagraphFont"/>
    <w:rsid w:val="00A03B0E"/>
  </w:style>
  <w:style w:type="paragraph" w:styleId="Quote">
    <w:name w:val="Quote"/>
    <w:basedOn w:val="Heading1"/>
    <w:link w:val="QuoteChar"/>
    <w:qFormat/>
    <w:rsid w:val="00A03B0E"/>
    <w:rPr>
      <w:b w:val="0"/>
      <w:sz w:val="72"/>
      <w:szCs w:val="72"/>
      <w:lang w:val="en-NZ"/>
    </w:rPr>
  </w:style>
  <w:style w:type="character" w:customStyle="1" w:styleId="QuoteChar">
    <w:name w:val="Quote Char"/>
    <w:basedOn w:val="DefaultParagraphFont"/>
    <w:link w:val="Quote"/>
    <w:rsid w:val="00A03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B0E"/>
    <w:pPr>
      <w:pageBreakBefore/>
    </w:pPr>
  </w:style>
  <w:style w:type="paragraph" w:customStyle="1" w:styleId="Border">
    <w:name w:val="Border"/>
    <w:basedOn w:val="Normal"/>
    <w:qFormat/>
    <w:rsid w:val="00A03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B0E"/>
    <w:rPr>
      <w:b/>
      <w:bCs/>
      <w:i/>
      <w:iCs/>
      <w:color w:val="auto"/>
    </w:rPr>
  </w:style>
  <w:style w:type="paragraph" w:styleId="IntenseQuote">
    <w:name w:val="Intense Quote"/>
    <w:basedOn w:val="Normal"/>
    <w:next w:val="Normal"/>
    <w:link w:val="IntenseQuoteChar"/>
    <w:uiPriority w:val="30"/>
    <w:qFormat/>
    <w:rsid w:val="00A03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B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3B0E"/>
    <w:rPr>
      <w:smallCaps/>
      <w:color w:val="auto"/>
      <w:u w:val="single"/>
    </w:rPr>
  </w:style>
  <w:style w:type="character" w:styleId="IntenseReference">
    <w:name w:val="Intense Reference"/>
    <w:basedOn w:val="DefaultParagraphFont"/>
    <w:uiPriority w:val="32"/>
    <w:qFormat/>
    <w:rsid w:val="00A03B0E"/>
    <w:rPr>
      <w:b/>
      <w:bCs/>
      <w:smallCaps/>
      <w:color w:val="auto"/>
      <w:spacing w:val="5"/>
      <w:u w:val="single"/>
    </w:rPr>
  </w:style>
  <w:style w:type="paragraph" w:customStyle="1" w:styleId="2ColumnHeading">
    <w:name w:val="2Column Heading"/>
    <w:basedOn w:val="BodyText"/>
    <w:qFormat/>
    <w:rsid w:val="00A03B0E"/>
    <w:pPr>
      <w:spacing w:after="60"/>
      <w:ind w:left="-2268"/>
    </w:pPr>
    <w:rPr>
      <w:b/>
    </w:rPr>
  </w:style>
  <w:style w:type="paragraph" w:customStyle="1" w:styleId="Heading1TOC">
    <w:name w:val="Heading1 TOC"/>
    <w:basedOn w:val="Normal"/>
    <w:qFormat/>
    <w:rsid w:val="00A03B0E"/>
    <w:pPr>
      <w:spacing w:before="240" w:after="120"/>
    </w:pPr>
    <w:rPr>
      <w:rFonts w:ascii="Times New Roman" w:hAnsi="Times New Roman"/>
      <w:b/>
      <w:sz w:val="32"/>
    </w:rPr>
  </w:style>
  <w:style w:type="paragraph" w:customStyle="1" w:styleId="Heading2TOC">
    <w:name w:val="Heading2 TOC"/>
    <w:basedOn w:val="Normal"/>
    <w:qFormat/>
    <w:rsid w:val="00A03B0E"/>
    <w:pPr>
      <w:spacing w:before="240" w:after="60"/>
    </w:pPr>
    <w:rPr>
      <w:rFonts w:ascii="Times New Roman" w:hAnsi="Times New Roman"/>
      <w:b/>
      <w:sz w:val="28"/>
    </w:rPr>
  </w:style>
  <w:style w:type="character" w:customStyle="1" w:styleId="Underline">
    <w:name w:val="Underline"/>
    <w:basedOn w:val="DefaultParagraphFont"/>
    <w:qFormat/>
    <w:rsid w:val="00A03B0E"/>
    <w:rPr>
      <w:u w:val="single"/>
    </w:rPr>
  </w:style>
  <w:style w:type="character" w:customStyle="1" w:styleId="BoldandItalics">
    <w:name w:val="Bold and Italics"/>
    <w:qFormat/>
    <w:rsid w:val="00A03B0E"/>
    <w:rPr>
      <w:b/>
      <w:i/>
      <w:u w:val="none"/>
    </w:rPr>
  </w:style>
  <w:style w:type="paragraph" w:styleId="BalloonText">
    <w:name w:val="Balloon Text"/>
    <w:basedOn w:val="Normal"/>
    <w:link w:val="BalloonTextChar"/>
    <w:rsid w:val="00A03B0E"/>
    <w:rPr>
      <w:rFonts w:ascii="Tahoma" w:hAnsi="Tahoma" w:cs="Tahoma"/>
      <w:sz w:val="16"/>
      <w:szCs w:val="16"/>
    </w:rPr>
  </w:style>
  <w:style w:type="character" w:customStyle="1" w:styleId="BalloonTextChar">
    <w:name w:val="Balloon Text Char"/>
    <w:basedOn w:val="DefaultParagraphFont"/>
    <w:link w:val="BalloonText"/>
    <w:rsid w:val="00A03B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3B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B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2297</Words>
  <Characters>14146</Characters>
  <Application>Microsoft Office Word</Application>
  <DocSecurity>0</DocSecurity>
  <Lines>552</Lines>
  <Paragraphs>219</Paragraphs>
  <ScaleCrop>false</ScaleCrop>
  <Company>Author-it Software Corporation Ltd.</Company>
  <LinksUpToDate>false</LinksUpToDate>
  <CharactersWithSpaces>16287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UEPOPS356A Apply Environmental and Sustainable Energy Procedures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2012-05-26T22:27:00Z</dcterms:created>
  <dcterms:modified xsi:type="dcterms:W3CDTF">2012-05-26T22:27:00Z</dcterms:modified>
</cp:coreProperties>
</file>