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2586" w:rsidP="00A12586">
      <w:pPr>
        <w:pStyle w:val="Title"/>
      </w:pPr>
      <w:r>
        <w:fldChar w:fldCharType="begin"/>
      </w:r>
      <w:r>
        <w:instrText xml:space="preserve"> TITLE   \* MERGEFORMAT </w:instrText>
      </w:r>
      <w:r>
        <w:fldChar w:fldCharType="separate"/>
      </w:r>
      <w:r>
        <w:t>UEPOPS354A Operate and Monitor Dual Fuel Firing Plant</w:t>
      </w:r>
      <w:r>
        <w:fldChar w:fldCharType="end"/>
      </w:r>
    </w:p>
    <w:p w:rsidR="00A12586" w:rsidP="00A12586">
      <w:pPr>
        <w:pStyle w:val="Version"/>
        <w:sectPr w:rsidSect="000745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457A" w:rsidP="0007457A">
      <w:pPr>
        <w:pStyle w:val="SuperHeading"/>
      </w:pPr>
      <w:r w:rsidRPr="0007457A">
        <w:t>UEPOPS354A Operate and Monitor Dual Fuel Firing Plant</w:t>
      </w:r>
    </w:p>
    <w:p w:rsidR="00000000" w:rsidRPr="0007457A" w:rsidP="0007457A">
      <w:pPr>
        <w:pStyle w:val="Heading1"/>
      </w:pPr>
      <w:bookmarkStart w:id="1" w:name="O_275351"/>
      <w:bookmarkEnd w:id="1"/>
      <w:r w:rsidRPr="0007457A">
        <w:t>Modification History</w:t>
      </w:r>
    </w:p>
    <w:p w:rsidR="00000000" w:rsidRPr="0007457A" w:rsidP="0007457A">
      <w:pPr>
        <w:pStyle w:val="BodyText"/>
      </w:pPr>
      <w:r w:rsidRPr="0007457A">
        <w:t>Not Applicable</w:t>
      </w:r>
    </w:p>
    <w:p w:rsidR="00000000" w:rsidRPr="0007457A" w:rsidP="0007457A">
      <w:pPr>
        <w:pStyle w:val="AllowPageBreak"/>
      </w:pPr>
    </w:p>
    <w:p w:rsidR="00000000" w:rsidRPr="0007457A" w:rsidP="0007457A">
      <w:pPr>
        <w:pStyle w:val="Heading1"/>
      </w:pPr>
      <w:bookmarkStart w:id="2" w:name="O_230727"/>
      <w:bookmarkEnd w:id="2"/>
      <w:r w:rsidRPr="0007457A">
        <w:t>Unit Descriptor</w:t>
      </w:r>
    </w:p>
    <w:tbl>
      <w:tblPr>
        <w:tblW w:w="0" w:type="auto"/>
        <w:tblLayout w:type="fixed"/>
        <w:tblCellMar>
          <w:left w:w="62" w:type="dxa"/>
          <w:right w:w="62" w:type="dxa"/>
        </w:tblCellMar>
        <w:tblLook w:val="0000"/>
      </w:tblPr>
      <w:tblGrid>
        <w:gridCol w:w="2700"/>
        <w:gridCol w:w="5760"/>
      </w:tblGrid>
      <w:tr w:rsidTr="00A1258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7457A" w:rsidP="0007457A">
            <w:pPr>
              <w:pStyle w:val="BodyText"/>
            </w:pPr>
            <w:r w:rsidRPr="0007457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rPr>
                <w:rStyle w:val="SpecialBold"/>
              </w:rPr>
              <w:t>1</w:t>
            </w:r>
            <w:r w:rsidRPr="0007457A">
              <w:t xml:space="preserve">) </w:t>
            </w:r>
          </w:p>
        </w:tc>
      </w:tr>
      <w:tr w:rsidTr="00A1258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7457A" w:rsidP="0007457A">
            <w:pPr>
              <w:pStyle w:val="BodyText"/>
            </w:pPr>
            <w:r w:rsidRPr="0007457A">
              <w:t>This unit deals with the skills and knowledge required for the operation, inspection and monitoring of dual fuel firing plant in which each fuel source is capable of providing 100% Maximum Continuous Rating.</w:t>
            </w:r>
          </w:p>
        </w:tc>
      </w:tr>
    </w:tbl>
    <w:p w:rsidR="00A12586" w:rsidP="0007457A">
      <w:pPr>
        <w:pStyle w:val="BodyText"/>
      </w:pPr>
    </w:p>
    <w:p w:rsidR="00A12586" w:rsidP="0007457A">
      <w:pPr>
        <w:pStyle w:val="BodyText"/>
      </w:pPr>
    </w:p>
    <w:p w:rsidR="00000000" w:rsidRPr="0007457A" w:rsidP="0007457A">
      <w:pPr>
        <w:pStyle w:val="Heading1"/>
      </w:pPr>
      <w:bookmarkStart w:id="3" w:name="O_230730"/>
      <w:bookmarkEnd w:id="3"/>
      <w:r w:rsidRPr="0007457A">
        <w:t>Application of the Unit</w:t>
      </w:r>
    </w:p>
    <w:tbl>
      <w:tblPr>
        <w:tblW w:w="0" w:type="auto"/>
        <w:tblLayout w:type="fixed"/>
        <w:tblCellMar>
          <w:left w:w="62" w:type="dxa"/>
          <w:right w:w="62" w:type="dxa"/>
        </w:tblCellMar>
        <w:tblLook w:val="0000"/>
      </w:tblPr>
      <w:tblGrid>
        <w:gridCol w:w="2700"/>
        <w:gridCol w:w="5760"/>
      </w:tblGrid>
      <w:tr w:rsidTr="00A1258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7457A" w:rsidP="0007457A">
            <w:pPr>
              <w:pStyle w:val="BodyText"/>
            </w:pPr>
            <w:r w:rsidRPr="0007457A">
              <w:rPr>
                <w:rStyle w:val="SpecialBold"/>
              </w:rPr>
              <w:t>Appl</w:t>
            </w:r>
            <w:r w:rsidRPr="0007457A">
              <w:rPr>
                <w:rStyle w:val="SpecialBold"/>
              </w:rPr>
              <w:t>ication of the Unit</w:t>
            </w:r>
          </w:p>
        </w:tc>
        <w:tc>
          <w:tcPr>
            <w:tcW w:w="5760" w:type="dxa"/>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rPr>
                <w:rStyle w:val="SpecialBold"/>
              </w:rPr>
              <w:t>3</w:t>
            </w:r>
            <w:r w:rsidRPr="0007457A">
              <w:t xml:space="preserve">) </w:t>
            </w:r>
          </w:p>
        </w:tc>
      </w:tr>
      <w:tr w:rsidTr="00A1258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7457A" w:rsidP="0007457A">
            <w:pPr>
              <w:pStyle w:val="BodyText"/>
            </w:pPr>
            <w:r w:rsidRPr="0007457A">
              <w:t>The dual fuel firing plant must provide the means for attaining 100% maximum continuous rating and not simply be an alternative source of fuel for ignition purposes.</w:t>
            </w:r>
          </w:p>
          <w:p w:rsidR="00000000" w:rsidP="0007457A">
            <w:pPr>
              <w:pStyle w:val="BodyText"/>
              <w:rPr>
                <w:lang w:val="en-NZ"/>
              </w:rPr>
            </w:pPr>
            <w:r w:rsidRPr="0007457A">
              <w:t>This unit is intended to augment formally acquired competencies.</w:t>
            </w:r>
          </w:p>
        </w:tc>
      </w:tr>
      <w:tr w:rsidTr="00A1258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7457A" w:rsidP="0007457A">
            <w:pPr>
              <w:pStyle w:val="BodyText"/>
            </w:pPr>
            <w:r w:rsidRPr="0007457A">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rPr>
                <w:rStyle w:val="SpecialBold"/>
              </w:rPr>
              <w:t>3</w:t>
            </w:r>
            <w:r w:rsidRPr="0007457A">
              <w:t>.</w:t>
            </w:r>
            <w:r w:rsidRPr="0007457A">
              <w:rPr>
                <w:rStyle w:val="SpecialBold"/>
              </w:rPr>
              <w:t>1</w:t>
            </w:r>
            <w:r w:rsidRPr="0007457A">
              <w:t xml:space="preserve">) </w:t>
            </w:r>
          </w:p>
        </w:tc>
      </w:tr>
      <w:tr w:rsidTr="00A1258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7457A" w:rsidP="0007457A">
            <w:pPr>
              <w:pStyle w:val="BodyText"/>
            </w:pPr>
            <w:r w:rsidRPr="0007457A">
              <w:t>The skills and knowledge described in this unit do not require a licence to practise in the workplace. However, practice in this unit is subject to regulations directly related to Occupational Health and Safety.</w:t>
            </w:r>
          </w:p>
        </w:tc>
      </w:tr>
    </w:tbl>
    <w:p w:rsidR="00A12586" w:rsidP="0007457A">
      <w:pPr>
        <w:pStyle w:val="BodyText"/>
      </w:pPr>
    </w:p>
    <w:p w:rsidR="00A12586" w:rsidP="0007457A">
      <w:pPr>
        <w:pStyle w:val="BodyText"/>
      </w:pPr>
    </w:p>
    <w:p w:rsidR="00000000" w:rsidRPr="0007457A" w:rsidP="0007457A">
      <w:pPr>
        <w:pStyle w:val="Heading1"/>
      </w:pPr>
      <w:bookmarkStart w:id="4" w:name="O_282885"/>
      <w:bookmarkEnd w:id="4"/>
      <w:r w:rsidRPr="0007457A">
        <w:t>Licensing/Regulatory Information</w:t>
      </w:r>
    </w:p>
    <w:p w:rsidR="00000000" w:rsidRPr="0007457A" w:rsidP="0007457A">
      <w:pPr>
        <w:pStyle w:val="BodyText"/>
      </w:pPr>
      <w:r w:rsidRPr="0007457A">
        <w:t>Not Applicable</w:t>
      </w:r>
    </w:p>
    <w:p w:rsidR="00000000" w:rsidRPr="0007457A" w:rsidP="0007457A">
      <w:pPr>
        <w:pStyle w:val="AllowPageBreak"/>
      </w:pPr>
    </w:p>
    <w:p w:rsidR="00000000" w:rsidRPr="0007457A" w:rsidP="0007457A">
      <w:pPr>
        <w:pStyle w:val="Heading1"/>
      </w:pPr>
      <w:bookmarkStart w:id="5" w:name="O_230728"/>
      <w:bookmarkEnd w:id="5"/>
      <w:r w:rsidRPr="0007457A">
        <w:t>Pre-Requisites</w:t>
      </w:r>
    </w:p>
    <w:tbl>
      <w:tblPr>
        <w:tblW w:w="0" w:type="auto"/>
        <w:tblLayout w:type="fixed"/>
        <w:tblCellMar>
          <w:left w:w="62" w:type="dxa"/>
          <w:right w:w="62" w:type="dxa"/>
        </w:tblCellMar>
        <w:tblLook w:val="0000"/>
      </w:tblPr>
      <w:tblGrid>
        <w:gridCol w:w="2700"/>
        <w:gridCol w:w="5760"/>
      </w:tblGrid>
      <w:tr w:rsidTr="00A1258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7457A" w:rsidP="0007457A">
            <w:pPr>
              <w:pStyle w:val="BodyText"/>
            </w:pPr>
            <w:r w:rsidRPr="0007457A">
              <w:rPr>
                <w:rStyle w:val="SpecialBold"/>
              </w:rPr>
              <w:t>Prerequisite Unit</w:t>
            </w:r>
            <w:r w:rsidRPr="0007457A">
              <w:t>(</w:t>
            </w:r>
            <w:r w:rsidRPr="0007457A">
              <w:rPr>
                <w:rStyle w:val="SpecialBold"/>
              </w:rPr>
              <w:t>s</w:t>
            </w:r>
            <w:r w:rsidRPr="0007457A">
              <w:t>)</w:t>
            </w:r>
          </w:p>
        </w:tc>
        <w:tc>
          <w:tcPr>
            <w:tcW w:w="5760" w:type="dxa"/>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rPr>
                <w:rStyle w:val="SpecialBold"/>
              </w:rPr>
              <w:t>2</w:t>
            </w:r>
            <w:r w:rsidRPr="0007457A">
              <w:t xml:space="preserve">) </w:t>
            </w:r>
          </w:p>
        </w:tc>
      </w:tr>
      <w:tr w:rsidTr="00A1258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7457A" w:rsidP="0007457A">
            <w:pPr>
              <w:pStyle w:val="BodyText"/>
            </w:pPr>
            <w:r w:rsidRPr="0007457A">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rPr>
                <w:rStyle w:val="SpecialBold"/>
              </w:rPr>
              <w:t>2</w:t>
            </w:r>
            <w:r w:rsidRPr="0007457A">
              <w:t>.</w:t>
            </w:r>
            <w:r w:rsidRPr="0007457A">
              <w:rPr>
                <w:rStyle w:val="SpecialBold"/>
              </w:rPr>
              <w:t>1</w:t>
            </w:r>
            <w:r w:rsidRPr="0007457A">
              <w:t xml:space="preserve">) </w:t>
            </w:r>
          </w:p>
        </w:tc>
      </w:tr>
      <w:tr w:rsidTr="00A1258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7457A" w:rsidP="0007457A">
            <w:pPr>
              <w:pStyle w:val="BodyText"/>
            </w:pPr>
            <w:r w:rsidRPr="0007457A">
              <w:t>There are no prerequisite units.</w:t>
            </w:r>
          </w:p>
        </w:tc>
      </w:tr>
    </w:tbl>
    <w:p w:rsidR="00A12586" w:rsidP="0007457A">
      <w:pPr>
        <w:pStyle w:val="BodyText"/>
      </w:pPr>
    </w:p>
    <w:p w:rsidR="00A12586" w:rsidP="0007457A">
      <w:pPr>
        <w:pStyle w:val="BodyText"/>
      </w:pPr>
    </w:p>
    <w:p w:rsidR="00000000" w:rsidRPr="0007457A" w:rsidP="0007457A">
      <w:pPr>
        <w:pStyle w:val="Heading1"/>
      </w:pPr>
      <w:bookmarkStart w:id="6" w:name="O_285600"/>
      <w:bookmarkEnd w:id="6"/>
      <w:r w:rsidRPr="0007457A">
        <w:t>Employability Skills Information</w:t>
      </w:r>
    </w:p>
    <w:p w:rsidR="00000000" w:rsidRPr="0007457A" w:rsidP="0007457A">
      <w:pPr>
        <w:pStyle w:val="BodyText"/>
      </w:pPr>
      <w:r w:rsidRPr="0007457A">
        <w:t>Refer to the Evidence Guide</w:t>
      </w:r>
    </w:p>
    <w:p w:rsidR="00000000" w:rsidRPr="0007457A" w:rsidP="0007457A">
      <w:pPr>
        <w:pStyle w:val="AllowPageBreak"/>
      </w:pPr>
    </w:p>
    <w:p w:rsidR="00000000" w:rsidRPr="0007457A" w:rsidP="0007457A">
      <w:pPr>
        <w:pStyle w:val="Heading1"/>
      </w:pPr>
      <w:bookmarkStart w:id="7" w:name="O_293397"/>
      <w:bookmarkEnd w:id="7"/>
      <w:r w:rsidRPr="0007457A">
        <w:t>Elements and Performance Criteria Pre-Content</w:t>
      </w:r>
    </w:p>
    <w:tbl>
      <w:tblPr>
        <w:tblW w:w="0" w:type="auto"/>
        <w:tblLayout w:type="fixed"/>
        <w:tblCellMar>
          <w:left w:w="62" w:type="dxa"/>
          <w:right w:w="62" w:type="dxa"/>
        </w:tblCellMar>
        <w:tblLook w:val="0000"/>
      </w:tblPr>
      <w:tblGrid>
        <w:gridCol w:w="2700"/>
        <w:gridCol w:w="5760"/>
      </w:tblGrid>
      <w:tr w:rsidTr="00A1258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rPr>
                <w:rStyle w:val="SpecialBold"/>
              </w:rPr>
              <w:t>5</w:t>
            </w:r>
            <w:r w:rsidRPr="0007457A">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07457A" w:rsidP="0007457A">
            <w:pPr>
              <w:pStyle w:val="BodyText"/>
            </w:pPr>
            <w:r w:rsidRPr="0007457A">
              <w:t>Performance Criteria describe the required performance needed to demonstrate achievement of the element. Assessment of perfor</w:t>
            </w:r>
            <w:r w:rsidRPr="0007457A">
              <w:t>mance is to be consistent with the evidence guide.</w:t>
            </w:r>
          </w:p>
        </w:tc>
      </w:tr>
    </w:tbl>
    <w:p w:rsidR="00000000" w:rsidRPr="0007457A" w:rsidP="0007457A">
      <w:pPr>
        <w:pStyle w:val="BodyText"/>
      </w:pPr>
    </w:p>
    <w:p w:rsidR="00000000" w:rsidRPr="0007457A" w:rsidP="0007457A">
      <w:pPr>
        <w:pStyle w:val="AllowPageBreak"/>
      </w:pPr>
    </w:p>
    <w:p w:rsidR="00000000" w:rsidRPr="0007457A" w:rsidP="0007457A">
      <w:pPr>
        <w:pStyle w:val="Heading1"/>
      </w:pPr>
      <w:bookmarkStart w:id="8" w:name="O_240065"/>
      <w:bookmarkEnd w:id="8"/>
      <w:r w:rsidRPr="0007457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1258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7457A" w:rsidP="0007457A">
            <w:pPr>
              <w:pStyle w:val="BodyText"/>
            </w:pPr>
            <w:r w:rsidRPr="0007457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rPr>
                <w:rStyle w:val="SpecialBold"/>
              </w:rPr>
              <w:t>PERFORMANCE CRITERIA</w:t>
            </w:r>
          </w:p>
        </w:tc>
      </w:tr>
      <w:tr w:rsidTr="00A125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t>1</w:t>
            </w:r>
          </w:p>
        </w:tc>
        <w:tc>
          <w:tcPr>
            <w:tcW w:w="2296" w:type="dxa"/>
            <w:vMerge w:val="restart"/>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t>Plan and prepare work</w:t>
            </w:r>
          </w:p>
        </w:tc>
        <w:tc>
          <w:tcPr>
            <w:tcW w:w="900" w:type="dxa"/>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t>1.1</w:t>
            </w:r>
          </w:p>
        </w:tc>
        <w:tc>
          <w:tcPr>
            <w:tcW w:w="4860" w:type="dxa"/>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t>Safety issues are identified to comply with enterprise/site requirements</w:t>
            </w:r>
          </w:p>
        </w:tc>
      </w:tr>
      <w:tr w:rsidTr="00A125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t>1.2</w:t>
            </w:r>
          </w:p>
        </w:tc>
        <w:tc>
          <w:tcPr>
            <w:tcW w:w="4860" w:type="dxa"/>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t>Work requirements are identified from relevant personnel and documentation</w:t>
            </w:r>
          </w:p>
        </w:tc>
      </w:tr>
      <w:tr w:rsidTr="00A125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t>1.3</w:t>
            </w:r>
          </w:p>
        </w:tc>
        <w:tc>
          <w:tcPr>
            <w:tcW w:w="4860" w:type="dxa"/>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t>Documentation to determine plant status is assessed and evaluated</w:t>
            </w:r>
          </w:p>
        </w:tc>
      </w:tr>
      <w:tr w:rsidTr="00A125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t>1.4</w:t>
            </w:r>
          </w:p>
        </w:tc>
        <w:tc>
          <w:tcPr>
            <w:tcW w:w="4860" w:type="dxa"/>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t>Localised plant inspection, pre-operational tests a</w:t>
            </w:r>
            <w:r w:rsidRPr="0007457A">
              <w:t>nd field preparations for service are carried out in accordance with manufacturer and enterprise/site procedures</w:t>
            </w:r>
          </w:p>
        </w:tc>
      </w:tr>
      <w:tr w:rsidTr="00A125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t>1.5</w:t>
            </w:r>
          </w:p>
        </w:tc>
        <w:tc>
          <w:tcPr>
            <w:tcW w:w="4860" w:type="dxa"/>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t>Plant operational prerequisites are established in accordance with manufacturer and enterprise/site procedures</w:t>
            </w:r>
          </w:p>
        </w:tc>
      </w:tr>
      <w:tr w:rsidTr="00A125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t>1.6</w:t>
            </w:r>
          </w:p>
        </w:tc>
        <w:tc>
          <w:tcPr>
            <w:tcW w:w="4860" w:type="dxa"/>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t>Sequence for recom</w:t>
            </w:r>
            <w:r w:rsidRPr="0007457A">
              <w:t>missioning of plant is determined to suit existing circumstances in accordance with enterprise/site requirements</w:t>
            </w:r>
          </w:p>
        </w:tc>
      </w:tr>
      <w:tr w:rsidTr="00A125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t>1.7</w:t>
            </w:r>
          </w:p>
        </w:tc>
        <w:tc>
          <w:tcPr>
            <w:tcW w:w="4860" w:type="dxa"/>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t>Where appropriate, the teams and individuals roles and responsibilities within the team are identified and, where required, assist in th</w:t>
            </w:r>
            <w:r w:rsidRPr="0007457A">
              <w:t xml:space="preserve">e provision of the on-the-job training </w:t>
            </w:r>
          </w:p>
        </w:tc>
      </w:tr>
      <w:tr w:rsidTr="00A125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t>2</w:t>
            </w:r>
          </w:p>
        </w:tc>
        <w:tc>
          <w:tcPr>
            <w:tcW w:w="2296" w:type="dxa"/>
            <w:vMerge w:val="restart"/>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t>Operate plant</w:t>
            </w:r>
          </w:p>
        </w:tc>
        <w:tc>
          <w:tcPr>
            <w:tcW w:w="900" w:type="dxa"/>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t>2.1</w:t>
            </w:r>
          </w:p>
        </w:tc>
        <w:tc>
          <w:tcPr>
            <w:tcW w:w="4860" w:type="dxa"/>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t>Plant is operated in accordance with enterprise and manufacturer operating procedures</w:t>
            </w:r>
          </w:p>
        </w:tc>
      </w:tr>
      <w:tr w:rsidTr="00A125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t>2.2</w:t>
            </w:r>
          </w:p>
        </w:tc>
        <w:tc>
          <w:tcPr>
            <w:tcW w:w="4860" w:type="dxa"/>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t>Changeover from one fuel source to the other is condu</w:t>
            </w:r>
            <w:r w:rsidRPr="0007457A">
              <w:t>cted with minimal effect on load and steam conditions</w:t>
            </w:r>
          </w:p>
        </w:tc>
      </w:tr>
      <w:tr w:rsidTr="00A125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t>2.3</w:t>
            </w:r>
          </w:p>
        </w:tc>
        <w:tc>
          <w:tcPr>
            <w:tcW w:w="4860" w:type="dxa"/>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t>Plant is monitored and observed to detect deviations from normal operating conditions</w:t>
            </w:r>
          </w:p>
        </w:tc>
      </w:tr>
      <w:tr w:rsidTr="00A125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t>2.4</w:t>
            </w:r>
          </w:p>
        </w:tc>
        <w:tc>
          <w:tcPr>
            <w:tcW w:w="4860" w:type="dxa"/>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t>Corrective actions are taken to rectify abnormalities in accordance with manufacturer and enterprise/site procedures</w:t>
            </w:r>
          </w:p>
        </w:tc>
      </w:tr>
      <w:tr w:rsidTr="00A125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t>3</w:t>
            </w:r>
          </w:p>
        </w:tc>
        <w:tc>
          <w:tcPr>
            <w:tcW w:w="2296" w:type="dxa"/>
            <w:vMerge w:val="restart"/>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t>Test plant operation</w:t>
            </w:r>
          </w:p>
        </w:tc>
        <w:tc>
          <w:tcPr>
            <w:tcW w:w="900" w:type="dxa"/>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t>3.1</w:t>
            </w:r>
          </w:p>
        </w:tc>
        <w:tc>
          <w:tcPr>
            <w:tcW w:w="4860" w:type="dxa"/>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t>Tests are performed in accordance with defined procedures applicable to the operational test</w:t>
            </w:r>
          </w:p>
        </w:tc>
      </w:tr>
      <w:tr w:rsidTr="00A125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t>3.2</w:t>
            </w:r>
          </w:p>
        </w:tc>
        <w:tc>
          <w:tcPr>
            <w:tcW w:w="4860" w:type="dxa"/>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t>Plant is ob</w:t>
            </w:r>
            <w:r w:rsidRPr="0007457A">
              <w:t>served for correct operational response</w:t>
            </w:r>
          </w:p>
        </w:tc>
      </w:tr>
      <w:tr w:rsidTr="00A125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t>3.3</w:t>
            </w:r>
          </w:p>
        </w:tc>
        <w:tc>
          <w:tcPr>
            <w:tcW w:w="4860" w:type="dxa"/>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t>Corrective action is taken when response is not in accordance with documentation, plant integrity or personnel safety requirements</w:t>
            </w:r>
          </w:p>
        </w:tc>
      </w:tr>
      <w:tr w:rsidTr="00A125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t>3.4</w:t>
            </w:r>
          </w:p>
        </w:tc>
        <w:tc>
          <w:tcPr>
            <w:tcW w:w="4860" w:type="dxa"/>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t>Plant is returned to required operational status upon completion of test</w:t>
            </w:r>
          </w:p>
        </w:tc>
      </w:tr>
      <w:tr w:rsidTr="00A125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t>4</w:t>
            </w:r>
          </w:p>
        </w:tc>
        <w:tc>
          <w:tcPr>
            <w:tcW w:w="2296" w:type="dxa"/>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t>Analyse plant faults</w:t>
            </w:r>
          </w:p>
        </w:tc>
        <w:tc>
          <w:tcPr>
            <w:tcW w:w="900" w:type="dxa"/>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t>4.1</w:t>
            </w:r>
          </w:p>
        </w:tc>
        <w:tc>
          <w:tcPr>
            <w:tcW w:w="4860" w:type="dxa"/>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t>Causes of abnormal plant operating conditions are identified by analysing the technical and operational information in a logical and sequential manner</w:t>
            </w:r>
          </w:p>
        </w:tc>
      </w:tr>
      <w:tr w:rsidTr="00A125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t>4.2</w:t>
            </w:r>
          </w:p>
        </w:tc>
        <w:tc>
          <w:tcPr>
            <w:tcW w:w="4860" w:type="dxa"/>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t>Corrective action taken is in accordance with enterprise procedures</w:t>
            </w:r>
          </w:p>
        </w:tc>
      </w:tr>
      <w:tr w:rsidTr="00A125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t>4.3</w:t>
            </w:r>
          </w:p>
        </w:tc>
        <w:tc>
          <w:tcPr>
            <w:tcW w:w="4860" w:type="dxa"/>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t>Plant integrity and personnel safety is maintained through consultation with appropriate personnel, and with reference to plant, technical and operational documentation</w:t>
            </w:r>
          </w:p>
        </w:tc>
      </w:tr>
      <w:tr w:rsidTr="00A125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t>5</w:t>
            </w:r>
          </w:p>
        </w:tc>
        <w:tc>
          <w:tcPr>
            <w:tcW w:w="2296" w:type="dxa"/>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t>Monit</w:t>
            </w:r>
            <w:r w:rsidRPr="0007457A">
              <w:t>or and inspect plant</w:t>
            </w:r>
          </w:p>
        </w:tc>
        <w:tc>
          <w:tcPr>
            <w:tcW w:w="900" w:type="dxa"/>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t>5.1</w:t>
            </w:r>
          </w:p>
        </w:tc>
        <w:tc>
          <w:tcPr>
            <w:tcW w:w="4860" w:type="dxa"/>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t>Plant to be monitored/inspected is physically identified</w:t>
            </w:r>
          </w:p>
        </w:tc>
      </w:tr>
      <w:tr w:rsidTr="00A125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t>5.2</w:t>
            </w:r>
          </w:p>
        </w:tc>
        <w:tc>
          <w:tcPr>
            <w:tcW w:w="4860" w:type="dxa"/>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t xml:space="preserve">Plant is monitored/inspected for normal operation or to detect deviations </w:t>
            </w:r>
          </w:p>
        </w:tc>
      </w:tr>
      <w:tr w:rsidTr="00A125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t>5.3</w:t>
            </w:r>
          </w:p>
        </w:tc>
        <w:tc>
          <w:tcPr>
            <w:tcW w:w="4860" w:type="dxa"/>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t>Corrective action taken is in accordance with enterprise procedures</w:t>
            </w:r>
          </w:p>
        </w:tc>
      </w:tr>
      <w:tr w:rsidTr="00A125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t>5.4</w:t>
            </w:r>
          </w:p>
        </w:tc>
        <w:tc>
          <w:tcPr>
            <w:tcW w:w="4860" w:type="dxa"/>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t>Appropriate personnel are notified when defects are detected</w:t>
            </w:r>
          </w:p>
        </w:tc>
      </w:tr>
      <w:tr w:rsidTr="00A125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t>6</w:t>
            </w:r>
          </w:p>
        </w:tc>
        <w:tc>
          <w:tcPr>
            <w:tcW w:w="2296" w:type="dxa"/>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t>Complete documentation</w:t>
            </w:r>
          </w:p>
        </w:tc>
        <w:tc>
          <w:tcPr>
            <w:tcW w:w="900" w:type="dxa"/>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t>6.1</w:t>
            </w:r>
          </w:p>
        </w:tc>
        <w:tc>
          <w:tcPr>
            <w:tcW w:w="4860" w:type="dxa"/>
            <w:tcBorders>
              <w:top w:val="nil"/>
              <w:left w:val="nil"/>
              <w:bottom w:val="nil"/>
              <w:right w:val="nil"/>
            </w:tcBorders>
            <w:tcMar>
              <w:top w:w="0" w:type="dxa"/>
              <w:left w:w="62" w:type="dxa"/>
              <w:bottom w:w="0" w:type="dxa"/>
              <w:right w:w="62" w:type="dxa"/>
            </w:tcMar>
          </w:tcPr>
          <w:p w:rsidR="00000000" w:rsidRPr="0007457A" w:rsidP="0007457A">
            <w:pPr>
              <w:pStyle w:val="BodyText"/>
            </w:pPr>
            <w:r w:rsidRPr="0007457A">
              <w:t>Documentation is updated and plant problems, movements, abnormalities and status are reported and logged in accordance with enterprise/site procedures</w:t>
            </w:r>
          </w:p>
        </w:tc>
      </w:tr>
    </w:tbl>
    <w:p w:rsidR="00A12586" w:rsidP="0007457A">
      <w:pPr>
        <w:pStyle w:val="BodyText"/>
      </w:pPr>
    </w:p>
    <w:p w:rsidR="00A12586" w:rsidP="0007457A">
      <w:pPr>
        <w:pStyle w:val="BodyText"/>
      </w:pPr>
    </w:p>
    <w:p w:rsidR="00000000" w:rsidRPr="0007457A" w:rsidP="0007457A">
      <w:pPr>
        <w:pStyle w:val="Heading1"/>
      </w:pPr>
      <w:bookmarkStart w:id="9" w:name="O_263856"/>
      <w:bookmarkEnd w:id="9"/>
      <w:r w:rsidRPr="0007457A">
        <w:t>Required Skills and Knowledge</w:t>
      </w:r>
    </w:p>
    <w:tbl>
      <w:tblPr>
        <w:tblW w:w="0" w:type="auto"/>
        <w:tblLayout w:type="fixed"/>
        <w:tblCellMar>
          <w:left w:w="62" w:type="dxa"/>
          <w:right w:w="62" w:type="dxa"/>
        </w:tblCellMar>
        <w:tblLook w:val="0000"/>
      </w:tblPr>
      <w:tblGrid>
        <w:gridCol w:w="2700"/>
        <w:gridCol w:w="5760"/>
      </w:tblGrid>
      <w:tr w:rsidTr="00A12586">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rPr>
                <w:rStyle w:val="SpecialBold"/>
              </w:rPr>
              <w:t>REQUIRED SKILLS AND KNOWLEDGE</w:t>
            </w:r>
          </w:p>
        </w:tc>
      </w:tr>
      <w:tr w:rsidTr="00A1258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rPr>
                <w:rStyle w:val="SpecialBold"/>
              </w:rPr>
              <w:t>6</w:t>
            </w:r>
            <w:r w:rsidRPr="0007457A">
              <w:t>) This describes the essential skills and knowledge and their level, required for this unit.</w:t>
            </w:r>
          </w:p>
        </w:tc>
      </w:tr>
      <w:tr w:rsidTr="00A1258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7457A" w:rsidP="0007457A">
            <w:pPr>
              <w:pStyle w:val="BodyText"/>
            </w:pPr>
            <w:r w:rsidRPr="0007457A">
              <w:t>Evidence shall show that knowledge has been acquired of operating and monitoring dual fuel firing plant for a permit to work</w:t>
            </w:r>
          </w:p>
          <w:p w:rsidR="00000000" w:rsidP="0007457A">
            <w:pPr>
              <w:pStyle w:val="BodyText"/>
              <w:rPr>
                <w:lang w:val="en-NZ"/>
              </w:rPr>
            </w:pPr>
            <w:r w:rsidRPr="0007457A">
              <w:t>The extent of the Essential Knowledge and Associated Skills required follows:</w:t>
            </w:r>
          </w:p>
        </w:tc>
      </w:tr>
      <w:tr w:rsidTr="00A1258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7457A" w:rsidP="0007457A">
            <w:pPr>
              <w:pStyle w:val="BodyText"/>
            </w:pPr>
            <w:r w:rsidRPr="0007457A">
              <w:t>Evidence shall show that knowledge has been acquir</w:t>
            </w:r>
            <w:r w:rsidRPr="0007457A">
              <w:t>ed for safe working practices of:</w:t>
            </w:r>
          </w:p>
          <w:p w:rsidR="00000000" w:rsidRPr="0007457A" w:rsidP="0007457A">
            <w:pPr>
              <w:pStyle w:val="ListBullet3"/>
            </w:pPr>
            <w:r w:rsidRPr="0007457A">
              <w:t xml:space="preserve">Relevant Occupational Health and Safety regulations </w:t>
            </w:r>
          </w:p>
          <w:p w:rsidR="00000000" w:rsidRPr="0007457A" w:rsidP="0007457A">
            <w:pPr>
              <w:pStyle w:val="ListBullet3"/>
            </w:pPr>
            <w:r w:rsidRPr="0007457A">
              <w:t xml:space="preserve">Relevant statutory legislation </w:t>
            </w:r>
          </w:p>
          <w:p w:rsidR="00000000" w:rsidRPr="0007457A" w:rsidP="0007457A">
            <w:pPr>
              <w:pStyle w:val="ListBullet3"/>
            </w:pPr>
            <w:r w:rsidRPr="0007457A">
              <w:t xml:space="preserve">Relevant enterprise/site safety procedures </w:t>
            </w:r>
          </w:p>
          <w:p w:rsidR="00000000" w:rsidRPr="0007457A" w:rsidP="0007457A">
            <w:pPr>
              <w:pStyle w:val="ListBullet3"/>
            </w:pPr>
            <w:r w:rsidRPr="0007457A">
              <w:t xml:space="preserve">Enterprise/site emergency procedures and techniques </w:t>
            </w:r>
          </w:p>
          <w:p w:rsidR="00000000" w:rsidRPr="0007457A" w:rsidP="0007457A">
            <w:pPr>
              <w:pStyle w:val="ListBullet3"/>
            </w:pPr>
            <w:r w:rsidRPr="0007457A">
              <w:t xml:space="preserve">Relevant plant and equipment, its location and operating parameters </w:t>
            </w:r>
          </w:p>
          <w:p w:rsidR="00000000" w:rsidRPr="0007457A" w:rsidP="0007457A">
            <w:pPr>
              <w:pStyle w:val="ListBullet3"/>
            </w:pPr>
            <w:r w:rsidRPr="0007457A">
              <w:t xml:space="preserve">Fuels and the combustion process </w:t>
            </w:r>
          </w:p>
          <w:p w:rsidR="00000000" w:rsidRPr="0007457A" w:rsidP="0007457A">
            <w:pPr>
              <w:pStyle w:val="ListBullet3"/>
            </w:pPr>
            <w:r w:rsidRPr="0007457A">
              <w:t xml:space="preserve">Prevention of boiler explosions and implosions </w:t>
            </w:r>
          </w:p>
          <w:p w:rsidR="00000000" w:rsidRPr="0007457A" w:rsidP="0007457A">
            <w:pPr>
              <w:pStyle w:val="ListBullet3"/>
            </w:pPr>
            <w:r w:rsidRPr="0007457A">
              <w:t xml:space="preserve">Plant status Environmental legislation Enterprise recording procedures </w:t>
            </w:r>
          </w:p>
          <w:p w:rsidR="00000000" w:rsidRPr="0007457A" w:rsidP="0007457A">
            <w:pPr>
              <w:pStyle w:val="ListBullet3"/>
            </w:pPr>
            <w:r w:rsidRPr="0007457A">
              <w:t xml:space="preserve">Communication principles </w:t>
            </w:r>
          </w:p>
          <w:p w:rsidR="00000000" w:rsidRPr="0007457A" w:rsidP="0007457A">
            <w:pPr>
              <w:pStyle w:val="ListBullet3"/>
            </w:pPr>
            <w:r w:rsidRPr="0007457A">
              <w:t>Control</w:t>
            </w:r>
            <w:r w:rsidRPr="0007457A">
              <w:t xml:space="preserve"> and data acquisition systems </w:t>
            </w:r>
          </w:p>
          <w:p w:rsidR="00000000" w:rsidRPr="0007457A" w:rsidP="0007457A">
            <w:pPr>
              <w:pStyle w:val="ListBullet3"/>
            </w:pPr>
            <w:r w:rsidRPr="0007457A">
              <w:t xml:space="preserve">Computers and software </w:t>
            </w:r>
          </w:p>
          <w:p w:rsidR="00000000" w:rsidRPr="0007457A" w:rsidP="0007457A">
            <w:pPr>
              <w:pStyle w:val="ListBullet3"/>
            </w:pPr>
            <w:r w:rsidRPr="0007457A">
              <w:t xml:space="preserve">Supervisory, alarm, protection and control equipment </w:t>
            </w:r>
          </w:p>
          <w:p w:rsidR="00000000" w:rsidRPr="0007457A" w:rsidP="0007457A">
            <w:pPr>
              <w:pStyle w:val="ListBullet3"/>
            </w:pPr>
            <w:r w:rsidRPr="0007457A">
              <w:t xml:space="preserve">Emergency procedures </w:t>
            </w:r>
          </w:p>
          <w:p w:rsidR="00000000" w:rsidRPr="0007457A" w:rsidP="0007457A">
            <w:pPr>
              <w:pStyle w:val="ListBullet3"/>
            </w:pPr>
            <w:r w:rsidRPr="0007457A">
              <w:t xml:space="preserve">Basic motor performance </w:t>
            </w:r>
          </w:p>
          <w:p w:rsidR="00000000" w:rsidRPr="0007457A" w:rsidP="0007457A">
            <w:pPr>
              <w:pStyle w:val="ListBullet3"/>
            </w:pPr>
            <w:r w:rsidRPr="0007457A">
              <w:t xml:space="preserve">Fan types and Characteristics </w:t>
            </w:r>
          </w:p>
          <w:p w:rsidR="00000000" w:rsidRPr="0007457A" w:rsidP="0007457A">
            <w:pPr>
              <w:pStyle w:val="ListBullet3"/>
            </w:pPr>
            <w:r w:rsidRPr="0007457A">
              <w:t xml:space="preserve">Basic pump and compressor performance </w:t>
            </w:r>
          </w:p>
          <w:p w:rsidR="00000000" w:rsidP="0007457A">
            <w:pPr>
              <w:pStyle w:val="ListBullet3"/>
              <w:rPr>
                <w:lang w:val="en-NZ"/>
              </w:rPr>
            </w:pPr>
            <w:r w:rsidRPr="0007457A">
              <w:t>Actuator, valve and damper typ</w:t>
            </w:r>
            <w:r w:rsidRPr="0007457A">
              <w:t>es and characteristics.</w:t>
            </w:r>
          </w:p>
        </w:tc>
      </w:tr>
      <w:tr w:rsidTr="00A1258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7457A" w:rsidP="0007457A">
            <w:pPr>
              <w:pStyle w:val="BodyText"/>
            </w:pPr>
            <w:r w:rsidRPr="0007457A">
              <w:t>Specific skills needed to achieve the Performance Criteria:</w:t>
            </w:r>
          </w:p>
          <w:p w:rsidR="00000000" w:rsidRPr="0007457A" w:rsidP="0007457A">
            <w:pPr>
              <w:pStyle w:val="ListBullet3"/>
            </w:pPr>
            <w:r w:rsidRPr="0007457A">
              <w:t xml:space="preserve">Apply relevant Occupational Health and Safety regulations </w:t>
            </w:r>
          </w:p>
          <w:p w:rsidR="00000000" w:rsidRPr="0007457A" w:rsidP="0007457A">
            <w:pPr>
              <w:pStyle w:val="ListBullet3"/>
            </w:pPr>
            <w:r w:rsidRPr="0007457A">
              <w:t xml:space="preserve">Apply relevant statutory legislation </w:t>
            </w:r>
          </w:p>
          <w:p w:rsidR="00000000" w:rsidRPr="0007457A" w:rsidP="0007457A">
            <w:pPr>
              <w:pStyle w:val="ListBullet3"/>
            </w:pPr>
            <w:r w:rsidRPr="0007457A">
              <w:t xml:space="preserve">Apply relevant enterprise/site safety procedures </w:t>
            </w:r>
          </w:p>
          <w:p w:rsidR="00000000" w:rsidRPr="0007457A" w:rsidP="0007457A">
            <w:pPr>
              <w:pStyle w:val="ListBullet3"/>
            </w:pPr>
            <w:r w:rsidRPr="0007457A">
              <w:t xml:space="preserve">Apply enterprise/site emergency procedures and techniques </w:t>
            </w:r>
          </w:p>
          <w:p w:rsidR="00000000" w:rsidRPr="0007457A" w:rsidP="0007457A">
            <w:pPr>
              <w:pStyle w:val="ListBullet3"/>
            </w:pPr>
            <w:r w:rsidRPr="0007457A">
              <w:t xml:space="preserve">Apply enterprise recording procedures </w:t>
            </w:r>
          </w:p>
          <w:p w:rsidR="00000000" w:rsidRPr="0007457A" w:rsidP="0007457A">
            <w:pPr>
              <w:pStyle w:val="ListBullet3"/>
            </w:pPr>
            <w:r w:rsidRPr="0007457A">
              <w:t xml:space="preserve">Identify plant status </w:t>
            </w:r>
          </w:p>
          <w:p w:rsidR="00000000" w:rsidRPr="0007457A" w:rsidP="0007457A">
            <w:pPr>
              <w:pStyle w:val="ListBullet3"/>
            </w:pPr>
            <w:r w:rsidRPr="0007457A">
              <w:t xml:space="preserve">Prepare plant/equipment for operation </w:t>
            </w:r>
          </w:p>
          <w:p w:rsidR="00000000" w:rsidRPr="0007457A" w:rsidP="0007457A">
            <w:pPr>
              <w:pStyle w:val="ListBullet3"/>
            </w:pPr>
            <w:r w:rsidRPr="0007457A">
              <w:t xml:space="preserve">Organise resources </w:t>
            </w:r>
          </w:p>
          <w:p w:rsidR="00000000" w:rsidRPr="0007457A" w:rsidP="0007457A">
            <w:pPr>
              <w:pStyle w:val="ListBullet3"/>
            </w:pPr>
            <w:r w:rsidRPr="0007457A">
              <w:t xml:space="preserve">Operate fuel firing plant </w:t>
            </w:r>
          </w:p>
          <w:p w:rsidR="00000000" w:rsidRPr="0007457A" w:rsidP="0007457A">
            <w:pPr>
              <w:pStyle w:val="ListBullet3"/>
            </w:pPr>
            <w:r w:rsidRPr="0007457A">
              <w:t xml:space="preserve">Apply diagnostic and testing techniques </w:t>
            </w:r>
          </w:p>
          <w:p w:rsidR="00000000" w:rsidRPr="0007457A" w:rsidP="0007457A">
            <w:pPr>
              <w:pStyle w:val="ListBullet3"/>
            </w:pPr>
            <w:r w:rsidRPr="0007457A">
              <w:t>Identify</w:t>
            </w:r>
            <w:r w:rsidRPr="0007457A">
              <w:t xml:space="preserve"> and respond to abnormal plant operating conditions </w:t>
            </w:r>
          </w:p>
          <w:p w:rsidR="00000000" w:rsidRPr="0007457A" w:rsidP="0007457A">
            <w:pPr>
              <w:pStyle w:val="ListBullet3"/>
            </w:pPr>
            <w:r w:rsidRPr="0007457A">
              <w:t xml:space="preserve">Plan and prioritise work </w:t>
            </w:r>
          </w:p>
          <w:p w:rsidR="00000000" w:rsidRPr="0007457A" w:rsidP="0007457A">
            <w:pPr>
              <w:pStyle w:val="ListBullet3"/>
            </w:pPr>
            <w:r w:rsidRPr="0007457A">
              <w:t xml:space="preserve">Use relevant hand tools </w:t>
            </w:r>
          </w:p>
          <w:p w:rsidR="00000000" w:rsidRPr="0007457A" w:rsidP="0007457A">
            <w:pPr>
              <w:pStyle w:val="ListBullet3"/>
            </w:pPr>
            <w:r w:rsidRPr="0007457A">
              <w:t xml:space="preserve">Communicate effectively </w:t>
            </w:r>
          </w:p>
          <w:p w:rsidR="00000000" w:rsidRPr="0007457A" w:rsidP="0007457A">
            <w:pPr>
              <w:pStyle w:val="ListBullet3"/>
            </w:pPr>
            <w:r w:rsidRPr="0007457A">
              <w:t xml:space="preserve">Apply data analysis techniques and tools </w:t>
            </w:r>
          </w:p>
          <w:p w:rsidR="00000000" w:rsidRPr="0007457A" w:rsidP="0007457A">
            <w:pPr>
              <w:pStyle w:val="ListBullet3"/>
            </w:pPr>
            <w:r w:rsidRPr="0007457A">
              <w:t xml:space="preserve">Operate in a team </w:t>
            </w:r>
          </w:p>
          <w:p w:rsidR="00000000" w:rsidRPr="0007457A" w:rsidP="0007457A">
            <w:pPr>
              <w:pStyle w:val="ListBullet3"/>
            </w:pPr>
            <w:r w:rsidRPr="0007457A">
              <w:t xml:space="preserve">Co-ordinate the operation of equipment to maintain plant integrity, personnel safety and continuity of supply </w:t>
            </w:r>
          </w:p>
          <w:p w:rsidR="00000000" w:rsidRPr="0007457A" w:rsidP="0007457A">
            <w:pPr>
              <w:pStyle w:val="ListBullet3"/>
            </w:pPr>
            <w:r w:rsidRPr="0007457A">
              <w:t>Use diagrams, drawings and symbols.</w:t>
            </w:r>
          </w:p>
        </w:tc>
      </w:tr>
    </w:tbl>
    <w:p w:rsidR="00A12586" w:rsidP="0007457A">
      <w:pPr>
        <w:pStyle w:val="BodyText"/>
      </w:pPr>
    </w:p>
    <w:p w:rsidR="00A12586" w:rsidP="0007457A">
      <w:pPr>
        <w:pStyle w:val="BodyText"/>
      </w:pPr>
    </w:p>
    <w:p w:rsidR="00000000" w:rsidRPr="0007457A" w:rsidP="0007457A">
      <w:pPr>
        <w:pStyle w:val="Heading1"/>
      </w:pPr>
      <w:bookmarkStart w:id="10" w:name="O_248048"/>
      <w:bookmarkEnd w:id="10"/>
      <w:r w:rsidRPr="0007457A">
        <w:t>Evidence Guide</w:t>
      </w:r>
    </w:p>
    <w:tbl>
      <w:tblPr>
        <w:tblW w:w="0" w:type="auto"/>
        <w:tblLayout w:type="fixed"/>
        <w:tblCellMar>
          <w:left w:w="62" w:type="dxa"/>
          <w:right w:w="62" w:type="dxa"/>
        </w:tblCellMar>
        <w:tblLook w:val="0000"/>
      </w:tblPr>
      <w:tblGrid>
        <w:gridCol w:w="2160"/>
        <w:gridCol w:w="6300"/>
      </w:tblGrid>
      <w:tr w:rsidTr="00A1258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rPr>
                <w:rStyle w:val="SpecialBold"/>
              </w:rPr>
              <w:t>EVIDENCE GUIDE</w:t>
            </w:r>
          </w:p>
        </w:tc>
      </w:tr>
      <w:tr w:rsidTr="00A1258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7457A" w:rsidP="0007457A">
            <w:pPr>
              <w:pStyle w:val="BodyText"/>
            </w:pPr>
            <w:r w:rsidRPr="0007457A">
              <w:rPr>
                <w:rStyle w:val="SpecialBold"/>
              </w:rPr>
              <w:t>8</w:t>
            </w:r>
            <w:r w:rsidRPr="0007457A">
              <w:t>) This provides essential advice for assessment of the unit of competency and must be read in conjunction with the Performance Criteria and the Range Statement of the unit and the Training Package Assessment Guidelines.</w:t>
            </w:r>
          </w:p>
          <w:p w:rsidR="00000000" w:rsidP="0007457A">
            <w:pPr>
              <w:pStyle w:val="BodyText"/>
              <w:rPr>
                <w:lang w:val="en-NZ"/>
              </w:rPr>
            </w:pPr>
            <w:r w:rsidRPr="0007457A">
              <w:t>The Evidence Guide forms an integral</w:t>
            </w:r>
            <w:r w:rsidRPr="0007457A">
              <w:t xml:space="preserve"> part of this Competency Standard Unit and shall be used in conjunction with all components parts of this unit and, performed in accordance with the Assessment Guidelines of this Training Package.</w:t>
            </w:r>
          </w:p>
        </w:tc>
      </w:tr>
      <w:tr w:rsidTr="00A1258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7457A" w:rsidP="0007457A">
            <w:pPr>
              <w:pStyle w:val="BodyText"/>
            </w:pPr>
            <w:r w:rsidRPr="0007457A">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07457A" w:rsidP="0007457A">
            <w:pPr>
              <w:pStyle w:val="BodyText"/>
            </w:pPr>
            <w:r w:rsidRPr="0007457A">
              <w:rPr>
                <w:rStyle w:val="SpecialBold"/>
              </w:rPr>
              <w:t>8</w:t>
            </w:r>
            <w:r w:rsidRPr="0007457A">
              <w:t>.</w:t>
            </w:r>
            <w:r w:rsidRPr="0007457A">
              <w:rPr>
                <w:rStyle w:val="SpecialBold"/>
              </w:rPr>
              <w:t>1</w:t>
            </w:r>
            <w:r w:rsidRPr="0007457A">
              <w:t xml:space="preserve">) </w:t>
            </w:r>
          </w:p>
          <w:p w:rsidR="00000000" w:rsidRPr="0007457A" w:rsidP="0007457A">
            <w:pPr>
              <w:pStyle w:val="BodyText"/>
            </w:pPr>
            <w:r w:rsidRPr="0007457A">
              <w:t>Longitude competency develop</w:t>
            </w:r>
            <w:r w:rsidRPr="0007457A">
              <w:t>ment approaches to assessment, such as Profiling, require data to be reliably gathered in a form that can be consistently interpreted over time. This approach is best utilised in Apprenticeship programs and reduces assessment intervention. It is the Indust</w:t>
            </w:r>
            <w:r w:rsidRPr="0007457A">
              <w:t>ry's preferred model for apprenticeships. However, where summative (or final) assessment is used it is to include the application of the competency in the normal work environment or, at a minimum, the application of the competency in a realistically simula</w:t>
            </w:r>
            <w:r w:rsidRPr="0007457A">
              <w:t>ted work environment. It is recognised that, in some circumstances, assessment in part or full can occur outside the workplace. However, it must be in accord with Industry and, Regulatory policy in this regard.</w:t>
            </w:r>
          </w:p>
          <w:p w:rsidR="00000000" w:rsidRPr="0007457A" w:rsidP="0007457A">
            <w:pPr>
              <w:pStyle w:val="BodyText"/>
            </w:pPr>
            <w:r w:rsidRPr="0007457A">
              <w:t>Methods chosen for a particular assessment wi</w:t>
            </w:r>
            <w:r w:rsidRPr="0007457A">
              <w:t>ll be influenced by various factors. These include the extent of the assessment, the most effective locations for the assessment activities to take place, access to physical resources, additional safety measures that may be required and the critical nature</w:t>
            </w:r>
            <w:r w:rsidRPr="0007457A">
              <w:t xml:space="preserve"> of the competencies being assessed.</w:t>
            </w:r>
          </w:p>
          <w:p w:rsidR="00000000" w:rsidRPr="0007457A" w:rsidP="0007457A">
            <w:pPr>
              <w:pStyle w:val="BodyText"/>
            </w:pPr>
            <w:r w:rsidRPr="0007457A">
              <w:t>The critical safety nature of working with electricity, electrical equipment, gas or any other hazardous substance/material carries risk in deeming a person competent. Hence, sources of evidence need to be 'rich' in nat</w:t>
            </w:r>
            <w:r w:rsidRPr="0007457A">
              <w:t>ure so as to minimise error in judgment.</w:t>
            </w:r>
          </w:p>
          <w:p w:rsidR="00000000" w:rsidP="0007457A">
            <w:pPr>
              <w:pStyle w:val="BodyText"/>
              <w:rPr>
                <w:lang w:val="en-NZ"/>
              </w:rPr>
            </w:pPr>
            <w:r w:rsidRPr="0007457A">
              <w:t>Activities associated with normal every day work have a bearing on the decision as to how much and how detailed the data gathered will contribute to its 'richness'. Some skills are more critical to safety and operat</w:t>
            </w:r>
            <w:r w:rsidRPr="0007457A">
              <w:t>ional requirements while the same skills may be more or less frequently practised. These points are raised for the assessors to consider when choosing an assessment method and developing assessment instruments. Sample assessment instruments are included fo</w:t>
            </w:r>
            <w:r w:rsidRPr="0007457A">
              <w:t>r Assessors in the Assessment Guidelines of this Training Package.</w:t>
            </w:r>
          </w:p>
        </w:tc>
      </w:tr>
      <w:tr w:rsidTr="00A1258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7457A" w:rsidP="0007457A">
            <w:pPr>
              <w:pStyle w:val="BodyText"/>
            </w:pPr>
            <w:r w:rsidRPr="0007457A">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07457A" w:rsidP="0007457A">
            <w:pPr>
              <w:pStyle w:val="BodyText"/>
            </w:pPr>
            <w:r w:rsidRPr="0007457A">
              <w:rPr>
                <w:rStyle w:val="SpecialBold"/>
              </w:rPr>
              <w:t>8</w:t>
            </w:r>
            <w:r w:rsidRPr="0007457A">
              <w:t>.</w:t>
            </w:r>
            <w:r w:rsidRPr="0007457A">
              <w:rPr>
                <w:rStyle w:val="SpecialBold"/>
              </w:rPr>
              <w:t>2</w:t>
            </w:r>
            <w:r w:rsidRPr="0007457A">
              <w:t xml:space="preserve">) </w:t>
            </w:r>
          </w:p>
          <w:p w:rsidR="00000000" w:rsidP="0007457A">
            <w:pPr>
              <w:pStyle w:val="BodyText"/>
              <w:rPr>
                <w:lang w:val="en-NZ"/>
              </w:rPr>
            </w:pPr>
            <w:r w:rsidRPr="0007457A">
              <w:t>Before the critical aspects of evidence are considered all prerequisites shall be met.</w:t>
            </w:r>
          </w:p>
        </w:tc>
      </w:tr>
      <w:tr w:rsidTr="00A1258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07457A" w:rsidP="0007457A">
            <w:pPr>
              <w:pStyle w:val="BodyText"/>
            </w:pPr>
            <w:r w:rsidRPr="0007457A">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07457A">
            <w:pPr>
              <w:pStyle w:val="ListBullet"/>
              <w:rPr>
                <w:lang w:val="en-NZ"/>
              </w:rPr>
            </w:pPr>
            <w:r w:rsidRPr="0007457A">
              <w:t>A representative body of Performance Criteria demonstrated within the timeframes typically expected of the discipline, work function and industrial environment. In particular this shall incorporate evidence that shows a candidate is able to:</w:t>
            </w:r>
          </w:p>
        </w:tc>
      </w:tr>
      <w:tr w:rsidTr="00A1258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7457A">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07457A" w:rsidP="0007457A">
            <w:pPr>
              <w:pStyle w:val="ListBullet3"/>
            </w:pPr>
            <w:r w:rsidRPr="0007457A">
              <w:t xml:space="preserve">Implement </w:t>
            </w:r>
            <w:r w:rsidRPr="0007457A">
              <w:t>Occupational Health and Safety workplace procedures and practices including the use of risk control measures as specified in the Performance Criteria and Range Statement</w:t>
            </w:r>
          </w:p>
          <w:p w:rsidR="00000000" w:rsidRPr="0007457A" w:rsidP="0007457A">
            <w:pPr>
              <w:pStyle w:val="ListBullet3"/>
            </w:pPr>
            <w:r w:rsidRPr="0007457A">
              <w:t>Apply sustainable energy principles and practices as specified in the Performance Criteria and Range Statement</w:t>
            </w:r>
          </w:p>
          <w:p w:rsidR="00000000" w:rsidRPr="0007457A" w:rsidP="0007457A">
            <w:pPr>
              <w:pStyle w:val="ListBullet3"/>
            </w:pPr>
            <w:r w:rsidRPr="0007457A">
              <w:t>Demonstrate an understanding of the essential knowledge and associated skills as described in 6) Essential Knowledge and Associated Skills of thi</w:t>
            </w:r>
            <w:r w:rsidRPr="0007457A">
              <w:t>s unit</w:t>
            </w:r>
          </w:p>
          <w:p w:rsidR="00000000" w:rsidRPr="0007457A" w:rsidP="0007457A">
            <w:pPr>
              <w:pStyle w:val="ListBullet3"/>
            </w:pPr>
            <w:r w:rsidRPr="0007457A">
              <w:t>Demonstrate an appropriate level of skills enabling employment</w:t>
            </w:r>
          </w:p>
          <w:p w:rsidR="00000000" w:rsidP="0007457A">
            <w:pPr>
              <w:pStyle w:val="ListBullet3"/>
              <w:rPr>
                <w:lang w:val="en-NZ"/>
              </w:rPr>
            </w:pPr>
            <w:r w:rsidRPr="0007457A">
              <w:t>Conduct work observing the relevant Anti Discrimination legislation, regulations, polices and workplace procedures</w:t>
            </w:r>
          </w:p>
        </w:tc>
      </w:tr>
      <w:tr w:rsidTr="00A1258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7457A">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07457A">
            <w:pPr>
              <w:pStyle w:val="ListBullet"/>
              <w:rPr>
                <w:lang w:val="en-NZ"/>
              </w:rPr>
            </w:pPr>
            <w:r w:rsidRPr="0007457A">
              <w:t>Demonstrated performance across a representative range of contexts f</w:t>
            </w:r>
            <w:r w:rsidRPr="0007457A">
              <w:t>rom the prescribed items below:</w:t>
            </w:r>
          </w:p>
        </w:tc>
      </w:tr>
      <w:tr w:rsidTr="00A1258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7457A">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07457A" w:rsidP="0007457A">
            <w:pPr>
              <w:pStyle w:val="ListBullet3"/>
            </w:pPr>
            <w:r w:rsidRPr="0007457A">
              <w:t>Knowledge and application of relevant sections of: Occupational Health and Safety legislation; Statutory legislation; Enterprise/site safety procedures; Enterprise/site emergency procedures</w:t>
            </w:r>
          </w:p>
          <w:p w:rsidR="00000000" w:rsidRPr="0007457A" w:rsidP="0007457A">
            <w:pPr>
              <w:pStyle w:val="ListBullet3"/>
            </w:pPr>
            <w:r w:rsidRPr="0007457A">
              <w:t>Preparation and planning of work</w:t>
            </w:r>
          </w:p>
          <w:p w:rsidR="00000000" w:rsidRPr="0007457A" w:rsidP="0007457A">
            <w:pPr>
              <w:pStyle w:val="ListBullet3"/>
            </w:pPr>
            <w:r w:rsidRPr="0007457A">
              <w:t>Operation of fuel firing plant</w:t>
            </w:r>
          </w:p>
          <w:p w:rsidR="00000000" w:rsidRPr="0007457A" w:rsidP="0007457A">
            <w:pPr>
              <w:pStyle w:val="ListBullet3"/>
            </w:pPr>
            <w:r w:rsidRPr="0007457A">
              <w:t>Operationally testing plant</w:t>
            </w:r>
          </w:p>
          <w:p w:rsidR="00000000" w:rsidRPr="0007457A" w:rsidP="0007457A">
            <w:pPr>
              <w:pStyle w:val="ListBullet3"/>
            </w:pPr>
            <w:r w:rsidRPr="0007457A">
              <w:t>Analysing plant faults</w:t>
            </w:r>
          </w:p>
          <w:p w:rsidR="00000000" w:rsidRPr="0007457A" w:rsidP="0007457A">
            <w:pPr>
              <w:pStyle w:val="ListBullet3"/>
            </w:pPr>
            <w:r w:rsidRPr="0007457A">
              <w:t>Monitoring plant operation</w:t>
            </w:r>
          </w:p>
          <w:p w:rsidR="00000000" w:rsidRPr="0007457A" w:rsidP="0007457A">
            <w:pPr>
              <w:pStyle w:val="ListBullet3"/>
            </w:pPr>
            <w:r w:rsidRPr="0007457A">
              <w:t>Dealing with an unplanned event by drawing on essential knowledge and skills to provide appropriate solutions incorporated in the holistic assessment with the above listed items</w:t>
            </w:r>
          </w:p>
        </w:tc>
      </w:tr>
    </w:tbl>
    <w:p w:rsidR="00000000" w:rsidRPr="0007457A" w:rsidP="0007457A">
      <w:pPr>
        <w:pStyle w:val="BodyText"/>
      </w:pPr>
    </w:p>
    <w:tbl>
      <w:tblPr>
        <w:tblW w:w="0" w:type="auto"/>
        <w:tblLayout w:type="fixed"/>
        <w:tblCellMar>
          <w:left w:w="62" w:type="dxa"/>
          <w:right w:w="62" w:type="dxa"/>
        </w:tblCellMar>
        <w:tblLook w:val="0000"/>
      </w:tblPr>
      <w:tblGrid>
        <w:gridCol w:w="2160"/>
        <w:gridCol w:w="1620"/>
        <w:gridCol w:w="4680"/>
      </w:tblGrid>
      <w:tr w:rsidTr="00A1258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7457A" w:rsidP="0007457A">
            <w:pPr>
              <w:pStyle w:val="BodyText"/>
            </w:pPr>
            <w:r w:rsidRPr="0007457A">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07457A" w:rsidP="0007457A">
            <w:pPr>
              <w:pStyle w:val="BodyText"/>
            </w:pPr>
            <w:r w:rsidRPr="0007457A">
              <w:rPr>
                <w:rStyle w:val="SpecialBold"/>
              </w:rPr>
              <w:t>8</w:t>
            </w:r>
            <w:r w:rsidRPr="0007457A">
              <w:t>.</w:t>
            </w:r>
            <w:r w:rsidRPr="0007457A">
              <w:rPr>
                <w:rStyle w:val="SpecialBold"/>
              </w:rPr>
              <w:t>3</w:t>
            </w:r>
            <w:r w:rsidRPr="0007457A">
              <w:t xml:space="preserve">) </w:t>
            </w:r>
          </w:p>
          <w:p w:rsidR="00000000" w:rsidRPr="0007457A" w:rsidP="0007457A">
            <w:pPr>
              <w:pStyle w:val="BodyText"/>
            </w:pPr>
            <w:r w:rsidRPr="0007457A">
              <w:t>This unit should be assessed as it relates to normal work practice using procedures, information and resources typical of a workplace. This should include:</w:t>
            </w:r>
          </w:p>
          <w:p w:rsidR="00000000" w:rsidRPr="0007457A" w:rsidP="0007457A">
            <w:pPr>
              <w:pStyle w:val="ListBullet"/>
            </w:pPr>
            <w:r w:rsidRPr="0007457A">
              <w:t>OHS policy and work procedures and instructions.</w:t>
            </w:r>
          </w:p>
          <w:p w:rsidR="00000000" w:rsidRPr="0007457A" w:rsidP="0007457A">
            <w:pPr>
              <w:pStyle w:val="ListBullet"/>
            </w:pPr>
            <w:r w:rsidRPr="0007457A">
              <w:t>Suitable work environment, facilities, equipment and materials to undertake actual work as prescribed by this unit.</w:t>
            </w:r>
          </w:p>
          <w:p w:rsidR="00000000" w:rsidRPr="0007457A" w:rsidP="0007457A">
            <w:pPr>
              <w:pStyle w:val="BodyText"/>
            </w:pPr>
            <w:r w:rsidRPr="0007457A">
              <w:t>Competency Standards should be assessed in the workplace or simulated workplace and under the normal range of workplace conditions.</w:t>
            </w:r>
          </w:p>
          <w:p w:rsidR="00000000" w:rsidP="0007457A">
            <w:pPr>
              <w:pStyle w:val="BodyText"/>
              <w:rPr>
                <w:lang w:val="en-NZ"/>
              </w:rPr>
            </w:pPr>
            <w:r w:rsidRPr="0007457A">
              <w:t>Assessme</w:t>
            </w:r>
            <w:r w:rsidRPr="0007457A">
              <w:t>nt of this unit will be supported with documentary evidence, by means of endorsement stating type and application of work.</w:t>
            </w:r>
          </w:p>
        </w:tc>
      </w:tr>
      <w:tr w:rsidTr="00A1258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t>In addition to the resources listed above in Context of assessment', evidence should show competency working, in limited spaces, w</w:t>
            </w:r>
            <w:r w:rsidRPr="0007457A">
              <w:t>ith different types of plant and equipment as well as different structural/construction types and methods and in a variety of environments.</w:t>
            </w:r>
          </w:p>
        </w:tc>
      </w:tr>
      <w:tr w:rsidTr="00A1258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7457A" w:rsidP="0007457A">
            <w:pPr>
              <w:pStyle w:val="BodyText"/>
            </w:pPr>
            <w:r w:rsidRPr="0007457A">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07457A" w:rsidP="0007457A">
            <w:pPr>
              <w:pStyle w:val="BodyText"/>
            </w:pPr>
            <w:r w:rsidRPr="0007457A">
              <w:rPr>
                <w:rStyle w:val="SpecialBold"/>
              </w:rPr>
              <w:t>8</w:t>
            </w:r>
            <w:r w:rsidRPr="0007457A">
              <w:t>.</w:t>
            </w:r>
            <w:r w:rsidRPr="0007457A">
              <w:rPr>
                <w:rStyle w:val="SpecialBold"/>
              </w:rPr>
              <w:t>4</w:t>
            </w:r>
            <w:r w:rsidRPr="0007457A">
              <w:t xml:space="preserve">) </w:t>
            </w:r>
          </w:p>
          <w:p w:rsidR="00000000" w:rsidRPr="0007457A" w:rsidP="0007457A">
            <w:pPr>
              <w:pStyle w:val="BodyText"/>
            </w:pPr>
            <w:r w:rsidRPr="0007457A">
              <w:t>This unit shall be assessed by methods given in Volume 1, Part 3 Assessment Guidelines.</w:t>
            </w:r>
          </w:p>
          <w:p w:rsidR="00000000" w:rsidP="0007457A">
            <w:pPr>
              <w:pStyle w:val="BodyText"/>
              <w:rPr>
                <w:lang w:val="en-NZ"/>
              </w:rPr>
            </w:pPr>
            <w:r w:rsidRPr="0007457A">
              <w:t>Note: Competent performance with inherent safe working practices is expected in the Industry to which this unit applies. This requires that the specified essential knowledge and associated skills are assessed in a structured environment which is primarily</w:t>
            </w:r>
            <w:r w:rsidRPr="0007457A">
              <w:t xml:space="preserve"> intended for learning/assessment and incorporates all necessary equipment and facilities for learners to develop and demonstrate the essential knowledge and skills described in this unit.</w:t>
            </w:r>
          </w:p>
        </w:tc>
      </w:tr>
      <w:tr w:rsidTr="00A1258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7457A" w:rsidP="0007457A">
            <w:pPr>
              <w:pStyle w:val="BodyText"/>
            </w:pPr>
            <w:r w:rsidRPr="0007457A">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rPr>
                <w:rStyle w:val="SpecialBold"/>
              </w:rPr>
              <w:t>8</w:t>
            </w:r>
            <w:r w:rsidRPr="0007457A">
              <w:t>.</w:t>
            </w:r>
            <w:r w:rsidRPr="0007457A">
              <w:rPr>
                <w:rStyle w:val="SpecialBold"/>
              </w:rPr>
              <w:t>5</w:t>
            </w:r>
            <w:r w:rsidRPr="0007457A">
              <w:t xml:space="preserve">) </w:t>
            </w:r>
          </w:p>
        </w:tc>
      </w:tr>
      <w:tr w:rsidTr="00A1258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t>There are no recommended concurrent assessments with this unit, however in some cases efficiencies may be gained in terms of learning and assessment effort being concurrently managed with allied competency standard units where listed.</w:t>
            </w:r>
          </w:p>
        </w:tc>
      </w:tr>
      <w:tr w:rsidTr="00A1258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t>Nil</w:t>
            </w:r>
          </w:p>
        </w:tc>
        <w:tc>
          <w:tcPr>
            <w:tcW w:w="4680" w:type="dxa"/>
            <w:tcBorders>
              <w:top w:val="nil"/>
              <w:left w:val="nil"/>
              <w:bottom w:val="nil"/>
              <w:right w:val="nil"/>
            </w:tcBorders>
            <w:tcMar>
              <w:top w:w="0" w:type="dxa"/>
              <w:left w:w="62" w:type="dxa"/>
              <w:bottom w:w="0" w:type="dxa"/>
              <w:right w:w="62" w:type="dxa"/>
            </w:tcMar>
          </w:tcPr>
          <w:p w:rsidR="00000000" w:rsidRPr="0007457A" w:rsidP="0007457A">
            <w:pPr>
              <w:pStyle w:val="BodyText"/>
            </w:pPr>
          </w:p>
        </w:tc>
      </w:tr>
    </w:tbl>
    <w:p w:rsidR="00000000" w:rsidRPr="0007457A" w:rsidP="0007457A">
      <w:pPr>
        <w:pStyle w:val="BodyText"/>
      </w:pPr>
    </w:p>
    <w:tbl>
      <w:tblPr>
        <w:tblW w:w="0" w:type="auto"/>
        <w:tblLayout w:type="fixed"/>
        <w:tblCellMar>
          <w:left w:w="62" w:type="dxa"/>
          <w:right w:w="62" w:type="dxa"/>
        </w:tblCellMar>
        <w:tblLook w:val="0000"/>
      </w:tblPr>
      <w:tblGrid>
        <w:gridCol w:w="2160"/>
        <w:gridCol w:w="4737"/>
        <w:gridCol w:w="1563"/>
      </w:tblGrid>
      <w:tr w:rsidTr="00A12586">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07457A" w:rsidP="0007457A">
            <w:pPr>
              <w:pStyle w:val="BodyText"/>
            </w:pPr>
            <w:r w:rsidRPr="0007457A">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07457A" w:rsidP="0007457A">
            <w:pPr>
              <w:pStyle w:val="BodyText"/>
            </w:pPr>
            <w:r w:rsidRPr="0007457A">
              <w:rPr>
                <w:rStyle w:val="SpecialBold"/>
              </w:rPr>
              <w:t>8</w:t>
            </w:r>
            <w:r w:rsidRPr="0007457A">
              <w:t>.</w:t>
            </w:r>
            <w:r w:rsidRPr="0007457A">
              <w:rPr>
                <w:rStyle w:val="SpecialBold"/>
              </w:rPr>
              <w:t>6</w:t>
            </w:r>
            <w:r w:rsidRPr="0007457A">
              <w:t xml:space="preserve">) </w:t>
            </w:r>
          </w:p>
          <w:p w:rsidR="00000000" w:rsidP="0007457A">
            <w:pPr>
              <w:pStyle w:val="BodyText"/>
              <w:rPr>
                <w:lang w:val="en-NZ"/>
              </w:rPr>
            </w:pPr>
            <w:r w:rsidRPr="0007457A">
              <w:t>Evidence that particular key competencies have been achieved within this unit is in the context of the following Performance Criteria of evidence. See Volume 2, Part 4 for an explanation of Key competencies and levels of this Trainin</w:t>
            </w:r>
            <w:r w:rsidRPr="0007457A">
              <w:t>g Package.</w:t>
            </w:r>
          </w:p>
        </w:tc>
      </w:tr>
      <w:tr w:rsidTr="00A12586">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57A" w:rsidP="0007457A">
            <w:pPr>
              <w:pStyle w:val="BodyText"/>
            </w:pPr>
            <w:r w:rsidRPr="0007457A">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57A" w:rsidP="0007457A">
            <w:pPr>
              <w:pStyle w:val="BodyText"/>
            </w:pPr>
            <w:r w:rsidRPr="0007457A">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57A">
            <w:pPr>
              <w:pStyle w:val="BodyText"/>
              <w:rPr>
                <w:lang w:val="en-NZ"/>
              </w:rPr>
            </w:pPr>
            <w:r w:rsidRPr="0007457A">
              <w:rPr>
                <w:rStyle w:val="SpecialBold"/>
              </w:rPr>
              <w:t>Performance Level</w:t>
            </w:r>
          </w:p>
        </w:tc>
      </w:tr>
      <w:tr w:rsidTr="00A1258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57A">
            <w:pPr>
              <w:pStyle w:val="BodyText"/>
              <w:rPr>
                <w:lang w:val="en-NZ"/>
              </w:rPr>
            </w:pPr>
            <w:r w:rsidRPr="0007457A">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7457A">
            <w:pPr>
              <w:pStyle w:val="BodyText"/>
              <w:rPr>
                <w:lang w:val="en-NZ"/>
              </w:rPr>
            </w:pPr>
            <w:r w:rsidRPr="0007457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57A" w:rsidP="0007457A">
            <w:pPr>
              <w:pStyle w:val="BodyText"/>
            </w:pPr>
          </w:p>
          <w:p w:rsidR="00000000" w:rsidP="0007457A">
            <w:pPr>
              <w:pStyle w:val="BodyText"/>
              <w:rPr>
                <w:lang w:val="en-NZ"/>
              </w:rPr>
            </w:pPr>
            <w:r w:rsidRPr="0007457A">
              <w:t>2</w:t>
            </w:r>
          </w:p>
        </w:tc>
      </w:tr>
      <w:tr w:rsidTr="00A1258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7457A">
            <w:pPr>
              <w:pStyle w:val="BodyText"/>
              <w:rPr>
                <w:lang w:val="en-NZ"/>
              </w:rPr>
            </w:pPr>
            <w:r w:rsidRPr="0007457A">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57A">
            <w:pPr>
              <w:pStyle w:val="BodyText"/>
              <w:rPr>
                <w:lang w:val="en-NZ"/>
              </w:rPr>
            </w:pPr>
          </w:p>
        </w:tc>
      </w:tr>
      <w:tr w:rsidTr="00A1258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57A">
            <w:pPr>
              <w:pStyle w:val="BodyText"/>
              <w:rPr>
                <w:lang w:val="en-NZ"/>
              </w:rPr>
            </w:pPr>
            <w:r w:rsidRPr="0007457A">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7457A">
            <w:pPr>
              <w:pStyle w:val="BodyText"/>
              <w:rPr>
                <w:lang w:val="en-NZ"/>
              </w:rPr>
            </w:pPr>
            <w:r w:rsidRPr="0007457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57A" w:rsidP="0007457A">
            <w:pPr>
              <w:pStyle w:val="BodyText"/>
            </w:pPr>
          </w:p>
          <w:p w:rsidR="00000000" w:rsidP="0007457A">
            <w:pPr>
              <w:pStyle w:val="BodyText"/>
              <w:rPr>
                <w:lang w:val="en-NZ"/>
              </w:rPr>
            </w:pPr>
            <w:r w:rsidRPr="0007457A">
              <w:t>2</w:t>
            </w:r>
          </w:p>
        </w:tc>
      </w:tr>
      <w:tr w:rsidTr="00A1258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7457A">
            <w:pPr>
              <w:pStyle w:val="BodyText"/>
              <w:rPr>
                <w:lang w:val="en-NZ"/>
              </w:rPr>
            </w:pPr>
            <w:r w:rsidRPr="0007457A">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57A">
            <w:pPr>
              <w:pStyle w:val="BodyText"/>
              <w:rPr>
                <w:lang w:val="en-NZ"/>
              </w:rPr>
            </w:pPr>
          </w:p>
        </w:tc>
      </w:tr>
      <w:tr w:rsidTr="00A1258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57A">
            <w:pPr>
              <w:pStyle w:val="BodyText"/>
              <w:rPr>
                <w:lang w:val="en-NZ"/>
              </w:rPr>
            </w:pPr>
            <w:r w:rsidRPr="0007457A">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7457A">
            <w:pPr>
              <w:pStyle w:val="BodyText"/>
              <w:rPr>
                <w:lang w:val="en-NZ"/>
              </w:rPr>
            </w:pPr>
            <w:r w:rsidRPr="0007457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57A" w:rsidP="0007457A">
            <w:pPr>
              <w:pStyle w:val="BodyText"/>
            </w:pPr>
          </w:p>
          <w:p w:rsidR="00000000" w:rsidP="0007457A">
            <w:pPr>
              <w:pStyle w:val="BodyText"/>
              <w:rPr>
                <w:lang w:val="en-NZ"/>
              </w:rPr>
            </w:pPr>
            <w:r w:rsidRPr="0007457A">
              <w:t>1</w:t>
            </w:r>
          </w:p>
        </w:tc>
      </w:tr>
      <w:tr w:rsidTr="00A1258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7457A">
            <w:pPr>
              <w:pStyle w:val="BodyText"/>
              <w:rPr>
                <w:lang w:val="en-NZ"/>
              </w:rPr>
            </w:pPr>
            <w:r w:rsidRPr="0007457A">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57A">
            <w:pPr>
              <w:pStyle w:val="BodyText"/>
              <w:rPr>
                <w:lang w:val="en-NZ"/>
              </w:rPr>
            </w:pPr>
          </w:p>
        </w:tc>
      </w:tr>
      <w:tr w:rsidTr="00A1258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57A">
            <w:pPr>
              <w:pStyle w:val="BodyText"/>
              <w:rPr>
                <w:lang w:val="en-NZ"/>
              </w:rPr>
            </w:pPr>
            <w:r w:rsidRPr="0007457A">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7457A">
            <w:pPr>
              <w:pStyle w:val="BodyText"/>
              <w:rPr>
                <w:lang w:val="en-NZ"/>
              </w:rPr>
            </w:pPr>
            <w:r w:rsidRPr="0007457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57A" w:rsidP="0007457A">
            <w:pPr>
              <w:pStyle w:val="BodyText"/>
            </w:pPr>
          </w:p>
          <w:p w:rsidR="00000000" w:rsidP="0007457A">
            <w:pPr>
              <w:pStyle w:val="BodyText"/>
              <w:rPr>
                <w:lang w:val="en-NZ"/>
              </w:rPr>
            </w:pPr>
            <w:r w:rsidRPr="0007457A">
              <w:t>2</w:t>
            </w:r>
          </w:p>
        </w:tc>
      </w:tr>
      <w:tr w:rsidTr="00A1258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7457A">
            <w:pPr>
              <w:pStyle w:val="BodyText"/>
              <w:rPr>
                <w:lang w:val="en-NZ"/>
              </w:rPr>
            </w:pPr>
            <w:r w:rsidRPr="0007457A">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57A">
            <w:pPr>
              <w:pStyle w:val="BodyText"/>
              <w:rPr>
                <w:lang w:val="en-NZ"/>
              </w:rPr>
            </w:pPr>
          </w:p>
        </w:tc>
      </w:tr>
      <w:tr w:rsidTr="00A1258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57A">
            <w:pPr>
              <w:pStyle w:val="BodyText"/>
              <w:rPr>
                <w:lang w:val="en-NZ"/>
              </w:rPr>
            </w:pPr>
            <w:r w:rsidRPr="0007457A">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7457A">
            <w:pPr>
              <w:pStyle w:val="BodyText"/>
              <w:rPr>
                <w:lang w:val="en-NZ"/>
              </w:rPr>
            </w:pPr>
            <w:r w:rsidRPr="0007457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57A" w:rsidP="0007457A">
            <w:pPr>
              <w:pStyle w:val="BodyText"/>
            </w:pPr>
          </w:p>
          <w:p w:rsidR="00000000" w:rsidP="0007457A">
            <w:pPr>
              <w:pStyle w:val="BodyText"/>
              <w:rPr>
                <w:lang w:val="en-NZ"/>
              </w:rPr>
            </w:pPr>
            <w:r w:rsidRPr="0007457A">
              <w:t>1</w:t>
            </w:r>
          </w:p>
        </w:tc>
      </w:tr>
      <w:tr w:rsidTr="00A1258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7457A">
            <w:pPr>
              <w:pStyle w:val="BodyText"/>
              <w:rPr>
                <w:lang w:val="en-NZ"/>
              </w:rPr>
            </w:pPr>
            <w:r w:rsidRPr="0007457A">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57A">
            <w:pPr>
              <w:pStyle w:val="BodyText"/>
              <w:rPr>
                <w:lang w:val="en-NZ"/>
              </w:rPr>
            </w:pPr>
          </w:p>
        </w:tc>
      </w:tr>
      <w:tr w:rsidTr="00A1258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57A">
            <w:pPr>
              <w:pStyle w:val="BodyText"/>
              <w:rPr>
                <w:lang w:val="en-NZ"/>
              </w:rPr>
            </w:pPr>
            <w:r w:rsidRPr="0007457A">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7457A">
            <w:pPr>
              <w:pStyle w:val="BodyText"/>
              <w:rPr>
                <w:lang w:val="en-NZ"/>
              </w:rPr>
            </w:pPr>
            <w:r w:rsidRPr="0007457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57A" w:rsidP="0007457A">
            <w:pPr>
              <w:pStyle w:val="BodyText"/>
            </w:pPr>
          </w:p>
          <w:p w:rsidR="00000000" w:rsidP="0007457A">
            <w:pPr>
              <w:pStyle w:val="BodyText"/>
              <w:rPr>
                <w:lang w:val="en-NZ"/>
              </w:rPr>
            </w:pPr>
            <w:r w:rsidRPr="0007457A">
              <w:t>2</w:t>
            </w:r>
          </w:p>
        </w:tc>
      </w:tr>
      <w:tr w:rsidTr="00A1258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7457A">
            <w:pPr>
              <w:pStyle w:val="BodyText"/>
              <w:rPr>
                <w:lang w:val="en-NZ"/>
              </w:rPr>
            </w:pPr>
            <w:r w:rsidRPr="0007457A">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57A">
            <w:pPr>
              <w:pStyle w:val="BodyText"/>
              <w:rPr>
                <w:lang w:val="en-NZ"/>
              </w:rPr>
            </w:pPr>
          </w:p>
        </w:tc>
      </w:tr>
      <w:tr w:rsidTr="00A1258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57A">
            <w:pPr>
              <w:pStyle w:val="BodyText"/>
              <w:rPr>
                <w:lang w:val="en-NZ"/>
              </w:rPr>
            </w:pPr>
            <w:r w:rsidRPr="0007457A">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7457A">
            <w:pPr>
              <w:pStyle w:val="BodyText"/>
              <w:rPr>
                <w:lang w:val="en-NZ"/>
              </w:rPr>
            </w:pPr>
            <w:r w:rsidRPr="0007457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57A" w:rsidP="0007457A">
            <w:pPr>
              <w:pStyle w:val="BodyText"/>
            </w:pPr>
          </w:p>
          <w:p w:rsidR="00000000" w:rsidP="0007457A">
            <w:pPr>
              <w:pStyle w:val="BodyText"/>
              <w:rPr>
                <w:lang w:val="en-NZ"/>
              </w:rPr>
            </w:pPr>
            <w:r w:rsidRPr="0007457A">
              <w:t>1</w:t>
            </w:r>
          </w:p>
        </w:tc>
      </w:tr>
      <w:tr w:rsidTr="00A1258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7457A">
            <w:pPr>
              <w:pStyle w:val="BodyText"/>
              <w:rPr>
                <w:lang w:val="en-NZ"/>
              </w:rPr>
            </w:pPr>
            <w:r w:rsidRPr="0007457A">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57A" w:rsidP="0007457A">
            <w:pPr>
              <w:pStyle w:val="BodyText"/>
            </w:pPr>
          </w:p>
        </w:tc>
      </w:tr>
    </w:tbl>
    <w:p w:rsidR="00000000" w:rsidRPr="0007457A" w:rsidP="0007457A">
      <w:pPr>
        <w:pStyle w:val="BodyText"/>
      </w:pPr>
    </w:p>
    <w:tbl>
      <w:tblPr>
        <w:tblW w:w="0" w:type="auto"/>
        <w:tblLayout w:type="fixed"/>
        <w:tblCellMar>
          <w:left w:w="62" w:type="dxa"/>
          <w:right w:w="62" w:type="dxa"/>
        </w:tblCellMar>
        <w:tblLook w:val="0000"/>
      </w:tblPr>
      <w:tblGrid>
        <w:gridCol w:w="326"/>
        <w:gridCol w:w="1834"/>
        <w:gridCol w:w="6300"/>
      </w:tblGrid>
      <w:tr w:rsidTr="00A1258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07457A">
            <w:pPr>
              <w:pStyle w:val="BodyText"/>
              <w:rPr>
                <w:lang w:val="en-NZ"/>
              </w:rPr>
            </w:pPr>
          </w:p>
        </w:tc>
      </w:tr>
      <w:tr w:rsidTr="00A12586">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07457A" w:rsidP="0007457A">
            <w:pPr>
              <w:pStyle w:val="BodyText"/>
            </w:pPr>
            <w:r w:rsidRPr="0007457A">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07457A" w:rsidP="0007457A">
            <w:pPr>
              <w:pStyle w:val="BodyText"/>
            </w:pPr>
            <w:r w:rsidRPr="0007457A">
              <w:rPr>
                <w:rStyle w:val="SpecialBold"/>
              </w:rPr>
              <w:t>8</w:t>
            </w:r>
            <w:r w:rsidRPr="0007457A">
              <w:t>.</w:t>
            </w:r>
            <w:r w:rsidRPr="0007457A">
              <w:rPr>
                <w:rStyle w:val="SpecialBold"/>
              </w:rPr>
              <w:t>7</w:t>
            </w:r>
            <w:r w:rsidRPr="0007457A">
              <w:t xml:space="preserve">) </w:t>
            </w:r>
          </w:p>
          <w:p w:rsidR="00000000" w:rsidP="0007457A">
            <w:pPr>
              <w:pStyle w:val="BodyText"/>
              <w:rPr>
                <w:lang w:val="en-NZ"/>
              </w:rPr>
            </w:pPr>
            <w:r w:rsidRPr="0007457A">
              <w:t xml:space="preserve">Evidence that competency in this unit incorporates skills enabling employment is in the context of the following performance. See Volume 2, Part 5 for definitions and an explanation of skills enabling employment. </w:t>
            </w:r>
          </w:p>
        </w:tc>
      </w:tr>
      <w:tr w:rsidTr="00A12586">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57A" w:rsidP="0007457A">
            <w:pPr>
              <w:pStyle w:val="BodyText"/>
            </w:pPr>
            <w:r w:rsidRPr="0007457A">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57A">
            <w:pPr>
              <w:pStyle w:val="BodyText"/>
              <w:rPr>
                <w:lang w:val="en-NZ"/>
              </w:rPr>
            </w:pPr>
            <w:r w:rsidRPr="0007457A">
              <w:rPr>
                <w:rStyle w:val="SpecialBold"/>
              </w:rPr>
              <w:t>Exampl</w:t>
            </w:r>
            <w:r w:rsidRPr="0007457A">
              <w:rPr>
                <w:rStyle w:val="SpecialBold"/>
              </w:rPr>
              <w:t>e of Application</w:t>
            </w:r>
          </w:p>
        </w:tc>
      </w:tr>
      <w:tr w:rsidTr="00A1258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57A">
            <w:pPr>
              <w:pStyle w:val="BodyText"/>
              <w:rPr>
                <w:lang w:val="en-NZ"/>
              </w:rPr>
            </w:pPr>
            <w:r w:rsidRPr="0007457A">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57A">
            <w:pPr>
              <w:pStyle w:val="BodyText"/>
              <w:rPr>
                <w:lang w:val="en-NZ"/>
              </w:rPr>
            </w:pPr>
            <w:r w:rsidRPr="0007457A">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7457A">
            <w:pPr>
              <w:pStyle w:val="BodyText"/>
              <w:rPr>
                <w:lang w:val="en-NZ"/>
              </w:rPr>
            </w:pPr>
            <w:r w:rsidRPr="0007457A">
              <w:t>Refer to the following example of application:</w:t>
            </w:r>
          </w:p>
        </w:tc>
      </w:tr>
      <w:tr w:rsidTr="00A1258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7457A">
            <w:pPr>
              <w:pStyle w:val="BodyText"/>
              <w:rPr>
                <w:lang w:val="en-NZ"/>
              </w:rPr>
            </w:pPr>
            <w:r w:rsidRPr="0007457A">
              <w:t>Completion of tasks within an acceptable timeframe and performance with some supervision.</w:t>
            </w:r>
          </w:p>
        </w:tc>
      </w:tr>
      <w:tr w:rsidTr="00A1258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57A">
            <w:pPr>
              <w:pStyle w:val="BodyText"/>
              <w:rPr>
                <w:lang w:val="en-NZ"/>
              </w:rPr>
            </w:pPr>
            <w:r w:rsidRPr="0007457A">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57A">
            <w:pPr>
              <w:pStyle w:val="BodyText"/>
              <w:rPr>
                <w:lang w:val="en-NZ"/>
              </w:rPr>
            </w:pPr>
            <w:r w:rsidRPr="0007457A">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7457A">
            <w:pPr>
              <w:pStyle w:val="BodyText"/>
              <w:rPr>
                <w:lang w:val="en-NZ"/>
              </w:rPr>
            </w:pPr>
            <w:r w:rsidRPr="0007457A">
              <w:t>Refer to the following example of application:</w:t>
            </w:r>
          </w:p>
        </w:tc>
      </w:tr>
      <w:tr w:rsidTr="00A1258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7457A">
            <w:pPr>
              <w:pStyle w:val="BodyText"/>
              <w:rPr>
                <w:lang w:val="en-NZ"/>
              </w:rPr>
            </w:pPr>
            <w:r w:rsidRPr="0007457A">
              <w:t>Comprehension and application of theoretical knowledge to well-developed skills.</w:t>
            </w:r>
          </w:p>
        </w:tc>
      </w:tr>
      <w:tr w:rsidTr="00A1258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57A">
            <w:pPr>
              <w:pStyle w:val="BodyText"/>
              <w:rPr>
                <w:lang w:val="en-NZ"/>
              </w:rPr>
            </w:pPr>
            <w:r w:rsidRPr="0007457A">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57A">
            <w:pPr>
              <w:pStyle w:val="BodyText"/>
              <w:rPr>
                <w:lang w:val="en-NZ"/>
              </w:rPr>
            </w:pPr>
            <w:r w:rsidRPr="0007457A">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7457A">
            <w:pPr>
              <w:pStyle w:val="BodyText"/>
              <w:rPr>
                <w:lang w:val="en-NZ"/>
              </w:rPr>
            </w:pPr>
            <w:r w:rsidRPr="0007457A">
              <w:t>Refer to the following example of application:</w:t>
            </w:r>
          </w:p>
        </w:tc>
      </w:tr>
      <w:tr w:rsidTr="00A1258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7457A">
            <w:pPr>
              <w:pStyle w:val="BodyText"/>
              <w:rPr>
                <w:lang w:val="en-NZ"/>
              </w:rPr>
            </w:pPr>
            <w:r w:rsidRPr="0007457A">
              <w:t>Focused on improvement in own and other team member's performance in the workplace.</w:t>
            </w:r>
          </w:p>
        </w:tc>
      </w:tr>
      <w:tr w:rsidTr="00A1258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57A">
            <w:pPr>
              <w:pStyle w:val="BodyText"/>
              <w:rPr>
                <w:lang w:val="en-NZ"/>
              </w:rPr>
            </w:pPr>
            <w:r w:rsidRPr="0007457A">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57A">
            <w:pPr>
              <w:pStyle w:val="BodyText"/>
              <w:rPr>
                <w:lang w:val="en-NZ"/>
              </w:rPr>
            </w:pPr>
            <w:r w:rsidRPr="0007457A">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7457A">
            <w:pPr>
              <w:pStyle w:val="BodyText"/>
              <w:rPr>
                <w:lang w:val="en-NZ"/>
              </w:rPr>
            </w:pPr>
            <w:r w:rsidRPr="0007457A">
              <w:t>Refer to the following example of application:</w:t>
            </w:r>
          </w:p>
        </w:tc>
      </w:tr>
      <w:tr w:rsidTr="00A1258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7457A">
            <w:pPr>
              <w:pStyle w:val="BodyText"/>
              <w:rPr>
                <w:lang w:val="en-NZ"/>
              </w:rPr>
            </w:pPr>
            <w:r w:rsidRPr="0007457A">
              <w:t>Working understanding of the processes and systems which apply to the workplace.</w:t>
            </w:r>
          </w:p>
        </w:tc>
      </w:tr>
      <w:tr w:rsidTr="00A1258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57A">
            <w:pPr>
              <w:pStyle w:val="BodyText"/>
              <w:rPr>
                <w:lang w:val="en-NZ"/>
              </w:rPr>
            </w:pPr>
            <w:r w:rsidRPr="0007457A">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57A">
            <w:pPr>
              <w:pStyle w:val="BodyText"/>
              <w:rPr>
                <w:lang w:val="en-NZ"/>
              </w:rPr>
            </w:pPr>
            <w:r w:rsidRPr="0007457A">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7457A">
            <w:pPr>
              <w:pStyle w:val="BodyText"/>
              <w:rPr>
                <w:lang w:val="en-NZ"/>
              </w:rPr>
            </w:pPr>
            <w:r w:rsidRPr="0007457A">
              <w:t>Refer to the following example of application:</w:t>
            </w:r>
          </w:p>
        </w:tc>
      </w:tr>
      <w:tr w:rsidTr="00A1258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7457A">
            <w:pPr>
              <w:pStyle w:val="BodyText"/>
              <w:rPr>
                <w:lang w:val="en-NZ"/>
              </w:rPr>
            </w:pPr>
            <w:r w:rsidRPr="0007457A">
              <w:t>Achieving work tasks in a timely manner and ensuring that the work team a</w:t>
            </w:r>
            <w:r w:rsidRPr="0007457A">
              <w:t>chieves its stated work goals.</w:t>
            </w:r>
          </w:p>
        </w:tc>
      </w:tr>
      <w:tr w:rsidTr="00A1258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57A">
            <w:pPr>
              <w:pStyle w:val="BodyText"/>
              <w:rPr>
                <w:lang w:val="en-NZ"/>
              </w:rPr>
            </w:pPr>
            <w:r w:rsidRPr="0007457A">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57A">
            <w:pPr>
              <w:pStyle w:val="BodyText"/>
              <w:rPr>
                <w:lang w:val="en-NZ"/>
              </w:rPr>
            </w:pPr>
            <w:r w:rsidRPr="0007457A">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7457A">
            <w:pPr>
              <w:pStyle w:val="BodyText"/>
              <w:rPr>
                <w:lang w:val="en-NZ"/>
              </w:rPr>
            </w:pPr>
            <w:r w:rsidRPr="0007457A">
              <w:t>Refer to the following example of application:</w:t>
            </w:r>
          </w:p>
        </w:tc>
      </w:tr>
      <w:tr w:rsidTr="00A1258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07457A" w:rsidP="0007457A">
            <w:pPr>
              <w:pStyle w:val="BodyText"/>
            </w:pPr>
            <w:r w:rsidRPr="0007457A">
              <w:t>Seek advice and apply solutions to problems relevant to the workplace environment.</w:t>
            </w:r>
          </w:p>
        </w:tc>
      </w:tr>
    </w:tbl>
    <w:p w:rsidR="00A12586" w:rsidP="0007457A">
      <w:pPr>
        <w:pStyle w:val="BodyText"/>
      </w:pPr>
    </w:p>
    <w:p w:rsidR="00A12586" w:rsidP="0007457A">
      <w:pPr>
        <w:pStyle w:val="BodyText"/>
      </w:pPr>
    </w:p>
    <w:p w:rsidR="00000000" w:rsidRPr="0007457A" w:rsidP="0007457A">
      <w:pPr>
        <w:pStyle w:val="Heading1"/>
      </w:pPr>
      <w:bookmarkStart w:id="11" w:name="O_256032"/>
      <w:bookmarkEnd w:id="11"/>
      <w:r w:rsidRPr="0007457A">
        <w:t>Range Statement</w:t>
      </w:r>
    </w:p>
    <w:tbl>
      <w:tblPr>
        <w:tblW w:w="0" w:type="auto"/>
        <w:tblLayout w:type="fixed"/>
        <w:tblCellMar>
          <w:left w:w="62" w:type="dxa"/>
          <w:right w:w="62" w:type="dxa"/>
        </w:tblCellMar>
        <w:tblLook w:val="0000"/>
      </w:tblPr>
      <w:tblGrid>
        <w:gridCol w:w="8460"/>
      </w:tblGrid>
      <w:tr w:rsidTr="00A1258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rPr>
                <w:rStyle w:val="SpecialBold"/>
              </w:rPr>
              <w:t>RANGE STATEMENT</w:t>
            </w:r>
          </w:p>
        </w:tc>
      </w:tr>
      <w:tr w:rsidTr="00A1258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rPr>
                <w:rStyle w:val="SpecialBold"/>
              </w:rPr>
              <w:t>7</w:t>
            </w:r>
            <w:r w:rsidRPr="0007457A">
              <w:t>) This relates to the unit of competency as a whole providing the range of contexts and conditions to which the Performance Criteria apply. It allows for different work environments and situations that will affect performa</w:t>
            </w:r>
            <w:r w:rsidRPr="0007457A">
              <w:t>nce.</w:t>
            </w:r>
          </w:p>
        </w:tc>
      </w:tr>
      <w:tr w:rsidTr="00A1258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7457A" w:rsidP="0007457A">
            <w:pPr>
              <w:pStyle w:val="BodyText"/>
            </w:pPr>
            <w:r w:rsidRPr="0007457A">
              <w:t>Systems, plant and equipment may include: electrical supply switchboard and electric motors; gas supply system; gas ignition system; oil supply system; oil ignition system; oil and gas burners, coal supply system; coal feeders; coal mills/pulverisers</w:t>
            </w:r>
            <w:r w:rsidRPr="0007457A">
              <w:t>; primary and secondary air supplies, pulverised fuel burners, fire protection systems, mill inerting systems; valves, actuators and dampers (electric, hydraulic, pneumatic and manual); fans, pumps and compressors, compressed air systems, pulse air systems</w:t>
            </w:r>
            <w:r w:rsidRPr="0007457A">
              <w:t>; ignition and cooling air systems; filters, strainers, pressure control devices; auxiliary steam systems, supervisory, protection, alarm and control equipment; burner management and fuel safety systems.</w:t>
            </w:r>
          </w:p>
          <w:p w:rsidR="00000000" w:rsidRPr="0007457A" w:rsidP="0007457A">
            <w:pPr>
              <w:pStyle w:val="BodyText"/>
            </w:pPr>
            <w:r w:rsidRPr="0007457A">
              <w:t>Safety standards may include relevant sections of Oc</w:t>
            </w:r>
            <w:r w:rsidRPr="0007457A">
              <w:t>cupational Health and Safety legislation, enterprise safety rules, relevant state and federal legislation, national standards for plant and environmental legislation.</w:t>
            </w:r>
          </w:p>
          <w:p w:rsidR="00000000" w:rsidRPr="0007457A" w:rsidP="0007457A">
            <w:pPr>
              <w:pStyle w:val="BodyText"/>
            </w:pPr>
            <w:r w:rsidRPr="0007457A">
              <w:t>Information and documentation sources may include verbal or written communications; enter</w:t>
            </w:r>
            <w:r w:rsidRPr="0007457A">
              <w:t>prise safety rules documentation; enterprise operating instructions; dedicated computer equipment; enterprise/site standing and operating instructions; enterprise log books; manufacturer operation and maintenance manuals; and equipment and alarm manuals.</w:t>
            </w:r>
          </w:p>
          <w:p w:rsidR="00000000" w:rsidRPr="0007457A" w:rsidP="0007457A">
            <w:pPr>
              <w:pStyle w:val="BodyText"/>
            </w:pPr>
            <w:r w:rsidRPr="0007457A">
              <w:t>T</w:t>
            </w:r>
            <w:r w:rsidRPr="0007457A">
              <w:t>echnical and operational indicators may include stimuli (audio, smell, touch, visual), local indicators and recorders, computers and alarms (visible and or audible).</w:t>
            </w:r>
          </w:p>
          <w:p w:rsidR="00000000" w:rsidRPr="0007457A" w:rsidP="0007457A">
            <w:pPr>
              <w:pStyle w:val="BodyText"/>
            </w:pPr>
            <w:r w:rsidRPr="0007457A">
              <w:t xml:space="preserve">Communications may be by means of telephone, two way radio, pager, public address system, </w:t>
            </w:r>
            <w:r w:rsidRPr="0007457A">
              <w:t>computer (electronic mail) and operating log (written or verbal).</w:t>
            </w:r>
          </w:p>
          <w:p w:rsidR="00000000" w:rsidRPr="0007457A" w:rsidP="0007457A">
            <w:pPr>
              <w:pStyle w:val="BodyText"/>
            </w:pPr>
            <w:r w:rsidRPr="0007457A">
              <w:t>Tests may include post maintenance operating tests and stand-by plant tests.</w:t>
            </w:r>
          </w:p>
          <w:p w:rsidR="00000000" w:rsidRPr="0007457A" w:rsidP="0007457A">
            <w:pPr>
              <w:pStyle w:val="BodyText"/>
            </w:pPr>
            <w:r w:rsidRPr="0007457A">
              <w:t>Appropriate personnel to consult, give or receive direction may include supervisor/team leader or equivalent, tec</w:t>
            </w:r>
            <w:r w:rsidRPr="0007457A">
              <w:t>hnical and engineering officers or equivalent, power system control personnel or equivalent; contractor and specialist personnel, maintenance staff and power plant operations personnel.</w:t>
            </w:r>
          </w:p>
          <w:p w:rsidR="00000000" w:rsidRPr="0007457A" w:rsidP="0007457A">
            <w:pPr>
              <w:pStyle w:val="BodyText"/>
            </w:pPr>
            <w:r w:rsidRPr="0007457A">
              <w:t>Test, fault finding and operating tools may include gas detector, powe</w:t>
            </w:r>
            <w:r w:rsidRPr="0007457A">
              <w:t>r or hand tools and control system equipment.</w:t>
            </w:r>
          </w:p>
          <w:p w:rsidR="00000000" w:rsidRPr="0007457A" w:rsidP="0007457A">
            <w:pPr>
              <w:pStyle w:val="BodyText"/>
            </w:pPr>
            <w:r w:rsidRPr="0007457A">
              <w:t>Operating environment may be during inclement or otherwise harsh weather conditions, in wet/noisy/dusty/hot areas, during night periods and during continuous operation.</w:t>
            </w:r>
          </w:p>
          <w:p w:rsidR="00000000" w:rsidRPr="0007457A" w:rsidP="0007457A">
            <w:pPr>
              <w:pStyle w:val="BodyText"/>
            </w:pPr>
            <w:r w:rsidRPr="0007457A">
              <w:t>Faults and abnormal operating conditions may include motor/pump/ actuator/valve/dampers failure/malfunctions, control equipment failure/ malfunctions, loss of electrical supply to plant and equipment, excessive vibration of pumps/motors, high filter/strain</w:t>
            </w:r>
            <w:r w:rsidRPr="0007457A">
              <w:t>er differentials, delivery system blockages, fuel preparation and delivery system fires, pipe fracture and leaks.</w:t>
            </w:r>
          </w:p>
          <w:p w:rsidR="00000000" w:rsidRPr="0007457A" w:rsidP="0007457A">
            <w:pPr>
              <w:pStyle w:val="BodyText"/>
            </w:pPr>
            <w:r w:rsidRPr="0007457A">
              <w:t>Generic terms are used throughout this Training Package for vocational standard shall be regarded as part of the Range Statement in which comp</w:t>
            </w:r>
            <w:r w:rsidRPr="0007457A">
              <w:t>etency is demonstrated. The definition of these and other terms are given in Volume 2, Part 1.</w:t>
            </w:r>
          </w:p>
        </w:tc>
      </w:tr>
    </w:tbl>
    <w:p w:rsidR="00A12586" w:rsidP="0007457A">
      <w:pPr>
        <w:pStyle w:val="BodyText"/>
      </w:pPr>
    </w:p>
    <w:p w:rsidR="00A12586" w:rsidP="0007457A">
      <w:pPr>
        <w:pStyle w:val="BodyText"/>
      </w:pPr>
    </w:p>
    <w:p w:rsidR="00000000" w:rsidRPr="0007457A" w:rsidP="0007457A">
      <w:pPr>
        <w:pStyle w:val="Heading1"/>
      </w:pPr>
      <w:bookmarkStart w:id="12" w:name="O_297045"/>
      <w:bookmarkEnd w:id="12"/>
      <w:r w:rsidRPr="0007457A">
        <w:t>Unit Sector(s)</w:t>
      </w:r>
    </w:p>
    <w:p w:rsidR="00000000" w:rsidRPr="0007457A" w:rsidP="0007457A">
      <w:pPr>
        <w:pStyle w:val="BodyText"/>
      </w:pPr>
      <w:r w:rsidRPr="0007457A">
        <w:t>Not Applicable</w:t>
      </w:r>
    </w:p>
    <w:p w:rsidR="00000000" w:rsidRPr="0007457A" w:rsidP="0007457A">
      <w:pPr>
        <w:pStyle w:val="AllowPageBreak"/>
      </w:pPr>
    </w:p>
    <w:p w:rsidR="00000000" w:rsidRPr="0007457A" w:rsidP="0007457A">
      <w:pPr>
        <w:pStyle w:val="Heading1"/>
      </w:pPr>
      <w:bookmarkStart w:id="13" w:name="O_230729"/>
      <w:bookmarkEnd w:id="13"/>
      <w:r w:rsidRPr="0007457A">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A1258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7457A" w:rsidP="0007457A">
            <w:pPr>
              <w:pStyle w:val="BodyText"/>
            </w:pPr>
            <w:r w:rsidRPr="0007457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07457A" w:rsidP="0007457A">
            <w:pPr>
              <w:pStyle w:val="BodyText"/>
            </w:pPr>
            <w:r w:rsidRPr="0007457A">
              <w:rPr>
                <w:rStyle w:val="SpecialBold"/>
              </w:rPr>
              <w:t>2</w:t>
            </w:r>
            <w:r w:rsidRPr="0007457A">
              <w:t>.</w:t>
            </w:r>
            <w:r w:rsidRPr="0007457A">
              <w:rPr>
                <w:rStyle w:val="SpecialBold"/>
              </w:rPr>
              <w:t>2</w:t>
            </w:r>
            <w:r w:rsidRPr="0007457A">
              <w:t xml:space="preserve">) </w:t>
            </w:r>
          </w:p>
          <w:p w:rsidR="00000000" w:rsidP="0007457A">
            <w:pPr>
              <w:pStyle w:val="BodyText"/>
              <w:rPr>
                <w:lang w:val="en-NZ"/>
              </w:rPr>
            </w:pPr>
            <w:r w:rsidRPr="0007457A">
              <w:t>Participants are best equipped</w:t>
            </w:r>
            <w:r w:rsidRPr="0007457A">
              <w:t xml:space="preserve"> to achieve this unit if they have reading, writing and maths skills indicated by the following scales. Description of each scale is given in Volume 2, Part 3 Literacy and Numeracy</w:t>
            </w:r>
          </w:p>
        </w:tc>
      </w:tr>
      <w:tr w:rsidTr="00A1258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t>Reading</w:t>
            </w:r>
          </w:p>
        </w:tc>
        <w:tc>
          <w:tcPr>
            <w:tcW w:w="805" w:type="dxa"/>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t>3</w:t>
            </w:r>
          </w:p>
        </w:tc>
        <w:tc>
          <w:tcPr>
            <w:tcW w:w="1184" w:type="dxa"/>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t>Writing</w:t>
            </w:r>
          </w:p>
        </w:tc>
        <w:tc>
          <w:tcPr>
            <w:tcW w:w="805" w:type="dxa"/>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t>3</w:t>
            </w:r>
          </w:p>
        </w:tc>
        <w:tc>
          <w:tcPr>
            <w:tcW w:w="1172" w:type="dxa"/>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t>Maths</w:t>
            </w:r>
          </w:p>
        </w:tc>
        <w:tc>
          <w:tcPr>
            <w:tcW w:w="805" w:type="dxa"/>
            <w:tcBorders>
              <w:top w:val="nil"/>
              <w:left w:val="nil"/>
              <w:bottom w:val="nil"/>
              <w:right w:val="nil"/>
            </w:tcBorders>
            <w:tcMar>
              <w:top w:w="0" w:type="dxa"/>
              <w:left w:w="62" w:type="dxa"/>
              <w:bottom w:w="0" w:type="dxa"/>
              <w:right w:w="62" w:type="dxa"/>
            </w:tcMar>
          </w:tcPr>
          <w:p w:rsidR="00000000" w:rsidRPr="0007457A" w:rsidP="0007457A">
            <w:pPr>
              <w:pStyle w:val="BodyText"/>
            </w:pPr>
            <w:r w:rsidRPr="0007457A">
              <w:t>3</w:t>
            </w:r>
          </w:p>
        </w:tc>
      </w:tr>
    </w:tbl>
    <w:p w:rsidR="00A12586" w:rsidP="0007457A">
      <w:pPr>
        <w:pStyle w:val="BodyText"/>
      </w:pPr>
    </w:p>
    <w:p w:rsidR="00A12586" w:rsidP="0007457A">
      <w:pPr>
        <w:pStyle w:val="BodyText"/>
      </w:pPr>
    </w:p>
    <w:p w:rsidR="00000000" w:rsidRPr="0007457A" w:rsidP="0007457A">
      <w:pPr>
        <w:pStyle w:val="Heading1"/>
      </w:pPr>
      <w:bookmarkStart w:id="14" w:name="O_230731"/>
      <w:bookmarkEnd w:id="14"/>
      <w:r w:rsidRPr="0007457A">
        <w:t>Competency Field</w:t>
      </w:r>
    </w:p>
    <w:tbl>
      <w:tblPr>
        <w:tblW w:w="0" w:type="auto"/>
        <w:tblLayout w:type="fixed"/>
        <w:tblCellMar>
          <w:left w:w="62" w:type="dxa"/>
          <w:right w:w="62" w:type="dxa"/>
        </w:tblCellMar>
        <w:tblLook w:val="0000"/>
      </w:tblPr>
      <w:tblGrid>
        <w:gridCol w:w="2700"/>
        <w:gridCol w:w="5760"/>
      </w:tblGrid>
      <w:tr w:rsidTr="00A1258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7457A" w:rsidP="0007457A">
            <w:pPr>
              <w:pStyle w:val="BodyText"/>
            </w:pPr>
            <w:r w:rsidRPr="0007457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7457A">
            <w:pPr>
              <w:pStyle w:val="BodyText"/>
              <w:rPr>
                <w:lang w:val="en-NZ"/>
              </w:rPr>
            </w:pPr>
            <w:r w:rsidRPr="0007457A">
              <w:rPr>
                <w:rStyle w:val="SpecialBold"/>
              </w:rPr>
              <w:t>4</w:t>
            </w:r>
            <w:r w:rsidRPr="0007457A">
              <w:t xml:space="preserve">) </w:t>
            </w:r>
          </w:p>
        </w:tc>
      </w:tr>
      <w:tr w:rsidTr="00A1258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7457A" w:rsidP="0007457A">
            <w:pPr>
              <w:pStyle w:val="BodyText"/>
            </w:pPr>
            <w:r w:rsidRPr="0007457A">
              <w:t>Operations.</w:t>
            </w:r>
          </w:p>
        </w:tc>
      </w:tr>
    </w:tbl>
    <w:p w:rsidR="00A12586" w:rsidP="0007457A">
      <w:pPr>
        <w:pStyle w:val="BodyText"/>
      </w:pPr>
    </w:p>
    <w:p w:rsidR="00A12586" w:rsidP="0007457A">
      <w:pPr>
        <w:pStyle w:val="BodyText"/>
      </w:pPr>
    </w:p>
    <w:p w:rsidR="00000000" w:rsidRPr="0007457A" w:rsidP="0007457A"/>
    <w:sectPr w:rsidSect="000745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5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2586" w:rsidP="00A125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5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586" w:rsidP="000745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12586" w:rsidP="0007457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12586" w:rsidP="0007457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5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2586" w:rsidP="00A1258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5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586" w:rsidP="0007457A">
    <w:pPr>
      <w:pStyle w:val="Header"/>
      <w:framePr w:wrap="around"/>
    </w:pPr>
    <w:r>
      <w:fldChar w:fldCharType="begin"/>
    </w:r>
    <w:r>
      <w:instrText xml:space="preserve"> TITLE   \* MERGEFORMAT </w:instrText>
    </w:r>
    <w:r>
      <w:fldChar w:fldCharType="separate"/>
    </w:r>
    <w:r>
      <w:t>UEPOPS354A Operate and Monitor Dual Fuel Firing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12586" w:rsidP="0007457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36C0D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FC4A2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457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7457A"/>
    <w:pPr>
      <w:spacing w:before="360" w:after="60"/>
      <w:outlineLvl w:val="0"/>
    </w:pPr>
    <w:rPr>
      <w:sz w:val="32"/>
    </w:rPr>
  </w:style>
  <w:style w:type="paragraph" w:styleId="Heading2">
    <w:name w:val="heading 2"/>
    <w:basedOn w:val="HeadingBase"/>
    <w:next w:val="BodyText"/>
    <w:link w:val="Heading2Char"/>
    <w:qFormat/>
    <w:rsid w:val="0007457A"/>
    <w:pPr>
      <w:keepLines/>
      <w:spacing w:before="240" w:after="120"/>
      <w:outlineLvl w:val="1"/>
    </w:pPr>
    <w:rPr>
      <w:sz w:val="28"/>
      <w:szCs w:val="40"/>
    </w:rPr>
  </w:style>
  <w:style w:type="paragraph" w:styleId="Heading3">
    <w:name w:val="heading 3"/>
    <w:basedOn w:val="HeadingBase"/>
    <w:next w:val="BodyText"/>
    <w:link w:val="Heading3Char"/>
    <w:qFormat/>
    <w:rsid w:val="0007457A"/>
    <w:pPr>
      <w:spacing w:before="180" w:after="120"/>
      <w:outlineLvl w:val="2"/>
    </w:pPr>
    <w:rPr>
      <w:spacing w:val="-10"/>
      <w:kern w:val="32"/>
    </w:rPr>
  </w:style>
  <w:style w:type="paragraph" w:styleId="Heading4">
    <w:name w:val="heading 4"/>
    <w:basedOn w:val="HeadingBase"/>
    <w:next w:val="BodyText"/>
    <w:link w:val="Heading4Char"/>
    <w:qFormat/>
    <w:rsid w:val="0007457A"/>
    <w:pPr>
      <w:spacing w:before="160" w:after="120"/>
      <w:outlineLvl w:val="3"/>
    </w:pPr>
    <w:rPr>
      <w:sz w:val="22"/>
    </w:rPr>
  </w:style>
  <w:style w:type="paragraph" w:styleId="Heading5">
    <w:name w:val="heading 5"/>
    <w:basedOn w:val="HeadingBase"/>
    <w:next w:val="Normal"/>
    <w:link w:val="Heading5Char"/>
    <w:qFormat/>
    <w:rsid w:val="0007457A"/>
    <w:pPr>
      <w:spacing w:before="80"/>
      <w:outlineLvl w:val="4"/>
    </w:pPr>
    <w:rPr>
      <w:color w:val="918585"/>
      <w:sz w:val="20"/>
    </w:rPr>
  </w:style>
  <w:style w:type="paragraph" w:styleId="Heading6">
    <w:name w:val="heading 6"/>
    <w:basedOn w:val="HeadingBase"/>
    <w:next w:val="Normal"/>
    <w:link w:val="Heading6Char"/>
    <w:qFormat/>
    <w:rsid w:val="0007457A"/>
    <w:pPr>
      <w:spacing w:before="60"/>
      <w:outlineLvl w:val="5"/>
    </w:pPr>
    <w:rPr>
      <w:color w:val="918585"/>
      <w:sz w:val="20"/>
    </w:rPr>
  </w:style>
  <w:style w:type="paragraph" w:styleId="Heading7">
    <w:name w:val="heading 7"/>
    <w:basedOn w:val="Normal"/>
    <w:next w:val="Normal"/>
    <w:link w:val="Heading7Char"/>
    <w:qFormat/>
    <w:rsid w:val="0007457A"/>
    <w:pPr>
      <w:ind w:left="720"/>
      <w:outlineLvl w:val="6"/>
    </w:pPr>
    <w:rPr>
      <w:i/>
    </w:rPr>
  </w:style>
  <w:style w:type="paragraph" w:styleId="Heading8">
    <w:name w:val="heading 8"/>
    <w:basedOn w:val="Normal"/>
    <w:next w:val="Normal"/>
    <w:link w:val="Heading8Char"/>
    <w:qFormat/>
    <w:rsid w:val="0007457A"/>
    <w:pPr>
      <w:ind w:left="720"/>
      <w:outlineLvl w:val="7"/>
    </w:pPr>
    <w:rPr>
      <w:i/>
    </w:rPr>
  </w:style>
  <w:style w:type="paragraph" w:styleId="Heading9">
    <w:name w:val="heading 9"/>
    <w:basedOn w:val="Normal"/>
    <w:next w:val="Normal"/>
    <w:link w:val="Heading9Char"/>
    <w:qFormat/>
    <w:rsid w:val="0007457A"/>
    <w:pPr>
      <w:ind w:left="720"/>
      <w:outlineLvl w:val="8"/>
    </w:pPr>
    <w:rPr>
      <w:i/>
    </w:rPr>
  </w:style>
  <w:style w:type="character" w:default="1" w:styleId="DefaultParagraphFont">
    <w:name w:val="Default Paragraph Font"/>
    <w:uiPriority w:val="1"/>
    <w:unhideWhenUsed/>
    <w:rsid w:val="000745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457A"/>
  </w:style>
  <w:style w:type="character" w:customStyle="1" w:styleId="Heading1Char">
    <w:name w:val="Heading 1 Char"/>
    <w:basedOn w:val="DefaultParagraphFont"/>
    <w:link w:val="Heading1"/>
    <w:rsid w:val="0007457A"/>
    <w:rPr>
      <w:rFonts w:ascii="Times New Roman" w:eastAsia="Times New Roman" w:hAnsi="Times New Roman" w:cs="Times New Roman"/>
      <w:b/>
      <w:sz w:val="32"/>
      <w:szCs w:val="20"/>
      <w:lang w:eastAsia="en-US"/>
    </w:rPr>
  </w:style>
  <w:style w:type="paragraph" w:styleId="BodyText">
    <w:name w:val="Body Text"/>
    <w:basedOn w:val="Normal"/>
    <w:link w:val="BodyTextChar"/>
    <w:rsid w:val="000745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457A"/>
    <w:rPr>
      <w:rFonts w:ascii="Times New Roman" w:eastAsia="Times New Roman" w:hAnsi="Times New Roman" w:cs="Times New Roman"/>
      <w:sz w:val="24"/>
      <w:lang w:val="en-US" w:eastAsia="en-US"/>
    </w:rPr>
  </w:style>
  <w:style w:type="paragraph" w:styleId="Footer">
    <w:name w:val="footer"/>
    <w:basedOn w:val="Normal"/>
    <w:link w:val="FooterChar"/>
    <w:rsid w:val="000745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457A"/>
    <w:rPr>
      <w:rFonts w:ascii="Times New Roman" w:eastAsia="Times New Roman" w:hAnsi="Times New Roman" w:cs="Times New Roman"/>
      <w:sz w:val="16"/>
      <w:lang w:val="en-US" w:eastAsia="en-US"/>
    </w:rPr>
  </w:style>
  <w:style w:type="paragraph" w:styleId="ListBullet">
    <w:name w:val="List Bullet"/>
    <w:basedOn w:val="List"/>
    <w:rsid w:val="0007457A"/>
    <w:pPr>
      <w:numPr>
        <w:numId w:val="13"/>
      </w:numPr>
      <w:tabs>
        <w:tab w:val="clear" w:pos="340"/>
      </w:tabs>
      <w:spacing w:before="40" w:after="40"/>
    </w:pPr>
  </w:style>
  <w:style w:type="character" w:customStyle="1" w:styleId="SpecialBold">
    <w:name w:val="Special Bold"/>
    <w:basedOn w:val="DefaultParagraphFont"/>
    <w:rsid w:val="0007457A"/>
    <w:rPr>
      <w:b/>
      <w:spacing w:val="0"/>
    </w:rPr>
  </w:style>
  <w:style w:type="paragraph" w:styleId="Header">
    <w:name w:val="header"/>
    <w:basedOn w:val="Normal"/>
    <w:link w:val="HeaderChar"/>
    <w:rsid w:val="000745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457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7457A"/>
    <w:pPr>
      <w:spacing w:before="240" w:after="120"/>
      <w:outlineLvl w:val="0"/>
    </w:pPr>
    <w:rPr>
      <w:rFonts w:ascii="Times New Roman" w:hAnsi="Times New Roman"/>
      <w:b/>
      <w:sz w:val="28"/>
    </w:rPr>
  </w:style>
  <w:style w:type="paragraph" w:customStyle="1" w:styleId="AllowPageBreak">
    <w:name w:val="AllowPageBreak"/>
    <w:rsid w:val="0007457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7457A"/>
    <w:pPr>
      <w:numPr>
        <w:numId w:val="2"/>
      </w:numPr>
      <w:tabs>
        <w:tab w:val="clear" w:pos="1021"/>
      </w:tabs>
      <w:ind w:left="1037" w:hanging="357"/>
    </w:pPr>
  </w:style>
  <w:style w:type="character" w:customStyle="1" w:styleId="Heading2Char">
    <w:name w:val="Heading 2 Char"/>
    <w:basedOn w:val="DefaultParagraphFont"/>
    <w:link w:val="Heading2"/>
    <w:rsid w:val="000745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45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45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45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45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457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7457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7457A"/>
    <w:rPr>
      <w:rFonts w:ascii="Courier New" w:eastAsia="Times New Roman" w:hAnsi="Courier New" w:cs="Times New Roman"/>
      <w:i/>
      <w:szCs w:val="20"/>
      <w:lang w:val="en-US" w:eastAsia="en-US"/>
    </w:rPr>
  </w:style>
  <w:style w:type="paragraph" w:customStyle="1" w:styleId="HeadingBase">
    <w:name w:val="Heading Base"/>
    <w:rsid w:val="000745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457A"/>
    <w:pPr>
      <w:tabs>
        <w:tab w:val="right" w:leader="dot" w:pos="9072"/>
      </w:tabs>
      <w:ind w:left="567"/>
    </w:pPr>
    <w:rPr>
      <w:szCs w:val="22"/>
    </w:rPr>
  </w:style>
  <w:style w:type="paragraph" w:customStyle="1" w:styleId="TOCBase">
    <w:name w:val="TOC Base"/>
    <w:rsid w:val="000745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457A"/>
    <w:pPr>
      <w:tabs>
        <w:tab w:val="right" w:leader="dot" w:pos="9072"/>
      </w:tabs>
      <w:spacing w:before="40" w:after="40"/>
      <w:ind w:left="284"/>
    </w:pPr>
    <w:rPr>
      <w:rFonts w:ascii="Times New Roman" w:hAnsi="Times New Roman"/>
    </w:rPr>
  </w:style>
  <w:style w:type="paragraph" w:styleId="TOC1">
    <w:name w:val="toc 1"/>
    <w:basedOn w:val="TOCBase"/>
    <w:next w:val="Normal"/>
    <w:rsid w:val="0007457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457A"/>
    <w:pPr>
      <w:spacing w:before="5040"/>
      <w:jc w:val="center"/>
    </w:pPr>
    <w:rPr>
      <w:sz w:val="48"/>
      <w:szCs w:val="72"/>
      <w:lang w:val="en-US"/>
    </w:rPr>
  </w:style>
  <w:style w:type="character" w:customStyle="1" w:styleId="TitleChar">
    <w:name w:val="Title Char"/>
    <w:basedOn w:val="DefaultParagraphFont"/>
    <w:link w:val="Title"/>
    <w:rsid w:val="000745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457A"/>
    <w:pPr>
      <w:tabs>
        <w:tab w:val="left" w:pos="3600"/>
        <w:tab w:val="left" w:pos="3958"/>
      </w:tabs>
    </w:pPr>
  </w:style>
  <w:style w:type="paragraph" w:styleId="List">
    <w:name w:val="List"/>
    <w:basedOn w:val="BodyText"/>
    <w:next w:val="BodyText"/>
    <w:rsid w:val="0007457A"/>
    <w:pPr>
      <w:tabs>
        <w:tab w:val="left" w:pos="340"/>
      </w:tabs>
      <w:spacing w:before="60" w:after="60"/>
      <w:ind w:left="340" w:hanging="340"/>
    </w:pPr>
  </w:style>
  <w:style w:type="paragraph" w:customStyle="1" w:styleId="Note">
    <w:name w:val="Note"/>
    <w:basedOn w:val="BodyText"/>
    <w:rsid w:val="000745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457A"/>
    <w:pPr>
      <w:framePr w:wrap="auto" w:hAnchor="text" w:y="6049"/>
    </w:pPr>
    <w:rPr>
      <w:color w:val="000000"/>
      <w:sz w:val="40"/>
    </w:rPr>
  </w:style>
  <w:style w:type="paragraph" w:customStyle="1" w:styleId="TOCTitle">
    <w:name w:val="TOCTitle"/>
    <w:basedOn w:val="Heading1"/>
    <w:rsid w:val="0007457A"/>
    <w:pPr>
      <w:spacing w:after="240"/>
      <w:jc w:val="center"/>
      <w:outlineLvl w:val="9"/>
    </w:pPr>
    <w:rPr>
      <w:caps/>
    </w:rPr>
  </w:style>
  <w:style w:type="paragraph" w:customStyle="1" w:styleId="Version">
    <w:name w:val="Version"/>
    <w:rsid w:val="000745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457A"/>
    <w:pPr>
      <w:numPr>
        <w:numId w:val="14"/>
      </w:numPr>
      <w:tabs>
        <w:tab w:val="clear" w:pos="680"/>
      </w:tabs>
    </w:pPr>
  </w:style>
  <w:style w:type="paragraph" w:styleId="Index1">
    <w:name w:val="index 1"/>
    <w:basedOn w:val="Normal"/>
    <w:next w:val="Normal"/>
    <w:semiHidden/>
    <w:rsid w:val="0007457A"/>
    <w:pPr>
      <w:keepNext w:val="0"/>
      <w:tabs>
        <w:tab w:val="right" w:pos="4176"/>
      </w:tabs>
      <w:ind w:left="198" w:hanging="198"/>
    </w:pPr>
    <w:rPr>
      <w:rFonts w:ascii="Garamond" w:hAnsi="Garamond"/>
    </w:rPr>
  </w:style>
  <w:style w:type="paragraph" w:styleId="IndexHeading">
    <w:name w:val="index heading"/>
    <w:basedOn w:val="Normal"/>
    <w:next w:val="Index1"/>
    <w:semiHidden/>
    <w:rsid w:val="0007457A"/>
    <w:pPr>
      <w:spacing w:before="120" w:after="120"/>
    </w:pPr>
    <w:rPr>
      <w:rFonts w:ascii="Arial" w:hAnsi="Arial"/>
      <w:b/>
      <w:color w:val="918585"/>
      <w:sz w:val="24"/>
    </w:rPr>
  </w:style>
  <w:style w:type="paragraph" w:customStyle="1" w:styleId="Chapter">
    <w:name w:val="Chapter"/>
    <w:basedOn w:val="Normal"/>
    <w:rsid w:val="0007457A"/>
    <w:pPr>
      <w:spacing w:before="240"/>
    </w:pPr>
    <w:rPr>
      <w:rFonts w:ascii="Times New Roman" w:hAnsi="Times New Roman"/>
      <w:smallCaps/>
      <w:spacing w:val="80"/>
      <w:sz w:val="28"/>
    </w:rPr>
  </w:style>
  <w:style w:type="paragraph" w:customStyle="1" w:styleId="InChapter">
    <w:name w:val="InChapter"/>
    <w:basedOn w:val="Heading3"/>
    <w:rsid w:val="0007457A"/>
    <w:pPr>
      <w:spacing w:after="240"/>
      <w:outlineLvl w:val="9"/>
    </w:pPr>
    <w:rPr>
      <w:noProof/>
    </w:rPr>
  </w:style>
  <w:style w:type="paragraph" w:styleId="Index2">
    <w:name w:val="index 2"/>
    <w:basedOn w:val="Normal"/>
    <w:next w:val="Normal"/>
    <w:semiHidden/>
    <w:rsid w:val="0007457A"/>
    <w:pPr>
      <w:tabs>
        <w:tab w:val="right" w:pos="4176"/>
      </w:tabs>
      <w:ind w:left="568" w:hanging="284"/>
    </w:pPr>
    <w:rPr>
      <w:rFonts w:ascii="Garamond" w:hAnsi="Garamond"/>
    </w:rPr>
  </w:style>
  <w:style w:type="paragraph" w:customStyle="1" w:styleId="Byline">
    <w:name w:val="Byline"/>
    <w:rsid w:val="000745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457A"/>
    <w:pPr>
      <w:tabs>
        <w:tab w:val="clear" w:pos="3600"/>
        <w:tab w:val="clear" w:pos="3958"/>
      </w:tabs>
      <w:jc w:val="right"/>
    </w:pPr>
  </w:style>
  <w:style w:type="character" w:styleId="Emphasis">
    <w:name w:val="Emphasis"/>
    <w:basedOn w:val="DefaultParagraphFont"/>
    <w:qFormat/>
    <w:rsid w:val="0007457A"/>
    <w:rPr>
      <w:i/>
    </w:rPr>
  </w:style>
  <w:style w:type="paragraph" w:styleId="Caption">
    <w:name w:val="caption"/>
    <w:basedOn w:val="BodyText"/>
    <w:next w:val="Normal"/>
    <w:qFormat/>
    <w:rsid w:val="0007457A"/>
    <w:pPr>
      <w:framePr w:w="2268" w:hSpace="181" w:vSpace="181" w:wrap="around" w:vAnchor="text" w:hAnchor="page" w:x="1135" w:y="285" w:anchorLock="1"/>
    </w:pPr>
    <w:rPr>
      <w:i/>
    </w:rPr>
  </w:style>
  <w:style w:type="paragraph" w:customStyle="1" w:styleId="MiniTOCTitle">
    <w:name w:val="MiniTOCTitle"/>
    <w:basedOn w:val="Heading4"/>
    <w:rsid w:val="0007457A"/>
    <w:pPr>
      <w:spacing w:before="240"/>
      <w:outlineLvl w:val="9"/>
    </w:pPr>
    <w:rPr>
      <w:noProof/>
      <w:sz w:val="24"/>
    </w:rPr>
  </w:style>
  <w:style w:type="paragraph" w:customStyle="1" w:styleId="MiniTOCItem">
    <w:name w:val="MiniTOCItem"/>
    <w:basedOn w:val="ListBullet"/>
    <w:rsid w:val="0007457A"/>
    <w:pPr>
      <w:numPr>
        <w:numId w:val="0"/>
      </w:numPr>
      <w:tabs>
        <w:tab w:val="right" w:leader="dot" w:pos="6521"/>
      </w:tabs>
      <w:spacing w:before="0" w:after="0"/>
    </w:pPr>
  </w:style>
  <w:style w:type="paragraph" w:customStyle="1" w:styleId="TOFTitle">
    <w:name w:val="TOFTitle"/>
    <w:basedOn w:val="TOCTitle"/>
    <w:rsid w:val="0007457A"/>
  </w:style>
  <w:style w:type="paragraph" w:styleId="TableofFigures">
    <w:name w:val="table of figures"/>
    <w:basedOn w:val="Normal"/>
    <w:next w:val="Normal"/>
    <w:semiHidden/>
    <w:rsid w:val="0007457A"/>
    <w:pPr>
      <w:tabs>
        <w:tab w:val="right" w:leader="dot" w:pos="9072"/>
      </w:tabs>
      <w:ind w:left="970" w:hanging="403"/>
    </w:pPr>
    <w:rPr>
      <w:rFonts w:ascii="Times New Roman" w:hAnsi="Times New Roman"/>
      <w:b/>
    </w:rPr>
  </w:style>
  <w:style w:type="paragraph" w:styleId="ListNumber">
    <w:name w:val="List Number"/>
    <w:basedOn w:val="List"/>
    <w:rsid w:val="0007457A"/>
    <w:pPr>
      <w:numPr>
        <w:numId w:val="11"/>
      </w:numPr>
    </w:pPr>
  </w:style>
  <w:style w:type="character" w:customStyle="1" w:styleId="WingdingSymbols">
    <w:name w:val="Wingding Symbols"/>
    <w:rsid w:val="0007457A"/>
    <w:rPr>
      <w:rFonts w:ascii="Wingdings" w:hAnsi="Wingdings"/>
    </w:rPr>
  </w:style>
  <w:style w:type="paragraph" w:customStyle="1" w:styleId="TableHeading">
    <w:name w:val="Table Heading"/>
    <w:basedOn w:val="HeadingBase"/>
    <w:rsid w:val="0007457A"/>
    <w:pPr>
      <w:keepLines/>
      <w:pBdr>
        <w:bottom w:val="single" w:sz="6" w:space="1" w:color="918585"/>
      </w:pBdr>
      <w:spacing w:before="240"/>
    </w:pPr>
  </w:style>
  <w:style w:type="character" w:customStyle="1" w:styleId="HotSpot">
    <w:name w:val="HotSpot"/>
    <w:rsid w:val="0007457A"/>
    <w:rPr>
      <w:color w:val="0033CC"/>
      <w:u w:val="none"/>
    </w:rPr>
  </w:style>
  <w:style w:type="paragraph" w:customStyle="1" w:styleId="BodyTextRight">
    <w:name w:val="Body Text Right"/>
    <w:basedOn w:val="BodyText"/>
    <w:rsid w:val="0007457A"/>
    <w:pPr>
      <w:spacing w:before="0" w:after="0"/>
      <w:jc w:val="right"/>
    </w:pPr>
  </w:style>
  <w:style w:type="paragraph" w:styleId="Index3">
    <w:name w:val="index 3"/>
    <w:basedOn w:val="ListNumber2"/>
    <w:next w:val="Normal"/>
    <w:semiHidden/>
    <w:rsid w:val="0007457A"/>
    <w:pPr>
      <w:numPr>
        <w:numId w:val="0"/>
      </w:numPr>
      <w:tabs>
        <w:tab w:val="right" w:leader="dot" w:pos="4176"/>
      </w:tabs>
    </w:pPr>
  </w:style>
  <w:style w:type="paragraph" w:styleId="ListNumber2">
    <w:name w:val="List Number 2"/>
    <w:basedOn w:val="List2"/>
    <w:rsid w:val="0007457A"/>
    <w:pPr>
      <w:numPr>
        <w:numId w:val="10"/>
      </w:numPr>
      <w:tabs>
        <w:tab w:val="clear" w:pos="1060"/>
      </w:tabs>
    </w:pPr>
  </w:style>
  <w:style w:type="paragraph" w:customStyle="1" w:styleId="MarginNote">
    <w:name w:val="Margin Note"/>
    <w:basedOn w:val="BodyText"/>
    <w:rsid w:val="000745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45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457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7457A"/>
    <w:rPr>
      <w:sz w:val="32"/>
    </w:rPr>
  </w:style>
  <w:style w:type="paragraph" w:customStyle="1" w:styleId="HeadingProcedure">
    <w:name w:val="Heading Procedure"/>
    <w:basedOn w:val="HeadingBase"/>
    <w:next w:val="Normal"/>
    <w:rsid w:val="0007457A"/>
    <w:pPr>
      <w:tabs>
        <w:tab w:val="left" w:pos="0"/>
      </w:tabs>
      <w:spacing w:before="120" w:after="60"/>
    </w:pPr>
    <w:rPr>
      <w:i/>
      <w:color w:val="918585"/>
      <w:sz w:val="22"/>
    </w:rPr>
  </w:style>
  <w:style w:type="paragraph" w:customStyle="1" w:styleId="TableBodyText">
    <w:name w:val="Table Body Text"/>
    <w:basedOn w:val="BodyText"/>
    <w:rsid w:val="0007457A"/>
    <w:pPr>
      <w:spacing w:before="60" w:after="60"/>
    </w:pPr>
  </w:style>
  <w:style w:type="paragraph" w:styleId="ListContinue">
    <w:name w:val="List Continue"/>
    <w:basedOn w:val="List"/>
    <w:rsid w:val="0007457A"/>
    <w:pPr>
      <w:ind w:firstLine="0"/>
    </w:pPr>
  </w:style>
  <w:style w:type="paragraph" w:customStyle="1" w:styleId="ListNote">
    <w:name w:val="List Note"/>
    <w:basedOn w:val="List"/>
    <w:rsid w:val="0007457A"/>
    <w:pPr>
      <w:pBdr>
        <w:top w:val="single" w:sz="6" w:space="2" w:color="918585"/>
        <w:bottom w:val="single" w:sz="6" w:space="2" w:color="918585"/>
      </w:pBdr>
      <w:tabs>
        <w:tab w:val="left" w:pos="1021"/>
      </w:tabs>
      <w:ind w:firstLine="0"/>
    </w:pPr>
  </w:style>
  <w:style w:type="paragraph" w:customStyle="1" w:styleId="Warning">
    <w:name w:val="Warning"/>
    <w:basedOn w:val="BodyText"/>
    <w:rsid w:val="0007457A"/>
    <w:pPr>
      <w:shd w:val="clear" w:color="auto" w:fill="D9D9D9"/>
      <w:tabs>
        <w:tab w:val="left" w:pos="992"/>
      </w:tabs>
      <w:ind w:left="119" w:right="119"/>
    </w:pPr>
    <w:rPr>
      <w:sz w:val="20"/>
    </w:rPr>
  </w:style>
  <w:style w:type="paragraph" w:customStyle="1" w:styleId="MarginIcons">
    <w:name w:val="Margin Icons"/>
    <w:basedOn w:val="BodyText"/>
    <w:rsid w:val="000745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457A"/>
    <w:rPr>
      <w:rFonts w:ascii="Courier New" w:hAnsi="Courier New"/>
    </w:rPr>
  </w:style>
  <w:style w:type="paragraph" w:customStyle="1" w:styleId="NoteBullet">
    <w:name w:val="Note Bullet"/>
    <w:basedOn w:val="Note"/>
    <w:rsid w:val="0007457A"/>
    <w:pPr>
      <w:tabs>
        <w:tab w:val="clear" w:pos="680"/>
      </w:tabs>
      <w:spacing w:before="60" w:after="60"/>
    </w:pPr>
  </w:style>
  <w:style w:type="paragraph" w:customStyle="1" w:styleId="SubHeading2">
    <w:name w:val="SubHeading2"/>
    <w:basedOn w:val="HeadingBase"/>
    <w:rsid w:val="0007457A"/>
    <w:pPr>
      <w:spacing w:before="240" w:after="60"/>
    </w:pPr>
    <w:rPr>
      <w:sz w:val="20"/>
    </w:rPr>
  </w:style>
  <w:style w:type="paragraph" w:customStyle="1" w:styleId="SubHeading1">
    <w:name w:val="SubHeading1"/>
    <w:basedOn w:val="HeadingBase"/>
    <w:rsid w:val="0007457A"/>
    <w:pPr>
      <w:spacing w:before="240" w:after="60"/>
    </w:pPr>
    <w:rPr>
      <w:color w:val="918585"/>
      <w:sz w:val="22"/>
    </w:rPr>
  </w:style>
  <w:style w:type="paragraph" w:customStyle="1" w:styleId="SideHeading">
    <w:name w:val="Side Heading"/>
    <w:basedOn w:val="HeadingBase"/>
    <w:rsid w:val="000745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457A"/>
    <w:pPr>
      <w:numPr>
        <w:numId w:val="12"/>
      </w:numPr>
    </w:pPr>
  </w:style>
  <w:style w:type="paragraph" w:styleId="PlainText">
    <w:name w:val="Plain Text"/>
    <w:basedOn w:val="Normal"/>
    <w:link w:val="PlainTextChar"/>
    <w:rsid w:val="0007457A"/>
    <w:rPr>
      <w:sz w:val="20"/>
    </w:rPr>
  </w:style>
  <w:style w:type="character" w:customStyle="1" w:styleId="PlainTextChar">
    <w:name w:val="Plain Text Char"/>
    <w:basedOn w:val="DefaultParagraphFont"/>
    <w:link w:val="PlainText"/>
    <w:rsid w:val="0007457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7457A"/>
    <w:rPr>
      <w:b/>
      <w:smallCaps/>
    </w:rPr>
  </w:style>
  <w:style w:type="paragraph" w:customStyle="1" w:styleId="TableListNumber">
    <w:name w:val="Table List Number"/>
    <w:basedOn w:val="ListNumber"/>
    <w:rsid w:val="0007457A"/>
    <w:pPr>
      <w:numPr>
        <w:numId w:val="0"/>
      </w:numPr>
    </w:pPr>
  </w:style>
  <w:style w:type="paragraph" w:styleId="TOC4">
    <w:name w:val="toc 4"/>
    <w:basedOn w:val="TOCBase"/>
    <w:next w:val="Normal"/>
    <w:semiHidden/>
    <w:rsid w:val="0007457A"/>
    <w:pPr>
      <w:tabs>
        <w:tab w:val="right" w:leader="dot" w:pos="9071"/>
      </w:tabs>
      <w:ind w:left="1701"/>
    </w:pPr>
  </w:style>
  <w:style w:type="paragraph" w:customStyle="1" w:styleId="ListAlpha">
    <w:name w:val="List Alpha"/>
    <w:basedOn w:val="List"/>
    <w:rsid w:val="0007457A"/>
    <w:pPr>
      <w:numPr>
        <w:numId w:val="9"/>
      </w:numPr>
    </w:pPr>
  </w:style>
  <w:style w:type="paragraph" w:customStyle="1" w:styleId="ListAlpha2">
    <w:name w:val="List Alpha 2"/>
    <w:basedOn w:val="List2"/>
    <w:rsid w:val="0007457A"/>
    <w:pPr>
      <w:numPr>
        <w:numId w:val="8"/>
      </w:numPr>
    </w:pPr>
  </w:style>
  <w:style w:type="paragraph" w:styleId="List2">
    <w:name w:val="List 2"/>
    <w:basedOn w:val="BodyText"/>
    <w:rsid w:val="0007457A"/>
    <w:pPr>
      <w:tabs>
        <w:tab w:val="left" w:pos="680"/>
      </w:tabs>
      <w:spacing w:before="60" w:after="60"/>
      <w:ind w:left="680" w:hanging="340"/>
    </w:pPr>
  </w:style>
  <w:style w:type="paragraph" w:styleId="List3">
    <w:name w:val="List 3"/>
    <w:basedOn w:val="BodyText"/>
    <w:rsid w:val="0007457A"/>
    <w:pPr>
      <w:tabs>
        <w:tab w:val="left" w:pos="1021"/>
      </w:tabs>
      <w:spacing w:before="60" w:after="60"/>
      <w:ind w:left="1020" w:hanging="340"/>
    </w:pPr>
  </w:style>
  <w:style w:type="paragraph" w:styleId="List4">
    <w:name w:val="List 4"/>
    <w:basedOn w:val="BodyText"/>
    <w:rsid w:val="0007457A"/>
    <w:pPr>
      <w:tabs>
        <w:tab w:val="left" w:pos="1361"/>
      </w:tabs>
      <w:spacing w:before="60" w:after="60"/>
      <w:ind w:left="1361" w:hanging="340"/>
    </w:pPr>
  </w:style>
  <w:style w:type="paragraph" w:styleId="List5">
    <w:name w:val="List 5"/>
    <w:basedOn w:val="BodyText"/>
    <w:rsid w:val="0007457A"/>
    <w:pPr>
      <w:tabs>
        <w:tab w:val="left" w:pos="1701"/>
      </w:tabs>
      <w:spacing w:before="60" w:after="60"/>
      <w:ind w:left="1701" w:hanging="340"/>
    </w:pPr>
  </w:style>
  <w:style w:type="paragraph" w:styleId="ListBullet4">
    <w:name w:val="List Bullet 4"/>
    <w:basedOn w:val="List4"/>
    <w:rsid w:val="0007457A"/>
    <w:pPr>
      <w:numPr>
        <w:numId w:val="3"/>
      </w:numPr>
    </w:pPr>
  </w:style>
  <w:style w:type="paragraph" w:styleId="ListBullet5">
    <w:name w:val="List Bullet 5"/>
    <w:basedOn w:val="List5"/>
    <w:rsid w:val="0007457A"/>
    <w:pPr>
      <w:numPr>
        <w:numId w:val="4"/>
      </w:numPr>
    </w:pPr>
  </w:style>
  <w:style w:type="paragraph" w:styleId="ListContinue2">
    <w:name w:val="List Continue 2"/>
    <w:basedOn w:val="List2"/>
    <w:rsid w:val="0007457A"/>
    <w:pPr>
      <w:ind w:firstLine="0"/>
    </w:pPr>
  </w:style>
  <w:style w:type="paragraph" w:styleId="ListContinue3">
    <w:name w:val="List Continue 3"/>
    <w:basedOn w:val="List3"/>
    <w:rsid w:val="0007457A"/>
    <w:pPr>
      <w:ind w:left="1021" w:firstLine="0"/>
    </w:pPr>
  </w:style>
  <w:style w:type="paragraph" w:styleId="ListContinue4">
    <w:name w:val="List Continue 4"/>
    <w:basedOn w:val="List4"/>
    <w:rsid w:val="0007457A"/>
    <w:pPr>
      <w:ind w:firstLine="0"/>
    </w:pPr>
  </w:style>
  <w:style w:type="paragraph" w:styleId="ListContinue5">
    <w:name w:val="List Continue 5"/>
    <w:basedOn w:val="List5"/>
    <w:rsid w:val="0007457A"/>
    <w:pPr>
      <w:ind w:firstLine="0"/>
    </w:pPr>
  </w:style>
  <w:style w:type="paragraph" w:styleId="ListNumber3">
    <w:name w:val="List Number 3"/>
    <w:basedOn w:val="List3"/>
    <w:rsid w:val="0007457A"/>
    <w:pPr>
      <w:numPr>
        <w:numId w:val="5"/>
      </w:numPr>
    </w:pPr>
  </w:style>
  <w:style w:type="paragraph" w:styleId="ListNumber4">
    <w:name w:val="List Number 4"/>
    <w:basedOn w:val="List4"/>
    <w:rsid w:val="0007457A"/>
    <w:pPr>
      <w:numPr>
        <w:numId w:val="6"/>
      </w:numPr>
    </w:pPr>
  </w:style>
  <w:style w:type="paragraph" w:styleId="ListNumber5">
    <w:name w:val="List Number 5"/>
    <w:basedOn w:val="List5"/>
    <w:rsid w:val="0007457A"/>
    <w:pPr>
      <w:numPr>
        <w:numId w:val="7"/>
      </w:numPr>
    </w:pPr>
  </w:style>
  <w:style w:type="paragraph" w:styleId="BlockText">
    <w:name w:val="Block Text"/>
    <w:basedOn w:val="Normal"/>
    <w:rsid w:val="0007457A"/>
    <w:pPr>
      <w:spacing w:after="120"/>
      <w:ind w:left="1440" w:right="1440"/>
    </w:pPr>
  </w:style>
  <w:style w:type="character" w:customStyle="1" w:styleId="Subscript">
    <w:name w:val="Subscript"/>
    <w:basedOn w:val="DefaultParagraphFont"/>
    <w:rsid w:val="0007457A"/>
    <w:rPr>
      <w:sz w:val="16"/>
      <w:vertAlign w:val="subscript"/>
    </w:rPr>
  </w:style>
  <w:style w:type="character" w:customStyle="1" w:styleId="Superscript">
    <w:name w:val="Superscript"/>
    <w:basedOn w:val="DefaultParagraphFont"/>
    <w:rsid w:val="0007457A"/>
    <w:rPr>
      <w:sz w:val="16"/>
      <w:vertAlign w:val="superscript"/>
    </w:rPr>
  </w:style>
  <w:style w:type="character" w:customStyle="1" w:styleId="Symbols">
    <w:name w:val="Symbols"/>
    <w:basedOn w:val="DefaultParagraphFont"/>
    <w:rsid w:val="0007457A"/>
    <w:rPr>
      <w:rFonts w:ascii="Symbol" w:hAnsi="Symbol"/>
    </w:rPr>
  </w:style>
  <w:style w:type="character" w:customStyle="1" w:styleId="MenuOptions">
    <w:name w:val="Menu Options"/>
    <w:basedOn w:val="DefaultParagraphFont"/>
    <w:rsid w:val="0007457A"/>
    <w:rPr>
      <w:rFonts w:ascii="Arial Narrow" w:hAnsi="Arial Narrow"/>
      <w:smallCaps/>
    </w:rPr>
  </w:style>
  <w:style w:type="character" w:customStyle="1" w:styleId="Buttons">
    <w:name w:val="Buttons"/>
    <w:basedOn w:val="DefaultParagraphFont"/>
    <w:rsid w:val="0007457A"/>
    <w:rPr>
      <w:b/>
    </w:rPr>
  </w:style>
  <w:style w:type="character" w:customStyle="1" w:styleId="Underlined">
    <w:name w:val="Underlined"/>
    <w:basedOn w:val="DefaultParagraphFont"/>
    <w:rsid w:val="0007457A"/>
    <w:rPr>
      <w:u w:val="single"/>
    </w:rPr>
  </w:style>
  <w:style w:type="paragraph" w:customStyle="1" w:styleId="TableBodyTextRight">
    <w:name w:val="Table Body Text Right"/>
    <w:basedOn w:val="TableBodyText"/>
    <w:rsid w:val="0007457A"/>
    <w:pPr>
      <w:widowControl w:val="0"/>
      <w:autoSpaceDE w:val="0"/>
      <w:autoSpaceDN w:val="0"/>
      <w:adjustRightInd w:val="0"/>
      <w:jc w:val="right"/>
    </w:pPr>
    <w:rPr>
      <w:rFonts w:cs="Arial"/>
      <w:szCs w:val="18"/>
    </w:rPr>
  </w:style>
  <w:style w:type="paragraph" w:customStyle="1" w:styleId="CopyrightText">
    <w:name w:val="Copyright Text"/>
    <w:basedOn w:val="BodyText"/>
    <w:rsid w:val="0007457A"/>
    <w:rPr>
      <w:sz w:val="18"/>
    </w:rPr>
  </w:style>
  <w:style w:type="paragraph" w:customStyle="1" w:styleId="BodySmallRight">
    <w:name w:val="Body Small Right"/>
    <w:basedOn w:val="BodyTextRight"/>
    <w:rsid w:val="0007457A"/>
    <w:rPr>
      <w:sz w:val="18"/>
      <w:szCs w:val="18"/>
    </w:rPr>
  </w:style>
  <w:style w:type="paragraph" w:customStyle="1" w:styleId="MarginEdition">
    <w:name w:val="Margin Edition"/>
    <w:basedOn w:val="MarginNote"/>
    <w:rsid w:val="0007457A"/>
    <w:pPr>
      <w:spacing w:before="0" w:after="0"/>
    </w:pPr>
    <w:rPr>
      <w:rFonts w:ascii="Times New Roman" w:hAnsi="Times New Roman"/>
      <w:color w:val="999999"/>
    </w:rPr>
  </w:style>
  <w:style w:type="paragraph" w:customStyle="1" w:styleId="Spacer">
    <w:name w:val="Spacer"/>
    <w:basedOn w:val="Normal"/>
    <w:rsid w:val="0007457A"/>
    <w:rPr>
      <w:sz w:val="2"/>
      <w:szCs w:val="2"/>
    </w:rPr>
  </w:style>
  <w:style w:type="character" w:customStyle="1" w:styleId="Small">
    <w:name w:val="Small"/>
    <w:basedOn w:val="DefaultParagraphFont"/>
    <w:rsid w:val="0007457A"/>
    <w:rPr>
      <w:sz w:val="16"/>
    </w:rPr>
  </w:style>
  <w:style w:type="paragraph" w:customStyle="1" w:styleId="WideTable">
    <w:name w:val="Wide Table"/>
    <w:basedOn w:val="Normal"/>
    <w:rsid w:val="0007457A"/>
    <w:pPr>
      <w:ind w:left="-1418"/>
    </w:pPr>
    <w:rPr>
      <w:sz w:val="2"/>
      <w:szCs w:val="2"/>
    </w:rPr>
  </w:style>
  <w:style w:type="character" w:styleId="PageNumber">
    <w:name w:val="page number"/>
    <w:basedOn w:val="DefaultParagraphFont"/>
    <w:rsid w:val="0007457A"/>
  </w:style>
  <w:style w:type="paragraph" w:styleId="Quote">
    <w:name w:val="Quote"/>
    <w:basedOn w:val="Heading1"/>
    <w:link w:val="QuoteChar"/>
    <w:qFormat/>
    <w:rsid w:val="0007457A"/>
    <w:rPr>
      <w:b w:val="0"/>
      <w:sz w:val="72"/>
      <w:szCs w:val="72"/>
      <w:lang w:val="en-NZ"/>
    </w:rPr>
  </w:style>
  <w:style w:type="character" w:customStyle="1" w:styleId="QuoteChar">
    <w:name w:val="Quote Char"/>
    <w:basedOn w:val="DefaultParagraphFont"/>
    <w:link w:val="Quote"/>
    <w:rsid w:val="000745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457A"/>
    <w:pPr>
      <w:pageBreakBefore/>
    </w:pPr>
  </w:style>
  <w:style w:type="paragraph" w:customStyle="1" w:styleId="Border">
    <w:name w:val="Border"/>
    <w:basedOn w:val="Normal"/>
    <w:qFormat/>
    <w:rsid w:val="000745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457A"/>
    <w:rPr>
      <w:b/>
      <w:bCs/>
      <w:i/>
      <w:iCs/>
      <w:color w:val="auto"/>
    </w:rPr>
  </w:style>
  <w:style w:type="paragraph" w:styleId="IntenseQuote">
    <w:name w:val="Intense Quote"/>
    <w:basedOn w:val="Normal"/>
    <w:next w:val="Normal"/>
    <w:link w:val="IntenseQuoteChar"/>
    <w:uiPriority w:val="30"/>
    <w:qFormat/>
    <w:rsid w:val="000745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457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7457A"/>
    <w:rPr>
      <w:smallCaps/>
      <w:color w:val="auto"/>
      <w:u w:val="single"/>
    </w:rPr>
  </w:style>
  <w:style w:type="character" w:styleId="IntenseReference">
    <w:name w:val="Intense Reference"/>
    <w:basedOn w:val="DefaultParagraphFont"/>
    <w:uiPriority w:val="32"/>
    <w:qFormat/>
    <w:rsid w:val="0007457A"/>
    <w:rPr>
      <w:b/>
      <w:bCs/>
      <w:smallCaps/>
      <w:color w:val="auto"/>
      <w:spacing w:val="5"/>
      <w:u w:val="single"/>
    </w:rPr>
  </w:style>
  <w:style w:type="paragraph" w:customStyle="1" w:styleId="2ColumnHeading">
    <w:name w:val="2Column Heading"/>
    <w:basedOn w:val="BodyText"/>
    <w:qFormat/>
    <w:rsid w:val="0007457A"/>
    <w:pPr>
      <w:spacing w:after="60"/>
      <w:ind w:left="-2268"/>
    </w:pPr>
    <w:rPr>
      <w:b/>
    </w:rPr>
  </w:style>
  <w:style w:type="paragraph" w:customStyle="1" w:styleId="Heading1TOC">
    <w:name w:val="Heading1 TOC"/>
    <w:basedOn w:val="Normal"/>
    <w:qFormat/>
    <w:rsid w:val="0007457A"/>
    <w:pPr>
      <w:spacing w:before="240" w:after="120"/>
    </w:pPr>
    <w:rPr>
      <w:rFonts w:ascii="Times New Roman" w:hAnsi="Times New Roman"/>
      <w:b/>
      <w:sz w:val="32"/>
    </w:rPr>
  </w:style>
  <w:style w:type="paragraph" w:customStyle="1" w:styleId="Heading2TOC">
    <w:name w:val="Heading2 TOC"/>
    <w:basedOn w:val="Normal"/>
    <w:qFormat/>
    <w:rsid w:val="0007457A"/>
    <w:pPr>
      <w:spacing w:before="240" w:after="60"/>
    </w:pPr>
    <w:rPr>
      <w:rFonts w:ascii="Times New Roman" w:hAnsi="Times New Roman"/>
      <w:b/>
      <w:sz w:val="28"/>
    </w:rPr>
  </w:style>
  <w:style w:type="character" w:customStyle="1" w:styleId="Underline">
    <w:name w:val="Underline"/>
    <w:basedOn w:val="DefaultParagraphFont"/>
    <w:qFormat/>
    <w:rsid w:val="0007457A"/>
    <w:rPr>
      <w:u w:val="single"/>
    </w:rPr>
  </w:style>
  <w:style w:type="character" w:customStyle="1" w:styleId="BoldandItalics">
    <w:name w:val="Bold and Italics"/>
    <w:qFormat/>
    <w:rsid w:val="0007457A"/>
    <w:rPr>
      <w:b/>
      <w:i/>
      <w:u w:val="none"/>
    </w:rPr>
  </w:style>
  <w:style w:type="paragraph" w:styleId="BalloonText">
    <w:name w:val="Balloon Text"/>
    <w:basedOn w:val="Normal"/>
    <w:link w:val="BalloonTextChar"/>
    <w:rsid w:val="0007457A"/>
    <w:rPr>
      <w:rFonts w:ascii="Tahoma" w:hAnsi="Tahoma" w:cs="Tahoma"/>
      <w:sz w:val="16"/>
      <w:szCs w:val="16"/>
    </w:rPr>
  </w:style>
  <w:style w:type="character" w:customStyle="1" w:styleId="BalloonTextChar">
    <w:name w:val="Balloon Text Char"/>
    <w:basedOn w:val="DefaultParagraphFont"/>
    <w:link w:val="BalloonText"/>
    <w:rsid w:val="0007457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745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457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2656</Words>
  <Characters>16183</Characters>
  <Application>Microsoft Office Word</Application>
  <DocSecurity>0</DocSecurity>
  <Lines>643</Lines>
  <Paragraphs>270</Paragraphs>
  <ScaleCrop>false</ScaleCrop>
  <Company>Author-it Software Corporation Ltd.</Company>
  <LinksUpToDate>false</LinksUpToDate>
  <CharactersWithSpaces>18671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UEPOPS354A Operate and Monitor Dual Fuel Firing Plant</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2012-05-26T22:27:00Z</dcterms:created>
  <dcterms:modified xsi:type="dcterms:W3CDTF">2012-05-26T22:27:00Z</dcterms:modified>
</cp:coreProperties>
</file>