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5379" w:rsidP="00985379">
      <w:pPr>
        <w:pStyle w:val="Title"/>
      </w:pPr>
      <w:r>
        <w:fldChar w:fldCharType="begin"/>
      </w:r>
      <w:r>
        <w:instrText xml:space="preserve"> TITLE   \* MERGEFORMAT </w:instrText>
      </w:r>
      <w:r>
        <w:fldChar w:fldCharType="separate"/>
      </w:r>
      <w:r>
        <w:t>UEPOPS348A Respond to Critical Incidents</w:t>
      </w:r>
      <w:r>
        <w:fldChar w:fldCharType="end"/>
      </w:r>
    </w:p>
    <w:p w:rsidR="00985379" w:rsidP="00985379">
      <w:pPr>
        <w:pStyle w:val="Version"/>
        <w:sectPr w:rsidSect="00FB7F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7FA2" w:rsidP="00FB7FA2">
      <w:pPr>
        <w:pStyle w:val="SuperHeading"/>
      </w:pPr>
      <w:r w:rsidRPr="00FB7FA2">
        <w:t>UEPOPS348A Respond to Critical Incidents</w:t>
      </w:r>
    </w:p>
    <w:p w:rsidR="00000000" w:rsidRPr="00FB7FA2" w:rsidP="00FB7FA2">
      <w:pPr>
        <w:pStyle w:val="Heading1"/>
      </w:pPr>
      <w:bookmarkStart w:id="1" w:name="O_275345"/>
      <w:bookmarkEnd w:id="1"/>
      <w:r w:rsidRPr="00FB7FA2">
        <w:t>Modification History</w:t>
      </w:r>
    </w:p>
    <w:p w:rsidR="00000000" w:rsidRPr="00FB7FA2" w:rsidP="00FB7FA2">
      <w:pPr>
        <w:pStyle w:val="BodyText"/>
      </w:pPr>
      <w:r w:rsidRPr="00FB7FA2">
        <w:t>Not Applicable</w:t>
      </w:r>
    </w:p>
    <w:p w:rsidR="00000000" w:rsidRPr="00FB7FA2" w:rsidP="00FB7FA2">
      <w:pPr>
        <w:pStyle w:val="AllowPageBreak"/>
      </w:pPr>
    </w:p>
    <w:p w:rsidR="00000000" w:rsidRPr="00FB7FA2" w:rsidP="00FB7FA2">
      <w:pPr>
        <w:pStyle w:val="Heading1"/>
      </w:pPr>
      <w:bookmarkStart w:id="2" w:name="O_230697"/>
      <w:bookmarkEnd w:id="2"/>
      <w:r w:rsidRPr="00FB7FA2">
        <w:t>Unit Descriptor</w:t>
      </w:r>
    </w:p>
    <w:tbl>
      <w:tblPr>
        <w:tblW w:w="0" w:type="auto"/>
        <w:tblLayout w:type="fixed"/>
        <w:tblCellMar>
          <w:left w:w="62" w:type="dxa"/>
          <w:right w:w="62" w:type="dxa"/>
        </w:tblCellMar>
        <w:tblLook w:val="0000"/>
      </w:tblPr>
      <w:tblGrid>
        <w:gridCol w:w="2700"/>
        <w:gridCol w:w="5760"/>
      </w:tblGrid>
      <w:tr w:rsidTr="0098537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B7FA2" w:rsidP="00FB7FA2">
            <w:pPr>
              <w:pStyle w:val="BodyText"/>
            </w:pPr>
            <w:r w:rsidRPr="00FB7FA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rPr>
                <w:rStyle w:val="SpecialBold"/>
              </w:rPr>
              <w:t>1</w:t>
            </w:r>
            <w:r w:rsidRPr="00FB7FA2">
              <w:t xml:space="preserve">) </w:t>
            </w:r>
          </w:p>
        </w:tc>
      </w:tr>
      <w:tr w:rsidTr="009853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B7FA2" w:rsidP="00FB7FA2">
            <w:pPr>
              <w:pStyle w:val="BodyText"/>
            </w:pPr>
            <w:r w:rsidRPr="00FB7FA2">
              <w:t>This unit deals with the skills and knowledge required to respond to incidents of a critical nature that may impact on the operational effectiveness of the plant or system, endanger human life or property, or have an adverse impact on the environment.</w:t>
            </w:r>
          </w:p>
        </w:tc>
      </w:tr>
    </w:tbl>
    <w:p w:rsidR="00985379" w:rsidP="00FB7FA2">
      <w:pPr>
        <w:pStyle w:val="BodyText"/>
      </w:pPr>
    </w:p>
    <w:p w:rsidR="00985379" w:rsidP="00FB7FA2">
      <w:pPr>
        <w:pStyle w:val="BodyText"/>
      </w:pPr>
    </w:p>
    <w:p w:rsidR="00000000" w:rsidRPr="00FB7FA2" w:rsidP="00FB7FA2">
      <w:pPr>
        <w:pStyle w:val="Heading1"/>
      </w:pPr>
      <w:bookmarkStart w:id="3" w:name="O_230700"/>
      <w:bookmarkEnd w:id="3"/>
      <w:r w:rsidRPr="00FB7FA2">
        <w:t>Application of the Unit</w:t>
      </w:r>
    </w:p>
    <w:tbl>
      <w:tblPr>
        <w:tblW w:w="0" w:type="auto"/>
        <w:tblLayout w:type="fixed"/>
        <w:tblCellMar>
          <w:left w:w="62" w:type="dxa"/>
          <w:right w:w="62" w:type="dxa"/>
        </w:tblCellMar>
        <w:tblLook w:val="0000"/>
      </w:tblPr>
      <w:tblGrid>
        <w:gridCol w:w="2700"/>
        <w:gridCol w:w="5760"/>
      </w:tblGrid>
      <w:tr w:rsidTr="0098537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B7FA2" w:rsidP="00FB7FA2">
            <w:pPr>
              <w:pStyle w:val="BodyText"/>
            </w:pPr>
            <w:r w:rsidRPr="00FB7FA2">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rPr>
                <w:rStyle w:val="SpecialBold"/>
              </w:rPr>
              <w:t>3</w:t>
            </w:r>
            <w:r w:rsidRPr="00FB7FA2">
              <w:t xml:space="preserve">) </w:t>
            </w:r>
          </w:p>
        </w:tc>
      </w:tr>
      <w:tr w:rsidTr="009853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t>This unit is intended to augment formally acquired competencies. It is suitable for employment-based programs under an approved contract of training.</w:t>
            </w:r>
          </w:p>
        </w:tc>
      </w:tr>
      <w:tr w:rsidTr="009853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B7FA2" w:rsidP="00FB7FA2">
            <w:pPr>
              <w:pStyle w:val="BodyText"/>
            </w:pPr>
            <w:r w:rsidRPr="00FB7FA2">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rPr>
                <w:rStyle w:val="SpecialBold"/>
              </w:rPr>
              <w:t>3</w:t>
            </w:r>
            <w:r w:rsidRPr="00FB7FA2">
              <w:t>.</w:t>
            </w:r>
            <w:r w:rsidRPr="00FB7FA2">
              <w:rPr>
                <w:rStyle w:val="SpecialBold"/>
              </w:rPr>
              <w:t>1</w:t>
            </w:r>
            <w:r w:rsidRPr="00FB7FA2">
              <w:t xml:space="preserve">) </w:t>
            </w:r>
          </w:p>
        </w:tc>
      </w:tr>
      <w:tr w:rsidTr="009853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B7FA2" w:rsidP="00FB7FA2">
            <w:pPr>
              <w:pStyle w:val="BodyText"/>
            </w:pPr>
            <w:r w:rsidRPr="00FB7FA2">
              <w:t>The skills and knowledge described in this unit do not require a licence to practise in the workplace. However, practice in this unit is subject to regulations directly related to Occupational Health and Safety and where applicable contracts of training su</w:t>
            </w:r>
            <w:r w:rsidRPr="00FB7FA2">
              <w:t>ch as apprenticeships.</w:t>
            </w:r>
          </w:p>
        </w:tc>
      </w:tr>
    </w:tbl>
    <w:p w:rsidR="00985379" w:rsidP="00FB7FA2">
      <w:pPr>
        <w:pStyle w:val="BodyText"/>
      </w:pPr>
    </w:p>
    <w:p w:rsidR="00985379" w:rsidP="00FB7FA2">
      <w:pPr>
        <w:pStyle w:val="BodyText"/>
      </w:pPr>
    </w:p>
    <w:p w:rsidR="00000000" w:rsidRPr="00FB7FA2" w:rsidP="00FB7FA2">
      <w:pPr>
        <w:pStyle w:val="Heading1"/>
      </w:pPr>
      <w:bookmarkStart w:id="4" w:name="O_282879"/>
      <w:bookmarkEnd w:id="4"/>
      <w:r w:rsidRPr="00FB7FA2">
        <w:t>Licensing/Regulatory Information</w:t>
      </w:r>
    </w:p>
    <w:p w:rsidR="00000000" w:rsidRPr="00FB7FA2" w:rsidP="00FB7FA2">
      <w:pPr>
        <w:pStyle w:val="BodyText"/>
      </w:pPr>
      <w:r w:rsidRPr="00FB7FA2">
        <w:t>Not Applicable</w:t>
      </w:r>
    </w:p>
    <w:p w:rsidR="00000000" w:rsidRPr="00FB7FA2" w:rsidP="00FB7FA2">
      <w:pPr>
        <w:pStyle w:val="AllowPageBreak"/>
      </w:pPr>
    </w:p>
    <w:p w:rsidR="00000000" w:rsidRPr="00FB7FA2" w:rsidP="00FB7FA2">
      <w:pPr>
        <w:pStyle w:val="Heading1"/>
      </w:pPr>
      <w:bookmarkStart w:id="5" w:name="O_230698"/>
      <w:bookmarkEnd w:id="5"/>
      <w:r w:rsidRPr="00FB7FA2">
        <w:t>Pre-Requisites</w:t>
      </w:r>
    </w:p>
    <w:tbl>
      <w:tblPr>
        <w:tblW w:w="0" w:type="auto"/>
        <w:tblLayout w:type="fixed"/>
        <w:tblCellMar>
          <w:left w:w="62" w:type="dxa"/>
          <w:right w:w="62" w:type="dxa"/>
        </w:tblCellMar>
        <w:tblLook w:val="0000"/>
      </w:tblPr>
      <w:tblGrid>
        <w:gridCol w:w="2700"/>
        <w:gridCol w:w="5760"/>
      </w:tblGrid>
      <w:tr w:rsidTr="0098537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B7FA2" w:rsidP="00FB7FA2">
            <w:pPr>
              <w:pStyle w:val="BodyText"/>
            </w:pPr>
            <w:r w:rsidRPr="00FB7FA2">
              <w:rPr>
                <w:rStyle w:val="SpecialBold"/>
              </w:rPr>
              <w:t>Prerequisite Unit</w:t>
            </w:r>
            <w:r w:rsidRPr="00FB7FA2">
              <w:t>(</w:t>
            </w:r>
            <w:r w:rsidRPr="00FB7FA2">
              <w:rPr>
                <w:rStyle w:val="SpecialBold"/>
              </w:rPr>
              <w:t>s</w:t>
            </w:r>
            <w:r w:rsidRPr="00FB7FA2">
              <w:t>)</w:t>
            </w:r>
          </w:p>
        </w:tc>
        <w:tc>
          <w:tcPr>
            <w:tcW w:w="5760" w:type="dxa"/>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rPr>
                <w:rStyle w:val="SpecialBold"/>
              </w:rPr>
              <w:t>2</w:t>
            </w:r>
            <w:r w:rsidRPr="00FB7FA2">
              <w:t xml:space="preserve">) </w:t>
            </w:r>
          </w:p>
        </w:tc>
      </w:tr>
      <w:tr w:rsidTr="009853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B7FA2" w:rsidP="00FB7FA2">
            <w:pPr>
              <w:pStyle w:val="BodyText"/>
            </w:pPr>
            <w:r w:rsidRPr="00FB7FA2">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rPr>
                <w:rStyle w:val="SpecialBold"/>
              </w:rPr>
              <w:t>2</w:t>
            </w:r>
            <w:r w:rsidRPr="00FB7FA2">
              <w:t>.</w:t>
            </w:r>
            <w:r w:rsidRPr="00FB7FA2">
              <w:rPr>
                <w:rStyle w:val="SpecialBold"/>
              </w:rPr>
              <w:t>1</w:t>
            </w:r>
            <w:r w:rsidRPr="00FB7FA2">
              <w:t xml:space="preserve">) </w:t>
            </w:r>
          </w:p>
        </w:tc>
      </w:tr>
      <w:tr w:rsidTr="009853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B7FA2" w:rsidP="00FB7FA2">
            <w:pPr>
              <w:pStyle w:val="BodyText"/>
            </w:pPr>
            <w:r w:rsidRPr="00FB7FA2">
              <w:t>There are no prerequisite units.</w:t>
            </w:r>
          </w:p>
        </w:tc>
      </w:tr>
    </w:tbl>
    <w:p w:rsidR="00985379" w:rsidP="00FB7FA2">
      <w:pPr>
        <w:pStyle w:val="BodyText"/>
      </w:pPr>
    </w:p>
    <w:p w:rsidR="00985379" w:rsidP="00FB7FA2">
      <w:pPr>
        <w:pStyle w:val="BodyText"/>
      </w:pPr>
    </w:p>
    <w:p w:rsidR="00000000" w:rsidRPr="00FB7FA2" w:rsidP="00FB7FA2">
      <w:pPr>
        <w:pStyle w:val="Heading1"/>
      </w:pPr>
      <w:bookmarkStart w:id="6" w:name="O_285594"/>
      <w:bookmarkEnd w:id="6"/>
      <w:r w:rsidRPr="00FB7FA2">
        <w:t>Employability Skills Information</w:t>
      </w:r>
    </w:p>
    <w:p w:rsidR="00000000" w:rsidRPr="00FB7FA2" w:rsidP="00FB7FA2">
      <w:pPr>
        <w:pStyle w:val="BodyText"/>
      </w:pPr>
      <w:r w:rsidRPr="00FB7FA2">
        <w:t>Refer to the Evidence Guide</w:t>
      </w:r>
    </w:p>
    <w:p w:rsidR="00000000" w:rsidRPr="00FB7FA2" w:rsidP="00FB7FA2">
      <w:pPr>
        <w:pStyle w:val="AllowPageBreak"/>
      </w:pPr>
    </w:p>
    <w:p w:rsidR="00000000" w:rsidRPr="00FB7FA2" w:rsidP="00FB7FA2">
      <w:pPr>
        <w:pStyle w:val="Heading1"/>
      </w:pPr>
      <w:bookmarkStart w:id="7" w:name="O_293391"/>
      <w:bookmarkEnd w:id="7"/>
      <w:r w:rsidRPr="00FB7FA2">
        <w:t>Elements and Performance Criteria Pre-Content</w:t>
      </w:r>
    </w:p>
    <w:tbl>
      <w:tblPr>
        <w:tblW w:w="0" w:type="auto"/>
        <w:tblLayout w:type="fixed"/>
        <w:tblCellMar>
          <w:left w:w="62" w:type="dxa"/>
          <w:right w:w="62" w:type="dxa"/>
        </w:tblCellMar>
        <w:tblLook w:val="0000"/>
      </w:tblPr>
      <w:tblGrid>
        <w:gridCol w:w="2700"/>
        <w:gridCol w:w="5760"/>
      </w:tblGrid>
      <w:tr w:rsidTr="009853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rPr>
                <w:rStyle w:val="SpecialBold"/>
              </w:rPr>
              <w:t>5</w:t>
            </w:r>
            <w:r w:rsidRPr="00FB7FA2">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FB7FA2" w:rsidP="00FB7FA2">
            <w:pPr>
              <w:pStyle w:val="BodyText"/>
            </w:pPr>
            <w:r w:rsidRPr="00FB7FA2">
              <w:t xml:space="preserve">Performance Criteria describe the required performance needed to demonstrate achievement of the </w:t>
            </w:r>
            <w:r w:rsidRPr="00FB7FA2">
              <w:t>element. Assessment of performance is to be consistent with the evidence guide.</w:t>
            </w:r>
          </w:p>
        </w:tc>
      </w:tr>
    </w:tbl>
    <w:p w:rsidR="00000000" w:rsidRPr="00FB7FA2" w:rsidP="00FB7FA2">
      <w:pPr>
        <w:pStyle w:val="BodyText"/>
      </w:pPr>
    </w:p>
    <w:p w:rsidR="00000000" w:rsidRPr="00FB7FA2" w:rsidP="00FB7FA2">
      <w:pPr>
        <w:pStyle w:val="AllowPageBreak"/>
      </w:pPr>
    </w:p>
    <w:p w:rsidR="00000000" w:rsidRPr="00FB7FA2" w:rsidP="00FB7FA2">
      <w:pPr>
        <w:pStyle w:val="Heading1"/>
      </w:pPr>
      <w:bookmarkStart w:id="8" w:name="O_240059"/>
      <w:bookmarkEnd w:id="8"/>
      <w:r w:rsidRPr="00FB7FA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98537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B7FA2" w:rsidP="00FB7FA2">
            <w:pPr>
              <w:pStyle w:val="BodyText"/>
            </w:pPr>
            <w:r w:rsidRPr="00FB7FA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rPr>
                <w:rStyle w:val="SpecialBold"/>
              </w:rPr>
              <w:t>PERFORMANCE CRITERIA</w:t>
            </w:r>
          </w:p>
        </w:tc>
      </w:tr>
      <w:tr w:rsidTr="009853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t>1</w:t>
            </w:r>
          </w:p>
        </w:tc>
        <w:tc>
          <w:tcPr>
            <w:tcW w:w="2296" w:type="dxa"/>
            <w:vMerge w:val="restart"/>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t>Identify critical incident and consequences</w:t>
            </w:r>
          </w:p>
        </w:tc>
        <w:tc>
          <w:tcPr>
            <w:tcW w:w="900" w:type="dxa"/>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t>1.1</w:t>
            </w:r>
          </w:p>
        </w:tc>
        <w:tc>
          <w:tcPr>
            <w:tcW w:w="4860" w:type="dxa"/>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t>Information and documentation to determine system status is assessed and evaluated in accordance with system requirements</w:t>
            </w:r>
          </w:p>
        </w:tc>
      </w:tr>
      <w:tr w:rsidTr="009853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t>1.2</w:t>
            </w:r>
          </w:p>
        </w:tc>
        <w:tc>
          <w:tcPr>
            <w:tcW w:w="4860" w:type="dxa"/>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t xml:space="preserve">Fault location is determined by establishing, monitoring and evaluating system configuration and operational pre-requisites in </w:t>
            </w:r>
            <w:r w:rsidRPr="00FB7FA2">
              <w:t>accordance with enterprise procedures</w:t>
            </w:r>
          </w:p>
        </w:tc>
      </w:tr>
      <w:tr w:rsidTr="009853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t>1.3</w:t>
            </w:r>
          </w:p>
        </w:tc>
        <w:tc>
          <w:tcPr>
            <w:tcW w:w="4860" w:type="dxa"/>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t>Fault information is collated in accordance with procedures to evaluate type and cause of failure</w:t>
            </w:r>
          </w:p>
        </w:tc>
      </w:tr>
      <w:tr w:rsidTr="009853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t>1.4</w:t>
            </w:r>
          </w:p>
        </w:tc>
        <w:tc>
          <w:tcPr>
            <w:tcW w:w="4860" w:type="dxa"/>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t>System limitations and performance, including location and external influences, are identified</w:t>
            </w:r>
          </w:p>
        </w:tc>
      </w:tr>
      <w:tr w:rsidTr="009853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t>1.5</w:t>
            </w:r>
          </w:p>
        </w:tc>
        <w:tc>
          <w:tcPr>
            <w:tcW w:w="4860" w:type="dxa"/>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t xml:space="preserve">Where appropriate, the teams and individuals roles and responsibilities within the team are identified and, where required, assist in the provision of the on-the-job training </w:t>
            </w:r>
          </w:p>
        </w:tc>
      </w:tr>
      <w:tr w:rsidTr="009853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t>2</w:t>
            </w:r>
          </w:p>
        </w:tc>
        <w:tc>
          <w:tcPr>
            <w:tcW w:w="2296" w:type="dxa"/>
            <w:vMerge w:val="restart"/>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t>Stabilise the system/s</w:t>
            </w:r>
          </w:p>
        </w:tc>
        <w:tc>
          <w:tcPr>
            <w:tcW w:w="900" w:type="dxa"/>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t>2.1</w:t>
            </w:r>
          </w:p>
        </w:tc>
        <w:tc>
          <w:tcPr>
            <w:tcW w:w="4860" w:type="dxa"/>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t>Appropriate response techniques are identified and used in accordance with requirements.</w:t>
            </w:r>
          </w:p>
        </w:tc>
      </w:tr>
      <w:tr w:rsidTr="009853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t>2.2</w:t>
            </w:r>
          </w:p>
        </w:tc>
        <w:tc>
          <w:tcPr>
            <w:tcW w:w="4860" w:type="dxa"/>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t>Appropriate personnel and external stake holders are consulted with in accordance with enterprise procedures prior to further action</w:t>
            </w:r>
          </w:p>
        </w:tc>
      </w:tr>
      <w:tr w:rsidTr="009853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t>2.3</w:t>
            </w:r>
          </w:p>
        </w:tc>
        <w:tc>
          <w:tcPr>
            <w:tcW w:w="4860" w:type="dxa"/>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t>Implications of personnel and key stake holder actions are monitored and analysed</w:t>
            </w:r>
          </w:p>
        </w:tc>
      </w:tr>
      <w:tr w:rsidTr="009853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t>2.4</w:t>
            </w:r>
          </w:p>
        </w:tc>
        <w:tc>
          <w:tcPr>
            <w:tcW w:w="4860" w:type="dxa"/>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t>System requirements are assessed, evaluated and controlled to maintain stability and system integrity</w:t>
            </w:r>
          </w:p>
        </w:tc>
      </w:tr>
      <w:tr w:rsidTr="009853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t>2.5</w:t>
            </w:r>
          </w:p>
        </w:tc>
        <w:tc>
          <w:tcPr>
            <w:tcW w:w="4860" w:type="dxa"/>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t>Corrective actions to rectify abnormalities are implemente</w:t>
            </w:r>
            <w:r w:rsidRPr="00FB7FA2">
              <w:t>d following analysis of data in accordance with system procedures</w:t>
            </w:r>
          </w:p>
        </w:tc>
      </w:tr>
      <w:tr w:rsidTr="009853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t>3</w:t>
            </w:r>
          </w:p>
        </w:tc>
        <w:tc>
          <w:tcPr>
            <w:tcW w:w="2296" w:type="dxa"/>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t>Restore the system</w:t>
            </w:r>
          </w:p>
        </w:tc>
        <w:tc>
          <w:tcPr>
            <w:tcW w:w="900" w:type="dxa"/>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t>3.1</w:t>
            </w:r>
          </w:p>
        </w:tc>
        <w:tc>
          <w:tcPr>
            <w:tcW w:w="4860" w:type="dxa"/>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t>Specialised assistance is identified and attended to where required in accordance with enterprise procedures</w:t>
            </w:r>
          </w:p>
        </w:tc>
      </w:tr>
      <w:tr w:rsidTr="009853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t>3.2</w:t>
            </w:r>
          </w:p>
        </w:tc>
        <w:tc>
          <w:tcPr>
            <w:tcW w:w="4860" w:type="dxa"/>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t>Strategies to restore system integrity are identified, evaluated and communicated in accordance with procedures to appropriate personnel</w:t>
            </w:r>
          </w:p>
        </w:tc>
      </w:tr>
      <w:tr w:rsidTr="009853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t>3.3</w:t>
            </w:r>
          </w:p>
        </w:tc>
        <w:tc>
          <w:tcPr>
            <w:tcW w:w="4860" w:type="dxa"/>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t>Restoration strategy is undertaken, monitored, evaluated and adjusted in accordance with procedure</w:t>
            </w:r>
          </w:p>
        </w:tc>
      </w:tr>
      <w:tr w:rsidTr="009853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t>4</w:t>
            </w:r>
          </w:p>
        </w:tc>
        <w:tc>
          <w:tcPr>
            <w:tcW w:w="2296" w:type="dxa"/>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t>Review res</w:t>
            </w:r>
            <w:r w:rsidRPr="00FB7FA2">
              <w:t>ponse to incident and instigate preventative procedure</w:t>
            </w:r>
          </w:p>
        </w:tc>
        <w:tc>
          <w:tcPr>
            <w:tcW w:w="900" w:type="dxa"/>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t>4.1</w:t>
            </w:r>
          </w:p>
        </w:tc>
        <w:tc>
          <w:tcPr>
            <w:tcW w:w="4860" w:type="dxa"/>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t>Effectiveness of response is evaluated in accordance with system procedures</w:t>
            </w:r>
          </w:p>
        </w:tc>
      </w:tr>
      <w:tr w:rsidTr="009853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t>4.2</w:t>
            </w:r>
          </w:p>
        </w:tc>
        <w:tc>
          <w:tcPr>
            <w:tcW w:w="4860" w:type="dxa"/>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t>Stakeholder responses and perspective of incident are obtained, recorded and analysed</w:t>
            </w:r>
          </w:p>
        </w:tc>
      </w:tr>
      <w:tr w:rsidTr="009853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t>4.3</w:t>
            </w:r>
          </w:p>
        </w:tc>
        <w:tc>
          <w:tcPr>
            <w:tcW w:w="4860" w:type="dxa"/>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t>Alternative responses/contingencies are identified and assessed in accordance with system procedures</w:t>
            </w:r>
          </w:p>
        </w:tc>
      </w:tr>
      <w:tr w:rsidTr="009853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t>4.4</w:t>
            </w:r>
          </w:p>
        </w:tc>
        <w:tc>
          <w:tcPr>
            <w:tcW w:w="4860" w:type="dxa"/>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t>Incident and alternative preventive measures are documented in accordance with procedures</w:t>
            </w:r>
          </w:p>
        </w:tc>
      </w:tr>
      <w:tr w:rsidTr="009853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t>4.5</w:t>
            </w:r>
          </w:p>
        </w:tc>
        <w:tc>
          <w:tcPr>
            <w:tcW w:w="4860" w:type="dxa"/>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t xml:space="preserve">Improvements for managing future critical </w:t>
            </w:r>
            <w:r w:rsidRPr="00FB7FA2">
              <w:t>incidents</w:t>
            </w:r>
            <w:r w:rsidRPr="00FB7FA2">
              <w:t xml:space="preserve"> are recommended and approved</w:t>
            </w:r>
          </w:p>
        </w:tc>
      </w:tr>
      <w:tr w:rsidTr="009853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t>4.6</w:t>
            </w:r>
          </w:p>
        </w:tc>
        <w:tc>
          <w:tcPr>
            <w:tcW w:w="4860" w:type="dxa"/>
            <w:tcBorders>
              <w:top w:val="nil"/>
              <w:left w:val="nil"/>
              <w:bottom w:val="nil"/>
              <w:right w:val="nil"/>
            </w:tcBorders>
            <w:tcMar>
              <w:top w:w="0" w:type="dxa"/>
              <w:left w:w="62" w:type="dxa"/>
              <w:bottom w:w="0" w:type="dxa"/>
              <w:right w:w="62" w:type="dxa"/>
            </w:tcMar>
          </w:tcPr>
          <w:p w:rsidR="00000000" w:rsidRPr="00FB7FA2" w:rsidP="00FB7FA2">
            <w:pPr>
              <w:pStyle w:val="BodyText"/>
            </w:pPr>
            <w:r w:rsidRPr="00FB7FA2">
              <w:t>Relevant findings are communicated to appropriate key stake holders</w:t>
            </w:r>
          </w:p>
        </w:tc>
      </w:tr>
    </w:tbl>
    <w:p w:rsidR="00985379" w:rsidP="00FB7FA2">
      <w:pPr>
        <w:pStyle w:val="BodyText"/>
      </w:pPr>
    </w:p>
    <w:p w:rsidR="00985379" w:rsidP="00FB7FA2">
      <w:pPr>
        <w:pStyle w:val="BodyText"/>
      </w:pPr>
    </w:p>
    <w:p w:rsidR="00000000" w:rsidRPr="00FB7FA2" w:rsidP="00FB7FA2">
      <w:pPr>
        <w:pStyle w:val="Heading1"/>
      </w:pPr>
      <w:bookmarkStart w:id="9" w:name="O_263850"/>
      <w:bookmarkEnd w:id="9"/>
      <w:r w:rsidRPr="00FB7FA2">
        <w:t>Required Skills and Knowledge</w:t>
      </w:r>
    </w:p>
    <w:tbl>
      <w:tblPr>
        <w:tblW w:w="0" w:type="auto"/>
        <w:tblLayout w:type="fixed"/>
        <w:tblCellMar>
          <w:left w:w="62" w:type="dxa"/>
          <w:right w:w="62" w:type="dxa"/>
        </w:tblCellMar>
        <w:tblLook w:val="0000"/>
      </w:tblPr>
      <w:tblGrid>
        <w:gridCol w:w="2700"/>
        <w:gridCol w:w="5760"/>
      </w:tblGrid>
      <w:tr w:rsidTr="00985379">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rPr>
                <w:rStyle w:val="SpecialBold"/>
              </w:rPr>
              <w:t>REQUIRED SKILLS AND KNOWLEDGE</w:t>
            </w:r>
          </w:p>
        </w:tc>
      </w:tr>
      <w:tr w:rsidTr="0098537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rPr>
                <w:rStyle w:val="SpecialBold"/>
              </w:rPr>
              <w:t>6</w:t>
            </w:r>
            <w:r w:rsidRPr="00FB7FA2">
              <w:t>) This describes the essential skills and knowledge and their level, required for this unit.</w:t>
            </w:r>
          </w:p>
        </w:tc>
      </w:tr>
      <w:tr w:rsidTr="0098537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B7FA2" w:rsidP="00FB7FA2">
            <w:pPr>
              <w:pStyle w:val="BodyText"/>
            </w:pPr>
            <w:r w:rsidRPr="00FB7FA2">
              <w:t>Evidence shall show that knowledge has been acquired of responding to critical incidents for a permit to work.</w:t>
            </w:r>
          </w:p>
          <w:p w:rsidR="00000000" w:rsidP="00FB7FA2">
            <w:pPr>
              <w:pStyle w:val="BodyText"/>
              <w:rPr>
                <w:lang w:val="en-NZ"/>
              </w:rPr>
            </w:pPr>
            <w:r w:rsidRPr="00FB7FA2">
              <w:t>The extent of the Essential Knowledge and Associated Skills required follows:</w:t>
            </w:r>
          </w:p>
        </w:tc>
      </w:tr>
      <w:tr w:rsidTr="009853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B7FA2" w:rsidP="00FB7FA2">
            <w:pPr>
              <w:pStyle w:val="BodyText"/>
            </w:pPr>
            <w:r w:rsidRPr="00FB7FA2">
              <w:t>Evidence shall show that knowledge has been acquired for safe working practices of:</w:t>
            </w:r>
          </w:p>
          <w:p w:rsidR="00000000" w:rsidRPr="00FB7FA2" w:rsidP="00FB7FA2">
            <w:pPr>
              <w:pStyle w:val="ListBullet3"/>
            </w:pPr>
            <w:r w:rsidRPr="00FB7FA2">
              <w:t xml:space="preserve">Relevant occupational health and safety regulations; </w:t>
            </w:r>
          </w:p>
          <w:p w:rsidR="00000000" w:rsidRPr="00FB7FA2" w:rsidP="00FB7FA2">
            <w:pPr>
              <w:pStyle w:val="ListBullet3"/>
            </w:pPr>
            <w:r w:rsidRPr="00FB7FA2">
              <w:t xml:space="preserve">Relevant statutory legislation; </w:t>
            </w:r>
          </w:p>
          <w:p w:rsidR="00000000" w:rsidRPr="00FB7FA2" w:rsidP="00FB7FA2">
            <w:pPr>
              <w:pStyle w:val="ListBullet3"/>
            </w:pPr>
            <w:r w:rsidRPr="00FB7FA2">
              <w:t>Rel</w:t>
            </w:r>
            <w:r w:rsidRPr="00FB7FA2">
              <w:t xml:space="preserve">evant enterprise/site safety procedures; </w:t>
            </w:r>
          </w:p>
          <w:p w:rsidR="00000000" w:rsidRPr="00FB7FA2" w:rsidP="00FB7FA2">
            <w:pPr>
              <w:pStyle w:val="ListBullet3"/>
            </w:pPr>
            <w:r w:rsidRPr="00FB7FA2">
              <w:t xml:space="preserve">Enterprise/site emergency procedures and techniques; </w:t>
            </w:r>
          </w:p>
          <w:p w:rsidR="00000000" w:rsidRPr="00FB7FA2" w:rsidP="00FB7FA2">
            <w:pPr>
              <w:pStyle w:val="ListBullet3"/>
            </w:pPr>
            <w:r w:rsidRPr="00FB7FA2">
              <w:t xml:space="preserve">Plant status; </w:t>
            </w:r>
          </w:p>
          <w:p w:rsidR="00000000" w:rsidRPr="00FB7FA2" w:rsidP="00FB7FA2">
            <w:pPr>
              <w:pStyle w:val="ListBullet3"/>
            </w:pPr>
            <w:r w:rsidRPr="00FB7FA2">
              <w:t xml:space="preserve">Relevant plant and equipment, it's locations and operating parameters; </w:t>
            </w:r>
          </w:p>
          <w:p w:rsidR="00000000" w:rsidRPr="00FB7FA2" w:rsidP="00FB7FA2">
            <w:pPr>
              <w:pStyle w:val="ListBullet3"/>
            </w:pPr>
            <w:r w:rsidRPr="00FB7FA2">
              <w:t xml:space="preserve">Enterprise recording procedures; System/network characteristics; </w:t>
            </w:r>
          </w:p>
          <w:p w:rsidR="00000000" w:rsidRPr="00FB7FA2" w:rsidP="00FB7FA2">
            <w:pPr>
              <w:pStyle w:val="ListBullet3"/>
            </w:pPr>
            <w:r w:rsidRPr="00FB7FA2">
              <w:t xml:space="preserve">Contingency plans; </w:t>
            </w:r>
          </w:p>
          <w:p w:rsidR="00000000" w:rsidRPr="00FB7FA2" w:rsidP="00FB7FA2">
            <w:pPr>
              <w:pStyle w:val="ListBullet3"/>
            </w:pPr>
            <w:r w:rsidRPr="00FB7FA2">
              <w:t xml:space="preserve">Supervisory, alarm, protection and control equipment; </w:t>
            </w:r>
          </w:p>
          <w:p w:rsidR="00000000" w:rsidRPr="00FB7FA2" w:rsidP="00FB7FA2">
            <w:pPr>
              <w:pStyle w:val="ListBullet3"/>
            </w:pPr>
            <w:r w:rsidRPr="00FB7FA2">
              <w:t xml:space="preserve">Switchgear operation; </w:t>
            </w:r>
          </w:p>
          <w:p w:rsidR="00000000" w:rsidRPr="00FB7FA2" w:rsidP="00FB7FA2">
            <w:pPr>
              <w:pStyle w:val="ListBullet3"/>
            </w:pPr>
            <w:r w:rsidRPr="00FB7FA2">
              <w:t xml:space="preserve">Load shedding principles; </w:t>
            </w:r>
          </w:p>
          <w:p w:rsidR="00000000" w:rsidRPr="00FB7FA2" w:rsidP="00FB7FA2">
            <w:pPr>
              <w:pStyle w:val="ListBullet3"/>
            </w:pPr>
            <w:r w:rsidRPr="00FB7FA2">
              <w:t xml:space="preserve">Communication principles; </w:t>
            </w:r>
          </w:p>
          <w:p w:rsidR="00000000" w:rsidRPr="00FB7FA2" w:rsidP="00FB7FA2">
            <w:pPr>
              <w:pStyle w:val="ListBullet3"/>
            </w:pPr>
            <w:r w:rsidRPr="00FB7FA2">
              <w:t xml:space="preserve">Control and data acquisition systems; </w:t>
            </w:r>
          </w:p>
          <w:p w:rsidR="00000000" w:rsidRPr="00FB7FA2" w:rsidP="00FB7FA2">
            <w:pPr>
              <w:pStyle w:val="ListBullet3"/>
            </w:pPr>
            <w:r w:rsidRPr="00FB7FA2">
              <w:t xml:space="preserve">Computers and software; </w:t>
            </w:r>
          </w:p>
          <w:p w:rsidR="00000000" w:rsidP="00FB7FA2">
            <w:pPr>
              <w:pStyle w:val="ListBullet3"/>
              <w:rPr>
                <w:lang w:val="en-NZ"/>
              </w:rPr>
            </w:pPr>
            <w:r w:rsidRPr="00FB7FA2">
              <w:t>Switching practices and procedures</w:t>
            </w:r>
          </w:p>
        </w:tc>
      </w:tr>
      <w:tr w:rsidTr="009853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B7FA2" w:rsidP="00FB7FA2">
            <w:pPr>
              <w:pStyle w:val="BodyText"/>
            </w:pPr>
            <w:r w:rsidRPr="00FB7FA2">
              <w:t>Spe</w:t>
            </w:r>
            <w:r w:rsidRPr="00FB7FA2">
              <w:t>cific skills needed to achieve the Performance Criteria:</w:t>
            </w:r>
          </w:p>
          <w:p w:rsidR="00000000" w:rsidRPr="00FB7FA2" w:rsidP="00FB7FA2">
            <w:pPr>
              <w:pStyle w:val="ListBullet3"/>
            </w:pPr>
            <w:r w:rsidRPr="00FB7FA2">
              <w:t xml:space="preserve">Apply relevant occupational health and safety regulations; </w:t>
            </w:r>
          </w:p>
          <w:p w:rsidR="00000000" w:rsidRPr="00FB7FA2" w:rsidP="00FB7FA2">
            <w:pPr>
              <w:pStyle w:val="ListBullet3"/>
            </w:pPr>
            <w:r w:rsidRPr="00FB7FA2">
              <w:t xml:space="preserve">Apply relevant statutory legislation; </w:t>
            </w:r>
          </w:p>
          <w:p w:rsidR="00000000" w:rsidRPr="00FB7FA2" w:rsidP="00FB7FA2">
            <w:pPr>
              <w:pStyle w:val="ListBullet3"/>
            </w:pPr>
            <w:r w:rsidRPr="00FB7FA2">
              <w:t xml:space="preserve">Apply relevant enterprise/site safety procedures; </w:t>
            </w:r>
          </w:p>
          <w:p w:rsidR="00000000" w:rsidRPr="00FB7FA2" w:rsidP="00FB7FA2">
            <w:pPr>
              <w:pStyle w:val="ListBullet3"/>
            </w:pPr>
            <w:r w:rsidRPr="00FB7FA2">
              <w:t xml:space="preserve">Apply enterprise/site emergency procedures and techniques; </w:t>
            </w:r>
          </w:p>
          <w:p w:rsidR="00000000" w:rsidRPr="00FB7FA2" w:rsidP="00FB7FA2">
            <w:pPr>
              <w:pStyle w:val="ListBullet3"/>
            </w:pPr>
            <w:r w:rsidRPr="00FB7FA2">
              <w:t xml:space="preserve">Apply enterprise recording procedures; </w:t>
            </w:r>
          </w:p>
          <w:p w:rsidR="00000000" w:rsidRPr="00FB7FA2" w:rsidP="00FB7FA2">
            <w:pPr>
              <w:pStyle w:val="ListBullet3"/>
            </w:pPr>
            <w:r w:rsidRPr="00FB7FA2">
              <w:t xml:space="preserve">Manager and control system/network; </w:t>
            </w:r>
          </w:p>
          <w:p w:rsidR="00000000" w:rsidRPr="00FB7FA2" w:rsidP="00FB7FA2">
            <w:pPr>
              <w:pStyle w:val="ListBullet3"/>
            </w:pPr>
            <w:r w:rsidRPr="00FB7FA2">
              <w:t xml:space="preserve">Identify plant status; </w:t>
            </w:r>
          </w:p>
          <w:p w:rsidR="00000000" w:rsidRPr="00FB7FA2" w:rsidP="00FB7FA2">
            <w:pPr>
              <w:pStyle w:val="ListBullet3"/>
            </w:pPr>
            <w:r w:rsidRPr="00FB7FA2">
              <w:t xml:space="preserve">Communicate effectively; </w:t>
            </w:r>
          </w:p>
          <w:p w:rsidR="00000000" w:rsidRPr="00FB7FA2" w:rsidP="00FB7FA2">
            <w:pPr>
              <w:pStyle w:val="ListBullet3"/>
            </w:pPr>
            <w:r w:rsidRPr="00FB7FA2">
              <w:t xml:space="preserve">Apply data analysis techniques and tools; </w:t>
            </w:r>
          </w:p>
          <w:p w:rsidR="00000000" w:rsidRPr="00FB7FA2" w:rsidP="00FB7FA2">
            <w:pPr>
              <w:pStyle w:val="ListBullet3"/>
            </w:pPr>
            <w:r w:rsidRPr="00FB7FA2">
              <w:t>Identify and respond to ab</w:t>
            </w:r>
            <w:r w:rsidRPr="00FB7FA2">
              <w:t xml:space="preserve">normal system operating conditions; </w:t>
            </w:r>
          </w:p>
          <w:p w:rsidR="00000000" w:rsidRPr="00FB7FA2" w:rsidP="00FB7FA2">
            <w:pPr>
              <w:pStyle w:val="ListBullet3"/>
            </w:pPr>
            <w:r w:rsidRPr="00FB7FA2">
              <w:t xml:space="preserve">Plan and prioritise work; </w:t>
            </w:r>
          </w:p>
          <w:p w:rsidR="00000000" w:rsidRPr="00FB7FA2" w:rsidP="00FB7FA2">
            <w:pPr>
              <w:pStyle w:val="ListBullet3"/>
            </w:pPr>
            <w:r w:rsidRPr="00FB7FA2">
              <w:t xml:space="preserve">Co-ordinate the operation of system/network to maintain plant integrity, personnel safety, continuity of supply and optimum efficiency; </w:t>
            </w:r>
          </w:p>
          <w:p w:rsidR="00000000" w:rsidRPr="00FB7FA2" w:rsidP="00FB7FA2">
            <w:pPr>
              <w:pStyle w:val="ListBullet3"/>
            </w:pPr>
            <w:r w:rsidRPr="00FB7FA2">
              <w:t xml:space="preserve">Use diagrams, drawings and symbols; </w:t>
            </w:r>
          </w:p>
          <w:p w:rsidR="00000000" w:rsidRPr="00FB7FA2" w:rsidP="00FB7FA2">
            <w:pPr>
              <w:pStyle w:val="ListBullet3"/>
            </w:pPr>
            <w:r w:rsidRPr="00FB7FA2">
              <w:t>Apply stress manag</w:t>
            </w:r>
            <w:r w:rsidRPr="00FB7FA2">
              <w:t xml:space="preserve">ement techniques; </w:t>
            </w:r>
          </w:p>
          <w:p w:rsidR="00000000" w:rsidRPr="00FB7FA2" w:rsidP="00FB7FA2">
            <w:pPr>
              <w:pStyle w:val="ListBullet3"/>
            </w:pPr>
            <w:r w:rsidRPr="00FB7FA2">
              <w:t xml:space="preserve">Direct and co-ordinate personnel; </w:t>
            </w:r>
          </w:p>
          <w:p w:rsidR="00000000" w:rsidRPr="00FB7FA2" w:rsidP="00FB7FA2">
            <w:pPr>
              <w:pStyle w:val="ListBullet3"/>
            </w:pPr>
            <w:r w:rsidRPr="00FB7FA2">
              <w:t xml:space="preserve">Select appropriate load shedding; </w:t>
            </w:r>
          </w:p>
          <w:p w:rsidR="00000000" w:rsidRPr="00FB7FA2" w:rsidP="00FB7FA2">
            <w:pPr>
              <w:pStyle w:val="ListBullet3"/>
            </w:pPr>
            <w:r w:rsidRPr="00FB7FA2">
              <w:t>Apply diagnostic techniques.</w:t>
            </w:r>
          </w:p>
        </w:tc>
      </w:tr>
    </w:tbl>
    <w:p w:rsidR="00985379" w:rsidP="00FB7FA2">
      <w:pPr>
        <w:pStyle w:val="BodyText"/>
      </w:pPr>
    </w:p>
    <w:p w:rsidR="00985379" w:rsidP="00FB7FA2">
      <w:pPr>
        <w:pStyle w:val="BodyText"/>
      </w:pPr>
    </w:p>
    <w:p w:rsidR="00000000" w:rsidRPr="00FB7FA2" w:rsidP="00FB7FA2">
      <w:pPr>
        <w:pStyle w:val="Heading1"/>
      </w:pPr>
      <w:bookmarkStart w:id="10" w:name="O_248042"/>
      <w:bookmarkEnd w:id="10"/>
      <w:r w:rsidRPr="00FB7FA2">
        <w:t>Evidence Guide</w:t>
      </w:r>
    </w:p>
    <w:tbl>
      <w:tblPr>
        <w:tblW w:w="0" w:type="auto"/>
        <w:tblLayout w:type="fixed"/>
        <w:tblCellMar>
          <w:left w:w="62" w:type="dxa"/>
          <w:right w:w="62" w:type="dxa"/>
        </w:tblCellMar>
        <w:tblLook w:val="0000"/>
      </w:tblPr>
      <w:tblGrid>
        <w:gridCol w:w="2160"/>
        <w:gridCol w:w="6300"/>
      </w:tblGrid>
      <w:tr w:rsidTr="0098537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rPr>
                <w:rStyle w:val="SpecialBold"/>
              </w:rPr>
              <w:t>EVIDENCE GUIDE</w:t>
            </w:r>
          </w:p>
        </w:tc>
      </w:tr>
      <w:tr w:rsidTr="0098537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B7FA2" w:rsidP="00FB7FA2">
            <w:pPr>
              <w:pStyle w:val="BodyText"/>
            </w:pPr>
            <w:r w:rsidRPr="00FB7FA2">
              <w:rPr>
                <w:rStyle w:val="SpecialBold"/>
              </w:rPr>
              <w:t>8</w:t>
            </w:r>
            <w:r w:rsidRPr="00FB7FA2">
              <w:t>) This provides essential advice for assessment of the unit of competency and must be read in conjunction with the Performance Criteria and the Range Statement of the unit and the Training Package Assessment Guidelines.</w:t>
            </w:r>
          </w:p>
          <w:p w:rsidR="00000000" w:rsidP="00FB7FA2">
            <w:pPr>
              <w:pStyle w:val="BodyText"/>
              <w:rPr>
                <w:lang w:val="en-NZ"/>
              </w:rPr>
            </w:pPr>
            <w:r w:rsidRPr="00FB7FA2">
              <w:t>The Evidence Guide forms an integral</w:t>
            </w:r>
            <w:r w:rsidRPr="00FB7FA2">
              <w:t xml:space="preserve"> part of this Competency Standard Unit and shall be used in conjunction with all components parts of this unit and, performed in accordance with the Assessment Guidelines of this Training Package.</w:t>
            </w:r>
          </w:p>
        </w:tc>
      </w:tr>
      <w:tr w:rsidTr="0098537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B7FA2" w:rsidP="00FB7FA2">
            <w:pPr>
              <w:pStyle w:val="BodyText"/>
            </w:pPr>
            <w:r w:rsidRPr="00FB7FA2">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FB7FA2" w:rsidP="00FB7FA2">
            <w:pPr>
              <w:pStyle w:val="BodyText"/>
            </w:pPr>
            <w:r w:rsidRPr="00FB7FA2">
              <w:rPr>
                <w:rStyle w:val="SpecialBold"/>
              </w:rPr>
              <w:t>8</w:t>
            </w:r>
            <w:r w:rsidRPr="00FB7FA2">
              <w:t>.</w:t>
            </w:r>
            <w:r w:rsidRPr="00FB7FA2">
              <w:rPr>
                <w:rStyle w:val="SpecialBold"/>
              </w:rPr>
              <w:t>1</w:t>
            </w:r>
            <w:r w:rsidRPr="00FB7FA2">
              <w:t xml:space="preserve">) </w:t>
            </w:r>
          </w:p>
          <w:p w:rsidR="00000000" w:rsidRPr="00FB7FA2" w:rsidP="00FB7FA2">
            <w:pPr>
              <w:pStyle w:val="BodyText"/>
            </w:pPr>
            <w:r w:rsidRPr="00FB7FA2">
              <w:t>Longitude competency develop</w:t>
            </w:r>
            <w:r w:rsidRPr="00FB7FA2">
              <w:t>ment approaches to assessment, such as Profiling, require data to be reliably gathered in a form that can be consistently interpreted over time. This approach is best utilised in Apprenticeship programs and reduces assessment intervention. It is the Indust</w:t>
            </w:r>
            <w:r w:rsidRPr="00FB7FA2">
              <w:t>ry's preferred model for apprenticeships. However, where summative (or final) assessment is used it is to include the application of the competency in the normal work environment or, at a minimum, the application of the competency in a realistically simula</w:t>
            </w:r>
            <w:r w:rsidRPr="00FB7FA2">
              <w:t>ted work environment. It is recognised that, in some circumstances, assessment in part or full can occur outside the workplace. However, it must be in accord with Industry and, Regulatory policy in this regard.</w:t>
            </w:r>
          </w:p>
          <w:p w:rsidR="00000000" w:rsidRPr="00FB7FA2" w:rsidP="00FB7FA2">
            <w:pPr>
              <w:pStyle w:val="BodyText"/>
            </w:pPr>
            <w:r w:rsidRPr="00FB7FA2">
              <w:t>Methods chosen for a particular assessment will be influenced by various factors. These include the extent of the assessment, the most effective locations for the assessment activities to take place, access to physical resources, additional safety measures</w:t>
            </w:r>
            <w:r w:rsidRPr="00FB7FA2">
              <w:t xml:space="preserve"> that may be required and the critical nature of the competencies being assessed.</w:t>
            </w:r>
          </w:p>
          <w:p w:rsidR="00000000" w:rsidRPr="00FB7FA2" w:rsidP="00FB7FA2">
            <w:pPr>
              <w:pStyle w:val="BodyText"/>
            </w:pPr>
            <w:r w:rsidRPr="00FB7FA2">
              <w:t>The critical safety nature of working with electricity, electrical equipment, gas or any other hazardous substance/material carries risk in deeming a person competent. Hence,</w:t>
            </w:r>
            <w:r w:rsidRPr="00FB7FA2">
              <w:t xml:space="preserve"> sources of evidence need to be 'rich' in nature so as to minimise error in judgment.</w:t>
            </w:r>
          </w:p>
          <w:p w:rsidR="00000000" w:rsidP="00FB7FA2">
            <w:pPr>
              <w:pStyle w:val="BodyText"/>
              <w:rPr>
                <w:lang w:val="en-NZ"/>
              </w:rPr>
            </w:pPr>
            <w:r w:rsidRPr="00FB7FA2">
              <w:t xml:space="preserve">Activities associated with normal every day work have a bearing on the decision as to how much and how detailed the data gathered will contribute to its 'richness'. Some </w:t>
            </w:r>
            <w:r w:rsidRPr="00FB7FA2">
              <w:t xml:space="preserve">skills are more critical to safety and operational requirements while the same skills may be more or less frequently practised. These points are raised for the assessors to consider when choosing an assessment method and developing assessment instruments. </w:t>
            </w:r>
            <w:r w:rsidRPr="00FB7FA2">
              <w:t>Sample assessment instruments are included for Assessors in the Assessment Guidelines of this Training Package.</w:t>
            </w:r>
          </w:p>
        </w:tc>
      </w:tr>
      <w:tr w:rsidTr="0098537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B7FA2" w:rsidP="00FB7FA2">
            <w:pPr>
              <w:pStyle w:val="BodyText"/>
            </w:pPr>
            <w:r w:rsidRPr="00FB7FA2">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FB7FA2" w:rsidP="00FB7FA2">
            <w:pPr>
              <w:pStyle w:val="BodyText"/>
            </w:pPr>
            <w:r w:rsidRPr="00FB7FA2">
              <w:rPr>
                <w:rStyle w:val="SpecialBold"/>
              </w:rPr>
              <w:t>8</w:t>
            </w:r>
            <w:r w:rsidRPr="00FB7FA2">
              <w:t>.</w:t>
            </w:r>
            <w:r w:rsidRPr="00FB7FA2">
              <w:rPr>
                <w:rStyle w:val="SpecialBold"/>
              </w:rPr>
              <w:t>2</w:t>
            </w:r>
            <w:r w:rsidRPr="00FB7FA2">
              <w:t xml:space="preserve">) </w:t>
            </w:r>
          </w:p>
          <w:p w:rsidR="00000000" w:rsidP="00FB7FA2">
            <w:pPr>
              <w:pStyle w:val="BodyText"/>
              <w:rPr>
                <w:lang w:val="en-NZ"/>
              </w:rPr>
            </w:pPr>
            <w:r w:rsidRPr="00FB7FA2">
              <w:t>Before the critical aspects of evidence are considered all p</w:t>
            </w:r>
            <w:r w:rsidRPr="00FB7FA2">
              <w:t>rerequisites shall be met.</w:t>
            </w:r>
          </w:p>
        </w:tc>
      </w:tr>
      <w:tr w:rsidTr="0098537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FB7FA2" w:rsidP="00FB7FA2">
            <w:pPr>
              <w:pStyle w:val="BodyText"/>
            </w:pPr>
            <w:r w:rsidRPr="00FB7FA2">
              <w:t>Evidence for competence in this unit shall be considered holistically.  Each element and associated Performance Criteria shall be demonstrated on at least two occasions in accordance with the "Assessment Guidelines - UEP06".  E</w:t>
            </w:r>
            <w:r w:rsidRPr="00FB7FA2">
              <w:t>vidence shall also comprise:</w:t>
            </w:r>
          </w:p>
          <w:p w:rsidR="00000000" w:rsidP="00FB7FA2">
            <w:pPr>
              <w:pStyle w:val="ListBullet"/>
              <w:rPr>
                <w:lang w:val="en-NZ"/>
              </w:rPr>
            </w:pPr>
            <w:r w:rsidRPr="00FB7FA2">
              <w:t>A representative body of Performance Criteria demonstrated within the timeframes typically expected of the discipline, work function and industrial environment. In particular this shall incorporate evidence that shows a candid</w:t>
            </w:r>
            <w:r w:rsidRPr="00FB7FA2">
              <w:t>ate is able to:</w:t>
            </w:r>
          </w:p>
        </w:tc>
      </w:tr>
      <w:tr w:rsidTr="0098537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B7FA2">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FB7FA2" w:rsidP="00FB7FA2">
            <w:pPr>
              <w:pStyle w:val="ListBullet3"/>
            </w:pPr>
            <w:r w:rsidRPr="00FB7FA2">
              <w:t>Implement Occupational Health and Safety workplace procedures and practices including the use of risk control measures as specified in the Performance Criteria and Range Statement</w:t>
            </w:r>
          </w:p>
          <w:p w:rsidR="00000000" w:rsidRPr="00FB7FA2" w:rsidP="00FB7FA2">
            <w:pPr>
              <w:pStyle w:val="ListBullet3"/>
            </w:pPr>
            <w:r w:rsidRPr="00FB7FA2">
              <w:t xml:space="preserve">Apply </w:t>
            </w:r>
            <w:r w:rsidRPr="00FB7FA2">
              <w:t>sustainable energy principles and practices as specified in the Performance Criteria and Range Statement</w:t>
            </w:r>
          </w:p>
          <w:p w:rsidR="00000000" w:rsidRPr="00FB7FA2" w:rsidP="00FB7FA2">
            <w:pPr>
              <w:pStyle w:val="ListBullet3"/>
            </w:pPr>
            <w:r w:rsidRPr="00FB7FA2">
              <w:t>Demonstrate an understanding of the essential knowledge and associated skills as described in 6) Essential Knowledge and Associated Skills of this unit</w:t>
            </w:r>
          </w:p>
          <w:p w:rsidR="00000000" w:rsidRPr="00FB7FA2" w:rsidP="00FB7FA2">
            <w:pPr>
              <w:pStyle w:val="ListBullet3"/>
            </w:pPr>
            <w:r w:rsidRPr="00FB7FA2">
              <w:t>Demonstrate an appropriate level of skills enabling employment</w:t>
            </w:r>
          </w:p>
          <w:p w:rsidR="00000000" w:rsidP="00FB7FA2">
            <w:pPr>
              <w:pStyle w:val="ListBullet3"/>
              <w:rPr>
                <w:lang w:val="en-NZ"/>
              </w:rPr>
            </w:pPr>
            <w:r w:rsidRPr="00FB7FA2">
              <w:t>Conduct work observing the relevant Anti Discrimination legislation, regulations, polices and workplace procedures</w:t>
            </w:r>
          </w:p>
        </w:tc>
      </w:tr>
      <w:tr w:rsidTr="0098537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B7FA2">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FB7FA2">
            <w:pPr>
              <w:pStyle w:val="ListBullet"/>
              <w:rPr>
                <w:lang w:val="en-NZ"/>
              </w:rPr>
            </w:pPr>
            <w:r w:rsidRPr="00FB7FA2">
              <w:t>Demonstrated performance across a representative range of contexts from the prescribed items below:</w:t>
            </w:r>
          </w:p>
        </w:tc>
      </w:tr>
      <w:tr w:rsidTr="0098537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B7FA2">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FB7FA2" w:rsidP="00FB7FA2">
            <w:pPr>
              <w:pStyle w:val="ListBullet3"/>
            </w:pPr>
            <w:r w:rsidRPr="00FB7FA2">
              <w:t xml:space="preserve">Knowledge and application of relevant sections of: Occupational Health and Safety legislation; </w:t>
            </w:r>
            <w:r w:rsidRPr="00FB7FA2">
              <w:t>Statutory legislation; Enterprise/site safety procedures; Enterprise/site emergency procedures</w:t>
            </w:r>
          </w:p>
          <w:p w:rsidR="00000000" w:rsidRPr="00FB7FA2" w:rsidP="00FB7FA2">
            <w:pPr>
              <w:pStyle w:val="ListBullet3"/>
            </w:pPr>
            <w:r w:rsidRPr="00FB7FA2">
              <w:t>Preparing for system stabilisation</w:t>
            </w:r>
          </w:p>
          <w:p w:rsidR="00000000" w:rsidRPr="00FB7FA2" w:rsidP="00FB7FA2">
            <w:pPr>
              <w:pStyle w:val="ListBullet3"/>
            </w:pPr>
            <w:r w:rsidRPr="00FB7FA2">
              <w:t>Stabilising and restoring system operations</w:t>
            </w:r>
          </w:p>
          <w:p w:rsidR="00000000" w:rsidRPr="00FB7FA2" w:rsidP="00FB7FA2">
            <w:pPr>
              <w:pStyle w:val="ListBullet3"/>
            </w:pPr>
            <w:r w:rsidRPr="00FB7FA2">
              <w:t>Coordination requirements</w:t>
            </w:r>
          </w:p>
          <w:p w:rsidR="00000000" w:rsidRPr="00FB7FA2" w:rsidP="00FB7FA2">
            <w:pPr>
              <w:pStyle w:val="ListBullet3"/>
            </w:pPr>
            <w:r w:rsidRPr="00FB7FA2">
              <w:t xml:space="preserve">Identifying and responding to abnormal system operating </w:t>
            </w:r>
            <w:r w:rsidRPr="00FB7FA2">
              <w:t>conditions</w:t>
            </w:r>
          </w:p>
          <w:p w:rsidR="00000000" w:rsidRPr="00FB7FA2" w:rsidP="00FB7FA2">
            <w:pPr>
              <w:pStyle w:val="ListBullet3"/>
            </w:pPr>
            <w:r w:rsidRPr="00FB7FA2">
              <w:t>Policies for system incident and follow up procedures</w:t>
            </w:r>
          </w:p>
          <w:p w:rsidR="00000000" w:rsidRPr="00FB7FA2" w:rsidP="00FB7FA2">
            <w:pPr>
              <w:pStyle w:val="ListBullet3"/>
            </w:pPr>
            <w:r w:rsidRPr="00FB7FA2">
              <w:t>Generation/transmission capability limits</w:t>
            </w:r>
          </w:p>
          <w:p w:rsidR="00000000" w:rsidRPr="00FB7FA2" w:rsidP="00FB7FA2">
            <w:pPr>
              <w:pStyle w:val="ListBullet3"/>
            </w:pPr>
            <w:r w:rsidRPr="00FB7FA2">
              <w:t>Impact of actions</w:t>
            </w:r>
          </w:p>
          <w:p w:rsidR="00000000" w:rsidRPr="00FB7FA2" w:rsidP="00FB7FA2">
            <w:pPr>
              <w:pStyle w:val="ListBullet3"/>
            </w:pPr>
            <w:r w:rsidRPr="00FB7FA2">
              <w:t>Dealing with an unplanned event by drawing on essential knowledge and skills to provide appropriate solutions incorporated in the h</w:t>
            </w:r>
            <w:r w:rsidRPr="00FB7FA2">
              <w:t>olistic assessment with the above listed items</w:t>
            </w:r>
          </w:p>
        </w:tc>
      </w:tr>
    </w:tbl>
    <w:p w:rsidR="00000000" w:rsidRPr="00FB7FA2" w:rsidP="00FB7FA2">
      <w:pPr>
        <w:pStyle w:val="BodyText"/>
      </w:pPr>
    </w:p>
    <w:tbl>
      <w:tblPr>
        <w:tblW w:w="0" w:type="auto"/>
        <w:tblLayout w:type="fixed"/>
        <w:tblCellMar>
          <w:left w:w="62" w:type="dxa"/>
          <w:right w:w="62" w:type="dxa"/>
        </w:tblCellMar>
        <w:tblLook w:val="0000"/>
      </w:tblPr>
      <w:tblGrid>
        <w:gridCol w:w="2160"/>
        <w:gridCol w:w="1620"/>
        <w:gridCol w:w="4680"/>
      </w:tblGrid>
      <w:tr w:rsidTr="0098537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B7FA2" w:rsidP="00FB7FA2">
            <w:pPr>
              <w:pStyle w:val="BodyText"/>
            </w:pPr>
            <w:r w:rsidRPr="00FB7FA2">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FB7FA2" w:rsidP="00FB7FA2">
            <w:pPr>
              <w:pStyle w:val="BodyText"/>
            </w:pPr>
            <w:r w:rsidRPr="00FB7FA2">
              <w:rPr>
                <w:rStyle w:val="SpecialBold"/>
              </w:rPr>
              <w:t>8</w:t>
            </w:r>
            <w:r w:rsidRPr="00FB7FA2">
              <w:t>.</w:t>
            </w:r>
            <w:r w:rsidRPr="00FB7FA2">
              <w:rPr>
                <w:rStyle w:val="SpecialBold"/>
              </w:rPr>
              <w:t>3</w:t>
            </w:r>
            <w:r w:rsidRPr="00FB7FA2">
              <w:t xml:space="preserve">) </w:t>
            </w:r>
          </w:p>
          <w:p w:rsidR="00000000" w:rsidRPr="00FB7FA2" w:rsidP="00FB7FA2">
            <w:pPr>
              <w:pStyle w:val="BodyText"/>
            </w:pPr>
            <w:r w:rsidRPr="00FB7FA2">
              <w:t>This unit should be assessed as it relates to normal work practice using procedures, information and resources typical of a workplace. This should include:</w:t>
            </w:r>
          </w:p>
          <w:p w:rsidR="00000000" w:rsidRPr="00FB7FA2" w:rsidP="00FB7FA2">
            <w:pPr>
              <w:pStyle w:val="ListBullet"/>
            </w:pPr>
            <w:r w:rsidRPr="00FB7FA2">
              <w:t>OHS policy and work procedures and instructions.</w:t>
            </w:r>
          </w:p>
          <w:p w:rsidR="00000000" w:rsidRPr="00FB7FA2" w:rsidP="00FB7FA2">
            <w:pPr>
              <w:pStyle w:val="ListBullet"/>
            </w:pPr>
            <w:r w:rsidRPr="00FB7FA2">
              <w:t>Suitable work environment, facilities, equipment a</w:t>
            </w:r>
            <w:r w:rsidRPr="00FB7FA2">
              <w:t>nd materials to undertake actual work as prescribed by this unit.</w:t>
            </w:r>
          </w:p>
          <w:p w:rsidR="00000000" w:rsidRPr="00FB7FA2" w:rsidP="00FB7FA2">
            <w:pPr>
              <w:pStyle w:val="BodyText"/>
            </w:pPr>
            <w:r w:rsidRPr="00FB7FA2">
              <w:t>Competency Standards should be assessed in the workplace or simulated workplace and under the normal range of workplace conditions.</w:t>
            </w:r>
          </w:p>
          <w:p w:rsidR="00000000" w:rsidP="00FB7FA2">
            <w:pPr>
              <w:pStyle w:val="BodyText"/>
              <w:rPr>
                <w:lang w:val="en-NZ"/>
              </w:rPr>
            </w:pPr>
            <w:r w:rsidRPr="00FB7FA2">
              <w:t>Assessment of this unit will be supported with documentary</w:t>
            </w:r>
            <w:r w:rsidRPr="00FB7FA2">
              <w:t xml:space="preserve"> evidence, by means of endorsement stating type and application of work.</w:t>
            </w:r>
          </w:p>
        </w:tc>
      </w:tr>
      <w:tr w:rsidTr="0098537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t>In addition to the resources listed above in Context of assessment', evidence should show competency working, in limited spaces, with different types of plant and equipment as well</w:t>
            </w:r>
            <w:r w:rsidRPr="00FB7FA2">
              <w:t xml:space="preserve"> as different structural/construction types and methods and in a variety of environments.</w:t>
            </w:r>
          </w:p>
        </w:tc>
      </w:tr>
      <w:tr w:rsidTr="0098537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B7FA2" w:rsidP="00FB7FA2">
            <w:pPr>
              <w:pStyle w:val="BodyText"/>
            </w:pPr>
            <w:r w:rsidRPr="00FB7FA2">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FB7FA2" w:rsidP="00FB7FA2">
            <w:pPr>
              <w:pStyle w:val="BodyText"/>
            </w:pPr>
            <w:r w:rsidRPr="00FB7FA2">
              <w:rPr>
                <w:rStyle w:val="SpecialBold"/>
              </w:rPr>
              <w:t>8</w:t>
            </w:r>
            <w:r w:rsidRPr="00FB7FA2">
              <w:t>.</w:t>
            </w:r>
            <w:r w:rsidRPr="00FB7FA2">
              <w:rPr>
                <w:rStyle w:val="SpecialBold"/>
              </w:rPr>
              <w:t>4</w:t>
            </w:r>
            <w:r w:rsidRPr="00FB7FA2">
              <w:t xml:space="preserve">) </w:t>
            </w:r>
          </w:p>
          <w:p w:rsidR="00000000" w:rsidRPr="00FB7FA2" w:rsidP="00FB7FA2">
            <w:pPr>
              <w:pStyle w:val="BodyText"/>
            </w:pPr>
            <w:r w:rsidRPr="00FB7FA2">
              <w:t>This unit shall be assessed by methods given in Volume 1, Part 3 Assessment Guidelines.</w:t>
            </w:r>
          </w:p>
          <w:p w:rsidR="00000000" w:rsidP="00FB7FA2">
            <w:pPr>
              <w:pStyle w:val="BodyText"/>
              <w:rPr>
                <w:lang w:val="en-NZ"/>
              </w:rPr>
            </w:pPr>
            <w:r w:rsidRPr="00FB7FA2">
              <w:t xml:space="preserve">Note: Competent performance with inherent safe working practices is expected in the Industry to which this unit applies. This requires that the specified essential knowledge and associated skills are assessed in a structured environment which is primarily </w:t>
            </w:r>
            <w:r w:rsidRPr="00FB7FA2">
              <w:t>intended for learning/assessment and incorporates all necessary equipment and facilities for learners to develop and demonstrate the essential knowledge and skills described in this unit.</w:t>
            </w:r>
          </w:p>
        </w:tc>
      </w:tr>
      <w:tr w:rsidTr="0098537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B7FA2" w:rsidP="00FB7FA2">
            <w:pPr>
              <w:pStyle w:val="BodyText"/>
            </w:pPr>
            <w:r w:rsidRPr="00FB7FA2">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rPr>
                <w:rStyle w:val="SpecialBold"/>
              </w:rPr>
              <w:t>8</w:t>
            </w:r>
            <w:r w:rsidRPr="00FB7FA2">
              <w:t>.</w:t>
            </w:r>
            <w:r w:rsidRPr="00FB7FA2">
              <w:rPr>
                <w:rStyle w:val="SpecialBold"/>
              </w:rPr>
              <w:t>5</w:t>
            </w:r>
            <w:r w:rsidRPr="00FB7FA2">
              <w:t xml:space="preserve">) </w:t>
            </w:r>
          </w:p>
        </w:tc>
      </w:tr>
      <w:tr w:rsidTr="0098537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t>T</w:t>
            </w:r>
            <w:r w:rsidRPr="00FB7FA2">
              <w:t>here are no recommended concurrent assessments with this unit, however in some cases efficiencies may be gained in terms of learning and assessment effort being concurrently managed with allied competency standard units where listed.</w:t>
            </w:r>
          </w:p>
        </w:tc>
      </w:tr>
      <w:tr w:rsidTr="0098537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t>Nil</w:t>
            </w:r>
          </w:p>
        </w:tc>
        <w:tc>
          <w:tcPr>
            <w:tcW w:w="4680" w:type="dxa"/>
            <w:tcBorders>
              <w:top w:val="nil"/>
              <w:left w:val="nil"/>
              <w:bottom w:val="nil"/>
              <w:right w:val="nil"/>
            </w:tcBorders>
            <w:tcMar>
              <w:top w:w="0" w:type="dxa"/>
              <w:left w:w="62" w:type="dxa"/>
              <w:bottom w:w="0" w:type="dxa"/>
              <w:right w:w="62" w:type="dxa"/>
            </w:tcMar>
          </w:tcPr>
          <w:p w:rsidR="00000000" w:rsidRPr="00FB7FA2" w:rsidP="00FB7FA2">
            <w:pPr>
              <w:pStyle w:val="BodyText"/>
            </w:pPr>
          </w:p>
        </w:tc>
      </w:tr>
    </w:tbl>
    <w:p w:rsidR="00000000" w:rsidRPr="00FB7FA2" w:rsidP="00FB7FA2">
      <w:pPr>
        <w:pStyle w:val="BodyText"/>
      </w:pPr>
    </w:p>
    <w:tbl>
      <w:tblPr>
        <w:tblW w:w="0" w:type="auto"/>
        <w:tblLayout w:type="fixed"/>
        <w:tblCellMar>
          <w:left w:w="62" w:type="dxa"/>
          <w:right w:w="62" w:type="dxa"/>
        </w:tblCellMar>
        <w:tblLook w:val="0000"/>
      </w:tblPr>
      <w:tblGrid>
        <w:gridCol w:w="2160"/>
        <w:gridCol w:w="4737"/>
        <w:gridCol w:w="1563"/>
      </w:tblGrid>
      <w:tr w:rsidTr="00985379">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FB7FA2" w:rsidP="00FB7FA2">
            <w:pPr>
              <w:pStyle w:val="BodyText"/>
            </w:pPr>
            <w:r w:rsidRPr="00FB7FA2">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FB7FA2" w:rsidP="00FB7FA2">
            <w:pPr>
              <w:pStyle w:val="BodyText"/>
            </w:pPr>
            <w:r w:rsidRPr="00FB7FA2">
              <w:rPr>
                <w:rStyle w:val="SpecialBold"/>
              </w:rPr>
              <w:t>8</w:t>
            </w:r>
            <w:r w:rsidRPr="00FB7FA2">
              <w:t>.</w:t>
            </w:r>
            <w:r w:rsidRPr="00FB7FA2">
              <w:rPr>
                <w:rStyle w:val="SpecialBold"/>
              </w:rPr>
              <w:t>6</w:t>
            </w:r>
            <w:r w:rsidRPr="00FB7FA2">
              <w:t xml:space="preserve">) </w:t>
            </w:r>
          </w:p>
          <w:p w:rsidR="00000000" w:rsidP="00FB7FA2">
            <w:pPr>
              <w:pStyle w:val="BodyText"/>
              <w:rPr>
                <w:lang w:val="en-NZ"/>
              </w:rPr>
            </w:pPr>
            <w:r w:rsidRPr="00FB7FA2">
              <w:t>Evidence that particular key competencies have been achieved within this unit is in the context of the following Performance Criteria of evidence. See Volume 2, Part 4 for an explanation of Key competencies and levels of this Trainin</w:t>
            </w:r>
            <w:r w:rsidRPr="00FB7FA2">
              <w:t>g Package.</w:t>
            </w:r>
          </w:p>
        </w:tc>
      </w:tr>
      <w:tr w:rsidTr="0098537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FA2" w:rsidP="00FB7FA2">
            <w:pPr>
              <w:pStyle w:val="BodyText"/>
            </w:pPr>
            <w:r w:rsidRPr="00FB7FA2">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FA2" w:rsidP="00FB7FA2">
            <w:pPr>
              <w:pStyle w:val="BodyText"/>
            </w:pPr>
            <w:r w:rsidRPr="00FB7FA2">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A2">
            <w:pPr>
              <w:pStyle w:val="BodyText"/>
              <w:rPr>
                <w:lang w:val="en-NZ"/>
              </w:rPr>
            </w:pPr>
            <w:r w:rsidRPr="00FB7FA2">
              <w:rPr>
                <w:rStyle w:val="SpecialBold"/>
              </w:rPr>
              <w:t>Performance Level</w:t>
            </w:r>
          </w:p>
        </w:tc>
      </w:tr>
      <w:tr w:rsidTr="0098537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A2">
            <w:pPr>
              <w:pStyle w:val="BodyText"/>
              <w:rPr>
                <w:lang w:val="en-NZ"/>
              </w:rPr>
            </w:pPr>
            <w:r w:rsidRPr="00FB7FA2">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B7FA2">
            <w:pPr>
              <w:pStyle w:val="BodyText"/>
              <w:rPr>
                <w:lang w:val="en-NZ"/>
              </w:rPr>
            </w:pPr>
            <w:r w:rsidRPr="00FB7FA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FA2" w:rsidP="00FB7FA2">
            <w:pPr>
              <w:pStyle w:val="BodyText"/>
            </w:pPr>
          </w:p>
          <w:p w:rsidR="00000000" w:rsidP="00FB7FA2">
            <w:pPr>
              <w:pStyle w:val="BodyText"/>
              <w:rPr>
                <w:lang w:val="en-NZ"/>
              </w:rPr>
            </w:pPr>
            <w:r w:rsidRPr="00FB7FA2">
              <w:t>2</w:t>
            </w:r>
          </w:p>
        </w:tc>
      </w:tr>
      <w:tr w:rsidTr="0098537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B7FA2">
            <w:pPr>
              <w:pStyle w:val="BodyText"/>
              <w:rPr>
                <w:lang w:val="en-NZ"/>
              </w:rPr>
            </w:pPr>
            <w:r w:rsidRPr="00FB7FA2">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A2">
            <w:pPr>
              <w:pStyle w:val="BodyText"/>
              <w:rPr>
                <w:lang w:val="en-NZ"/>
              </w:rPr>
            </w:pPr>
          </w:p>
        </w:tc>
      </w:tr>
      <w:tr w:rsidTr="0098537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A2">
            <w:pPr>
              <w:pStyle w:val="BodyText"/>
              <w:rPr>
                <w:lang w:val="en-NZ"/>
              </w:rPr>
            </w:pPr>
            <w:r w:rsidRPr="00FB7FA2">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B7FA2">
            <w:pPr>
              <w:pStyle w:val="BodyText"/>
              <w:rPr>
                <w:lang w:val="en-NZ"/>
              </w:rPr>
            </w:pPr>
            <w:r w:rsidRPr="00FB7FA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FA2" w:rsidP="00FB7FA2">
            <w:pPr>
              <w:pStyle w:val="BodyText"/>
            </w:pPr>
          </w:p>
          <w:p w:rsidR="00000000" w:rsidP="00FB7FA2">
            <w:pPr>
              <w:pStyle w:val="BodyText"/>
              <w:rPr>
                <w:lang w:val="en-NZ"/>
              </w:rPr>
            </w:pPr>
            <w:r w:rsidRPr="00FB7FA2">
              <w:t>2</w:t>
            </w:r>
          </w:p>
        </w:tc>
      </w:tr>
      <w:tr w:rsidTr="0098537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B7FA2">
            <w:pPr>
              <w:pStyle w:val="BodyText"/>
              <w:rPr>
                <w:lang w:val="en-NZ"/>
              </w:rPr>
            </w:pPr>
            <w:r w:rsidRPr="00FB7FA2">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A2">
            <w:pPr>
              <w:pStyle w:val="BodyText"/>
              <w:rPr>
                <w:lang w:val="en-NZ"/>
              </w:rPr>
            </w:pPr>
          </w:p>
        </w:tc>
      </w:tr>
      <w:tr w:rsidTr="0098537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A2">
            <w:pPr>
              <w:pStyle w:val="BodyText"/>
              <w:rPr>
                <w:lang w:val="en-NZ"/>
              </w:rPr>
            </w:pPr>
            <w:r w:rsidRPr="00FB7FA2">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B7FA2">
            <w:pPr>
              <w:pStyle w:val="BodyText"/>
              <w:rPr>
                <w:lang w:val="en-NZ"/>
              </w:rPr>
            </w:pPr>
            <w:r w:rsidRPr="00FB7FA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FA2" w:rsidP="00FB7FA2">
            <w:pPr>
              <w:pStyle w:val="BodyText"/>
            </w:pPr>
          </w:p>
          <w:p w:rsidR="00000000" w:rsidP="00FB7FA2">
            <w:pPr>
              <w:pStyle w:val="BodyText"/>
              <w:rPr>
                <w:lang w:val="en-NZ"/>
              </w:rPr>
            </w:pPr>
            <w:r w:rsidRPr="00FB7FA2">
              <w:t>1</w:t>
            </w:r>
          </w:p>
        </w:tc>
      </w:tr>
      <w:tr w:rsidTr="0098537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B7FA2">
            <w:pPr>
              <w:pStyle w:val="BodyText"/>
              <w:rPr>
                <w:lang w:val="en-NZ"/>
              </w:rPr>
            </w:pPr>
            <w:r w:rsidRPr="00FB7FA2">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A2">
            <w:pPr>
              <w:pStyle w:val="BodyText"/>
              <w:rPr>
                <w:lang w:val="en-NZ"/>
              </w:rPr>
            </w:pPr>
          </w:p>
        </w:tc>
      </w:tr>
      <w:tr w:rsidTr="0098537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A2">
            <w:pPr>
              <w:pStyle w:val="BodyText"/>
              <w:rPr>
                <w:lang w:val="en-NZ"/>
              </w:rPr>
            </w:pPr>
            <w:r w:rsidRPr="00FB7FA2">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B7FA2">
            <w:pPr>
              <w:pStyle w:val="BodyText"/>
              <w:rPr>
                <w:lang w:val="en-NZ"/>
              </w:rPr>
            </w:pPr>
            <w:r w:rsidRPr="00FB7FA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FA2" w:rsidP="00FB7FA2">
            <w:pPr>
              <w:pStyle w:val="BodyText"/>
            </w:pPr>
          </w:p>
          <w:p w:rsidR="00000000" w:rsidP="00FB7FA2">
            <w:pPr>
              <w:pStyle w:val="BodyText"/>
              <w:rPr>
                <w:lang w:val="en-NZ"/>
              </w:rPr>
            </w:pPr>
            <w:r w:rsidRPr="00FB7FA2">
              <w:t>2</w:t>
            </w:r>
          </w:p>
        </w:tc>
      </w:tr>
      <w:tr w:rsidTr="0098537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B7FA2">
            <w:pPr>
              <w:pStyle w:val="BodyText"/>
              <w:rPr>
                <w:lang w:val="en-NZ"/>
              </w:rPr>
            </w:pPr>
            <w:r w:rsidRPr="00FB7FA2">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A2">
            <w:pPr>
              <w:pStyle w:val="BodyText"/>
              <w:rPr>
                <w:lang w:val="en-NZ"/>
              </w:rPr>
            </w:pPr>
          </w:p>
        </w:tc>
      </w:tr>
      <w:tr w:rsidTr="0098537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A2">
            <w:pPr>
              <w:pStyle w:val="BodyText"/>
              <w:rPr>
                <w:lang w:val="en-NZ"/>
              </w:rPr>
            </w:pPr>
            <w:r w:rsidRPr="00FB7FA2">
              <w:t xml:space="preserve">How are mathematical </w:t>
            </w:r>
            <w:r w:rsidRPr="00FB7FA2">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B7FA2">
            <w:pPr>
              <w:pStyle w:val="BodyText"/>
              <w:rPr>
                <w:lang w:val="en-NZ"/>
              </w:rPr>
            </w:pPr>
            <w:r w:rsidRPr="00FB7FA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FA2" w:rsidP="00FB7FA2">
            <w:pPr>
              <w:pStyle w:val="BodyText"/>
            </w:pPr>
          </w:p>
          <w:p w:rsidR="00000000" w:rsidP="00FB7FA2">
            <w:pPr>
              <w:pStyle w:val="BodyText"/>
              <w:rPr>
                <w:lang w:val="en-NZ"/>
              </w:rPr>
            </w:pPr>
            <w:r w:rsidRPr="00FB7FA2">
              <w:t>1</w:t>
            </w:r>
          </w:p>
        </w:tc>
      </w:tr>
      <w:tr w:rsidTr="0098537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B7FA2">
            <w:pPr>
              <w:pStyle w:val="BodyText"/>
              <w:rPr>
                <w:lang w:val="en-NZ"/>
              </w:rPr>
            </w:pPr>
            <w:r w:rsidRPr="00FB7FA2">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A2">
            <w:pPr>
              <w:pStyle w:val="BodyText"/>
              <w:rPr>
                <w:lang w:val="en-NZ"/>
              </w:rPr>
            </w:pPr>
          </w:p>
        </w:tc>
      </w:tr>
      <w:tr w:rsidTr="0098537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A2">
            <w:pPr>
              <w:pStyle w:val="BodyText"/>
              <w:rPr>
                <w:lang w:val="en-NZ"/>
              </w:rPr>
            </w:pPr>
            <w:r w:rsidRPr="00FB7FA2">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B7FA2">
            <w:pPr>
              <w:pStyle w:val="BodyText"/>
              <w:rPr>
                <w:lang w:val="en-NZ"/>
              </w:rPr>
            </w:pPr>
            <w:r w:rsidRPr="00FB7FA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FA2" w:rsidP="00FB7FA2">
            <w:pPr>
              <w:pStyle w:val="BodyText"/>
            </w:pPr>
          </w:p>
          <w:p w:rsidR="00000000" w:rsidP="00FB7FA2">
            <w:pPr>
              <w:pStyle w:val="BodyText"/>
              <w:rPr>
                <w:lang w:val="en-NZ"/>
              </w:rPr>
            </w:pPr>
            <w:r w:rsidRPr="00FB7FA2">
              <w:t>2</w:t>
            </w:r>
          </w:p>
        </w:tc>
      </w:tr>
      <w:tr w:rsidTr="0098537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B7FA2">
            <w:pPr>
              <w:pStyle w:val="BodyText"/>
              <w:rPr>
                <w:lang w:val="en-NZ"/>
              </w:rPr>
            </w:pPr>
            <w:r w:rsidRPr="00FB7FA2">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A2">
            <w:pPr>
              <w:pStyle w:val="BodyText"/>
              <w:rPr>
                <w:lang w:val="en-NZ"/>
              </w:rPr>
            </w:pPr>
          </w:p>
        </w:tc>
      </w:tr>
      <w:tr w:rsidTr="0098537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A2">
            <w:pPr>
              <w:pStyle w:val="BodyText"/>
              <w:rPr>
                <w:lang w:val="en-NZ"/>
              </w:rPr>
            </w:pPr>
            <w:r w:rsidRPr="00FB7FA2">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B7FA2">
            <w:pPr>
              <w:pStyle w:val="BodyText"/>
              <w:rPr>
                <w:lang w:val="en-NZ"/>
              </w:rPr>
            </w:pPr>
            <w:r w:rsidRPr="00FB7FA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FA2" w:rsidP="00FB7FA2">
            <w:pPr>
              <w:pStyle w:val="BodyText"/>
            </w:pPr>
          </w:p>
          <w:p w:rsidR="00000000" w:rsidP="00FB7FA2">
            <w:pPr>
              <w:pStyle w:val="BodyText"/>
              <w:rPr>
                <w:lang w:val="en-NZ"/>
              </w:rPr>
            </w:pPr>
            <w:r w:rsidRPr="00FB7FA2">
              <w:t>1</w:t>
            </w:r>
          </w:p>
        </w:tc>
      </w:tr>
      <w:tr w:rsidTr="0098537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B7FA2">
            <w:pPr>
              <w:pStyle w:val="BodyText"/>
              <w:rPr>
                <w:lang w:val="en-NZ"/>
              </w:rPr>
            </w:pPr>
            <w:r w:rsidRPr="00FB7FA2">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FA2" w:rsidP="00FB7FA2">
            <w:pPr>
              <w:pStyle w:val="BodyText"/>
            </w:pPr>
          </w:p>
        </w:tc>
      </w:tr>
    </w:tbl>
    <w:p w:rsidR="00000000" w:rsidRPr="00FB7FA2" w:rsidP="00FB7FA2">
      <w:pPr>
        <w:pStyle w:val="BodyText"/>
      </w:pPr>
    </w:p>
    <w:tbl>
      <w:tblPr>
        <w:tblW w:w="0" w:type="auto"/>
        <w:tblLayout w:type="fixed"/>
        <w:tblCellMar>
          <w:left w:w="62" w:type="dxa"/>
          <w:right w:w="62" w:type="dxa"/>
        </w:tblCellMar>
        <w:tblLook w:val="0000"/>
      </w:tblPr>
      <w:tblGrid>
        <w:gridCol w:w="326"/>
        <w:gridCol w:w="1834"/>
        <w:gridCol w:w="6300"/>
      </w:tblGrid>
      <w:tr w:rsidTr="00985379">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FB7FA2">
            <w:pPr>
              <w:pStyle w:val="BodyText"/>
              <w:rPr>
                <w:lang w:val="en-NZ"/>
              </w:rPr>
            </w:pPr>
          </w:p>
        </w:tc>
      </w:tr>
      <w:tr w:rsidTr="00985379">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FB7FA2" w:rsidP="00FB7FA2">
            <w:pPr>
              <w:pStyle w:val="BodyText"/>
            </w:pPr>
            <w:r w:rsidRPr="00FB7FA2">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FB7FA2" w:rsidP="00FB7FA2">
            <w:pPr>
              <w:pStyle w:val="BodyText"/>
            </w:pPr>
            <w:r w:rsidRPr="00FB7FA2">
              <w:rPr>
                <w:rStyle w:val="SpecialBold"/>
              </w:rPr>
              <w:t>8</w:t>
            </w:r>
            <w:r w:rsidRPr="00FB7FA2">
              <w:t>.</w:t>
            </w:r>
            <w:r w:rsidRPr="00FB7FA2">
              <w:rPr>
                <w:rStyle w:val="SpecialBold"/>
              </w:rPr>
              <w:t>7</w:t>
            </w:r>
            <w:r w:rsidRPr="00FB7FA2">
              <w:t xml:space="preserve">) </w:t>
            </w:r>
          </w:p>
          <w:p w:rsidR="00000000" w:rsidP="00FB7FA2">
            <w:pPr>
              <w:pStyle w:val="BodyText"/>
              <w:rPr>
                <w:lang w:val="en-NZ"/>
              </w:rPr>
            </w:pPr>
            <w:r w:rsidRPr="00FB7FA2">
              <w:t xml:space="preserve">Evidence that competency in this unit incorporates skills enabling employment is in the context of the following performance. See Volume 2, Part 5 for definitions and an explanation of skills enabling employment. </w:t>
            </w:r>
          </w:p>
        </w:tc>
      </w:tr>
      <w:tr w:rsidTr="00985379">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FA2" w:rsidP="00FB7FA2">
            <w:pPr>
              <w:pStyle w:val="BodyText"/>
            </w:pPr>
            <w:r w:rsidRPr="00FB7FA2">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A2">
            <w:pPr>
              <w:pStyle w:val="BodyText"/>
              <w:rPr>
                <w:lang w:val="en-NZ"/>
              </w:rPr>
            </w:pPr>
            <w:r w:rsidRPr="00FB7FA2">
              <w:rPr>
                <w:rStyle w:val="SpecialBold"/>
              </w:rPr>
              <w:t>Example of Application</w:t>
            </w:r>
          </w:p>
        </w:tc>
      </w:tr>
      <w:tr w:rsidTr="0098537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A2">
            <w:pPr>
              <w:pStyle w:val="BodyText"/>
              <w:rPr>
                <w:lang w:val="en-NZ"/>
              </w:rPr>
            </w:pPr>
            <w:r w:rsidRPr="00FB7FA2">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A2">
            <w:pPr>
              <w:pStyle w:val="BodyText"/>
              <w:rPr>
                <w:lang w:val="en-NZ"/>
              </w:rPr>
            </w:pPr>
            <w:r w:rsidRPr="00FB7FA2">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B7FA2">
            <w:pPr>
              <w:pStyle w:val="BodyText"/>
              <w:rPr>
                <w:lang w:val="en-NZ"/>
              </w:rPr>
            </w:pPr>
            <w:r w:rsidRPr="00FB7FA2">
              <w:t>Refer to the following example of application:</w:t>
            </w:r>
          </w:p>
        </w:tc>
      </w:tr>
      <w:tr w:rsidTr="0098537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B7FA2">
            <w:pPr>
              <w:pStyle w:val="BodyText"/>
              <w:rPr>
                <w:lang w:val="en-NZ"/>
              </w:rPr>
            </w:pPr>
            <w:r w:rsidRPr="00FB7FA2">
              <w:t>Completion of tasks within an acceptable timeframe and performance with some supervision.</w:t>
            </w:r>
          </w:p>
        </w:tc>
      </w:tr>
      <w:tr w:rsidTr="0098537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A2">
            <w:pPr>
              <w:pStyle w:val="BodyText"/>
              <w:rPr>
                <w:lang w:val="en-NZ"/>
              </w:rPr>
            </w:pPr>
            <w:r w:rsidRPr="00FB7FA2">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A2">
            <w:pPr>
              <w:pStyle w:val="BodyText"/>
              <w:rPr>
                <w:lang w:val="en-NZ"/>
              </w:rPr>
            </w:pPr>
            <w:r w:rsidRPr="00FB7FA2">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B7FA2">
            <w:pPr>
              <w:pStyle w:val="BodyText"/>
              <w:rPr>
                <w:lang w:val="en-NZ"/>
              </w:rPr>
            </w:pPr>
            <w:r w:rsidRPr="00FB7FA2">
              <w:t>Refer to the following example of application:</w:t>
            </w:r>
          </w:p>
        </w:tc>
      </w:tr>
      <w:tr w:rsidTr="0098537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B7FA2">
            <w:pPr>
              <w:pStyle w:val="BodyText"/>
              <w:rPr>
                <w:lang w:val="en-NZ"/>
              </w:rPr>
            </w:pPr>
            <w:r w:rsidRPr="00FB7FA2">
              <w:t>Comprehension and application of theoretical knowledge to well-developed skills.</w:t>
            </w:r>
          </w:p>
        </w:tc>
      </w:tr>
      <w:tr w:rsidTr="0098537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A2">
            <w:pPr>
              <w:pStyle w:val="BodyText"/>
              <w:rPr>
                <w:lang w:val="en-NZ"/>
              </w:rPr>
            </w:pPr>
            <w:r w:rsidRPr="00FB7FA2">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A2">
            <w:pPr>
              <w:pStyle w:val="BodyText"/>
              <w:rPr>
                <w:lang w:val="en-NZ"/>
              </w:rPr>
            </w:pPr>
            <w:r w:rsidRPr="00FB7FA2">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B7FA2">
            <w:pPr>
              <w:pStyle w:val="BodyText"/>
              <w:rPr>
                <w:lang w:val="en-NZ"/>
              </w:rPr>
            </w:pPr>
            <w:r w:rsidRPr="00FB7FA2">
              <w:t>Refer to the following example of application:</w:t>
            </w:r>
          </w:p>
        </w:tc>
      </w:tr>
      <w:tr w:rsidTr="0098537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B7FA2">
            <w:pPr>
              <w:pStyle w:val="BodyText"/>
              <w:rPr>
                <w:lang w:val="en-NZ"/>
              </w:rPr>
            </w:pPr>
            <w:r w:rsidRPr="00FB7FA2">
              <w:t>Focused on improvement in own and other team member's performance in the workplace.</w:t>
            </w:r>
          </w:p>
        </w:tc>
      </w:tr>
      <w:tr w:rsidTr="0098537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A2">
            <w:pPr>
              <w:pStyle w:val="BodyText"/>
              <w:rPr>
                <w:lang w:val="en-NZ"/>
              </w:rPr>
            </w:pPr>
            <w:r w:rsidRPr="00FB7FA2">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A2">
            <w:pPr>
              <w:pStyle w:val="BodyText"/>
              <w:rPr>
                <w:lang w:val="en-NZ"/>
              </w:rPr>
            </w:pPr>
            <w:r w:rsidRPr="00FB7FA2">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B7FA2">
            <w:pPr>
              <w:pStyle w:val="BodyText"/>
              <w:rPr>
                <w:lang w:val="en-NZ"/>
              </w:rPr>
            </w:pPr>
            <w:r w:rsidRPr="00FB7FA2">
              <w:t>Refer to the following example of application:</w:t>
            </w:r>
          </w:p>
        </w:tc>
      </w:tr>
      <w:tr w:rsidTr="0098537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B7FA2">
            <w:pPr>
              <w:pStyle w:val="BodyText"/>
              <w:rPr>
                <w:lang w:val="en-NZ"/>
              </w:rPr>
            </w:pPr>
            <w:r w:rsidRPr="00FB7FA2">
              <w:t>Worki</w:t>
            </w:r>
            <w:r w:rsidRPr="00FB7FA2">
              <w:t>ng understanding of the processes and systems which apply to the workplace.</w:t>
            </w:r>
          </w:p>
        </w:tc>
      </w:tr>
      <w:tr w:rsidTr="0098537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A2">
            <w:pPr>
              <w:pStyle w:val="BodyText"/>
              <w:rPr>
                <w:lang w:val="en-NZ"/>
              </w:rPr>
            </w:pPr>
            <w:r w:rsidRPr="00FB7FA2">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A2">
            <w:pPr>
              <w:pStyle w:val="BodyText"/>
              <w:rPr>
                <w:lang w:val="en-NZ"/>
              </w:rPr>
            </w:pPr>
            <w:r w:rsidRPr="00FB7FA2">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B7FA2">
            <w:pPr>
              <w:pStyle w:val="BodyText"/>
              <w:rPr>
                <w:lang w:val="en-NZ"/>
              </w:rPr>
            </w:pPr>
            <w:r w:rsidRPr="00FB7FA2">
              <w:t>Refer to the following example of application:</w:t>
            </w:r>
          </w:p>
        </w:tc>
      </w:tr>
      <w:tr w:rsidTr="0098537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B7FA2">
            <w:pPr>
              <w:pStyle w:val="BodyText"/>
              <w:rPr>
                <w:lang w:val="en-NZ"/>
              </w:rPr>
            </w:pPr>
            <w:r w:rsidRPr="00FB7FA2">
              <w:t>Achieving work tasks in a timely manner and ensuring that the work team achiev</w:t>
            </w:r>
            <w:r w:rsidRPr="00FB7FA2">
              <w:t>es its stated work goals.</w:t>
            </w:r>
          </w:p>
        </w:tc>
      </w:tr>
      <w:tr w:rsidTr="0098537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A2">
            <w:pPr>
              <w:pStyle w:val="BodyText"/>
              <w:rPr>
                <w:lang w:val="en-NZ"/>
              </w:rPr>
            </w:pPr>
            <w:r w:rsidRPr="00FB7FA2">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A2">
            <w:pPr>
              <w:pStyle w:val="BodyText"/>
              <w:rPr>
                <w:lang w:val="en-NZ"/>
              </w:rPr>
            </w:pPr>
            <w:r w:rsidRPr="00FB7FA2">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B7FA2">
            <w:pPr>
              <w:pStyle w:val="BodyText"/>
              <w:rPr>
                <w:lang w:val="en-NZ"/>
              </w:rPr>
            </w:pPr>
            <w:r w:rsidRPr="00FB7FA2">
              <w:t>Refer to the following example of application:</w:t>
            </w:r>
          </w:p>
        </w:tc>
      </w:tr>
      <w:tr w:rsidTr="0098537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FB7FA2" w:rsidP="00FB7FA2">
            <w:pPr>
              <w:pStyle w:val="BodyText"/>
            </w:pPr>
            <w:r w:rsidRPr="00FB7FA2">
              <w:t>Seek advice and apply solutions to problems relevant to the workplace environment.</w:t>
            </w:r>
          </w:p>
        </w:tc>
      </w:tr>
    </w:tbl>
    <w:p w:rsidR="00985379" w:rsidP="00FB7FA2">
      <w:pPr>
        <w:pStyle w:val="BodyText"/>
      </w:pPr>
    </w:p>
    <w:p w:rsidR="00985379" w:rsidP="00FB7FA2">
      <w:pPr>
        <w:pStyle w:val="BodyText"/>
      </w:pPr>
    </w:p>
    <w:p w:rsidR="00000000" w:rsidRPr="00FB7FA2" w:rsidP="00FB7FA2">
      <w:pPr>
        <w:pStyle w:val="Heading1"/>
      </w:pPr>
      <w:bookmarkStart w:id="11" w:name="O_256026"/>
      <w:bookmarkEnd w:id="11"/>
      <w:r w:rsidRPr="00FB7FA2">
        <w:t>Range Statement</w:t>
      </w:r>
    </w:p>
    <w:tbl>
      <w:tblPr>
        <w:tblW w:w="0" w:type="auto"/>
        <w:tblLayout w:type="fixed"/>
        <w:tblCellMar>
          <w:left w:w="62" w:type="dxa"/>
          <w:right w:w="62" w:type="dxa"/>
        </w:tblCellMar>
        <w:tblLook w:val="0000"/>
      </w:tblPr>
      <w:tblGrid>
        <w:gridCol w:w="8460"/>
      </w:tblGrid>
      <w:tr w:rsidTr="0098537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rPr>
                <w:rStyle w:val="SpecialBold"/>
              </w:rPr>
              <w:t>RANGE STATEMENT</w:t>
            </w:r>
          </w:p>
        </w:tc>
      </w:tr>
      <w:tr w:rsidTr="0098537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rPr>
                <w:rStyle w:val="SpecialBold"/>
              </w:rPr>
              <w:t>7</w:t>
            </w:r>
            <w:r w:rsidRPr="00FB7FA2">
              <w:t>) This relates to the unit of competency as a whole providing the range of contexts and conditions to which the Performance Criteria apply. It allows for different work environments and situations that will affect performa</w:t>
            </w:r>
            <w:r w:rsidRPr="00FB7FA2">
              <w:t>nce.</w:t>
            </w:r>
          </w:p>
        </w:tc>
      </w:tr>
      <w:tr w:rsidTr="0098537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B7FA2" w:rsidP="00FB7FA2">
            <w:pPr>
              <w:pStyle w:val="BodyText"/>
            </w:pPr>
            <w:r w:rsidRPr="00FB7FA2">
              <w:t>Safety standards may include relevant sections of Occupational Health and Safety legislation, enterprise safety rules, relevant state and federal legislation, national standards for plant.</w:t>
            </w:r>
          </w:p>
          <w:p w:rsidR="00000000" w:rsidRPr="00FB7FA2" w:rsidP="00FB7FA2">
            <w:pPr>
              <w:pStyle w:val="BodyText"/>
            </w:pPr>
            <w:r w:rsidRPr="00FB7FA2">
              <w:t>Information and documentation sources may include verbal or w</w:t>
            </w:r>
            <w:r w:rsidRPr="00FB7FA2">
              <w:t>ritten communications; enterprise safety rules documentation; enterprise operating instructions; dedicated computer equipment; enterprise/site standing and operating instructions; enterprise log books; manufacturer operation and maintenance manuals; and eq</w:t>
            </w:r>
            <w:r w:rsidRPr="00FB7FA2">
              <w:t>uipment and alarm manuals</w:t>
            </w:r>
          </w:p>
          <w:p w:rsidR="00000000" w:rsidRPr="00FB7FA2" w:rsidP="00FB7FA2">
            <w:pPr>
              <w:pStyle w:val="BodyText"/>
            </w:pPr>
            <w:r w:rsidRPr="00FB7FA2">
              <w:t>Technical and operational indicators may include stimuli (audio, smell, touch, visual), local indicators and recorders, computers and alarms (visible and or audible).</w:t>
            </w:r>
          </w:p>
          <w:p w:rsidR="00000000" w:rsidRPr="00FB7FA2" w:rsidP="00FB7FA2">
            <w:pPr>
              <w:pStyle w:val="BodyText"/>
            </w:pPr>
            <w:r w:rsidRPr="00FB7FA2">
              <w:t>Communications may be by means of telephone, two way radio, pag</w:t>
            </w:r>
            <w:r w:rsidRPr="00FB7FA2">
              <w:t>er, computer (electronic mail) and operating logs (written or verbal).</w:t>
            </w:r>
          </w:p>
          <w:p w:rsidR="00000000" w:rsidRPr="00FB7FA2" w:rsidP="00FB7FA2">
            <w:pPr>
              <w:pStyle w:val="BodyText"/>
            </w:pPr>
            <w:r w:rsidRPr="00FB7FA2">
              <w:t>Appropriate personnel, team members/other authorities may include supervisor/team leader or equivalent, power plant operations personnel or equivalent, technical and engineering officer</w:t>
            </w:r>
            <w:r w:rsidRPr="00FB7FA2">
              <w:t>s or equivalent, maintenance staff, other operating staff or equivalent, system controller, field operators, restricted operators, emergency personnel, network controllers/coordinators, generation controllers, plant operators, field operators, support staf</w:t>
            </w:r>
            <w:r w:rsidRPr="00FB7FA2">
              <w:t>f, fire service, police, ambulance, emergency services, enterprise and site representatives, consumers and independent power producers.</w:t>
            </w:r>
          </w:p>
          <w:p w:rsidR="00000000" w:rsidRPr="00FB7FA2" w:rsidP="00FB7FA2">
            <w:pPr>
              <w:pStyle w:val="BodyText"/>
            </w:pPr>
            <w:r w:rsidRPr="00FB7FA2">
              <w:t>Operating environment may be: remote from plant and equipment being operated (operation is assisted by remote indicators</w:t>
            </w:r>
            <w:r w:rsidRPr="00FB7FA2">
              <w:t xml:space="preserve"> of plant status and other parameters monitored), during inclement or otherwise harsh weather conditions, in wet/noisy/dusty areas or during night periods.</w:t>
            </w:r>
          </w:p>
          <w:p w:rsidR="00000000" w:rsidRPr="00FB7FA2" w:rsidP="00FB7FA2">
            <w:pPr>
              <w:pStyle w:val="BodyText"/>
            </w:pPr>
            <w:r w:rsidRPr="00FB7FA2">
              <w:t>Unit operations may include spurious faults in automatic systems, automatic systems operating out of</w:t>
            </w:r>
            <w:r w:rsidRPr="00FB7FA2">
              <w:t xml:space="preserve"> range, failure of automatic system components and routine plant movement.</w:t>
            </w:r>
          </w:p>
          <w:p w:rsidR="00000000" w:rsidRPr="00FB7FA2" w:rsidP="00FB7FA2">
            <w:pPr>
              <w:pStyle w:val="BodyText"/>
            </w:pPr>
            <w:r w:rsidRPr="00FB7FA2">
              <w:t>Types of incident may include localised blackout, interconnected/isolated power system potential power system threat, accidents, life threatening situations, generation plant and au</w:t>
            </w:r>
            <w:r w:rsidRPr="00FB7FA2">
              <w:t>xiliary plant faults/failure and loss of network and generation components.</w:t>
            </w:r>
          </w:p>
          <w:p w:rsidR="00000000" w:rsidRPr="00FB7FA2" w:rsidP="00FB7FA2">
            <w:pPr>
              <w:pStyle w:val="BodyText"/>
            </w:pPr>
            <w:r w:rsidRPr="00FB7FA2">
              <w:t>System conditions may be: voltage profiles, spare plant, generation/transmission capability limits, variation from normal trends and switching.</w:t>
            </w:r>
          </w:p>
          <w:p w:rsidR="00000000" w:rsidRPr="00FB7FA2" w:rsidP="00FB7FA2">
            <w:pPr>
              <w:pStyle w:val="BodyText"/>
            </w:pPr>
            <w:r w:rsidRPr="00FB7FA2">
              <w:t>Documentation may include policy, procedure, standard operating instructions, contingency plans and emergency switching programs.</w:t>
            </w:r>
          </w:p>
          <w:p w:rsidR="00000000" w:rsidRPr="00FB7FA2" w:rsidP="00FB7FA2">
            <w:pPr>
              <w:pStyle w:val="BodyText"/>
            </w:pPr>
            <w:r w:rsidRPr="00FB7FA2">
              <w:t>Liaison with key stake holders may be system/network controllers/coordinators, oncoming shift change, field operators, support</w:t>
            </w:r>
            <w:r w:rsidRPr="00FB7FA2">
              <w:t xml:space="preserve"> staff, asset centres, patrolmen, customers, other government bodies, co-generation authorities, generation plant operators, on call staff, police, fire and emergency services and private systems.</w:t>
            </w:r>
          </w:p>
          <w:p w:rsidR="00000000" w:rsidRPr="00FB7FA2" w:rsidP="00FB7FA2">
            <w:pPr>
              <w:pStyle w:val="BodyText"/>
            </w:pPr>
            <w:r w:rsidRPr="00FB7FA2">
              <w:t>Post incident debrief may be: probable fault/failure cause,</w:t>
            </w:r>
            <w:r w:rsidRPr="00FB7FA2">
              <w:t xml:space="preserve"> strategic/contingency plan, environmental implications, economic factors, policy, procedure, training, safety factors and emergency switching programs.</w:t>
            </w:r>
          </w:p>
          <w:p w:rsidR="00000000" w:rsidRPr="00FB7FA2" w:rsidP="00FB7FA2">
            <w:pPr>
              <w:pStyle w:val="BodyText"/>
            </w:pPr>
            <w:r w:rsidRPr="00FB7FA2">
              <w:t>Generic terms are used throughout this Training Package for vocational standard shall be regarded as pa</w:t>
            </w:r>
            <w:r w:rsidRPr="00FB7FA2">
              <w:t>rt of the Range Statement in which competency is demonstrated. The definition of these and other terms are given in Volume 2, Part 1.</w:t>
            </w:r>
          </w:p>
        </w:tc>
      </w:tr>
    </w:tbl>
    <w:p w:rsidR="00985379" w:rsidP="00FB7FA2">
      <w:pPr>
        <w:pStyle w:val="BodyText"/>
      </w:pPr>
    </w:p>
    <w:p w:rsidR="00985379" w:rsidP="00FB7FA2">
      <w:pPr>
        <w:pStyle w:val="BodyText"/>
      </w:pPr>
    </w:p>
    <w:p w:rsidR="00000000" w:rsidRPr="00FB7FA2" w:rsidP="00FB7FA2">
      <w:pPr>
        <w:pStyle w:val="Heading1"/>
      </w:pPr>
      <w:bookmarkStart w:id="12" w:name="O_297039"/>
      <w:bookmarkEnd w:id="12"/>
      <w:r w:rsidRPr="00FB7FA2">
        <w:t>Unit Sector(s)</w:t>
      </w:r>
    </w:p>
    <w:p w:rsidR="00000000" w:rsidRPr="00FB7FA2" w:rsidP="00FB7FA2">
      <w:pPr>
        <w:pStyle w:val="BodyText"/>
      </w:pPr>
      <w:r w:rsidRPr="00FB7FA2">
        <w:t>Not Applicable</w:t>
      </w:r>
    </w:p>
    <w:p w:rsidR="00000000" w:rsidRPr="00FB7FA2" w:rsidP="00FB7FA2">
      <w:pPr>
        <w:pStyle w:val="AllowPageBreak"/>
      </w:pPr>
    </w:p>
    <w:p w:rsidR="00000000" w:rsidRPr="00FB7FA2" w:rsidP="00FB7FA2">
      <w:pPr>
        <w:pStyle w:val="Heading1"/>
      </w:pPr>
      <w:bookmarkStart w:id="13" w:name="O_230699"/>
      <w:bookmarkEnd w:id="13"/>
      <w:r w:rsidRPr="00FB7FA2">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98537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B7FA2" w:rsidP="00FB7FA2">
            <w:pPr>
              <w:pStyle w:val="BodyText"/>
            </w:pPr>
            <w:r w:rsidRPr="00FB7FA2">
              <w:rPr>
                <w:rStyle w:val="SpecialBold"/>
              </w:rPr>
              <w:t>Literacy and numeracy skil</w:t>
            </w:r>
            <w:r w:rsidRPr="00FB7FA2">
              <w:rPr>
                <w:rStyle w:val="SpecialBold"/>
              </w:rPr>
              <w:t>ls</w:t>
            </w:r>
          </w:p>
        </w:tc>
        <w:tc>
          <w:tcPr>
            <w:tcW w:w="5760" w:type="dxa"/>
            <w:gridSpan w:val="6"/>
            <w:tcBorders>
              <w:top w:val="nil"/>
              <w:left w:val="nil"/>
              <w:bottom w:val="nil"/>
              <w:right w:val="nil"/>
            </w:tcBorders>
            <w:tcMar>
              <w:top w:w="0" w:type="dxa"/>
              <w:left w:w="62" w:type="dxa"/>
              <w:bottom w:w="0" w:type="dxa"/>
              <w:right w:w="62" w:type="dxa"/>
            </w:tcMar>
          </w:tcPr>
          <w:p w:rsidR="00000000" w:rsidRPr="00FB7FA2" w:rsidP="00FB7FA2">
            <w:pPr>
              <w:pStyle w:val="BodyText"/>
            </w:pPr>
            <w:r w:rsidRPr="00FB7FA2">
              <w:rPr>
                <w:rStyle w:val="SpecialBold"/>
              </w:rPr>
              <w:t>2</w:t>
            </w:r>
            <w:r w:rsidRPr="00FB7FA2">
              <w:t>.</w:t>
            </w:r>
            <w:r w:rsidRPr="00FB7FA2">
              <w:rPr>
                <w:rStyle w:val="SpecialBold"/>
              </w:rPr>
              <w:t>2</w:t>
            </w:r>
            <w:r w:rsidRPr="00FB7FA2">
              <w:t xml:space="preserve">) </w:t>
            </w:r>
          </w:p>
          <w:p w:rsidR="00000000" w:rsidP="00FB7FA2">
            <w:pPr>
              <w:pStyle w:val="BodyText"/>
              <w:rPr>
                <w:lang w:val="en-NZ"/>
              </w:rPr>
            </w:pPr>
            <w:r w:rsidRPr="00FB7FA2">
              <w:t>Participants are best equipped to achieve this unit if they have reading, writing and maths skills indicated by the following scales. Description of each scale is given in Volume 2, Part 3 Literacy and Numeracy</w:t>
            </w:r>
          </w:p>
        </w:tc>
      </w:tr>
      <w:tr w:rsidTr="009853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t>Reading</w:t>
            </w:r>
          </w:p>
        </w:tc>
        <w:tc>
          <w:tcPr>
            <w:tcW w:w="805" w:type="dxa"/>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t>3</w:t>
            </w:r>
          </w:p>
        </w:tc>
        <w:tc>
          <w:tcPr>
            <w:tcW w:w="1184" w:type="dxa"/>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t>Writing</w:t>
            </w:r>
          </w:p>
        </w:tc>
        <w:tc>
          <w:tcPr>
            <w:tcW w:w="805" w:type="dxa"/>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t>3</w:t>
            </w:r>
          </w:p>
        </w:tc>
        <w:tc>
          <w:tcPr>
            <w:tcW w:w="1172" w:type="dxa"/>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t>Maths</w:t>
            </w:r>
          </w:p>
        </w:tc>
        <w:tc>
          <w:tcPr>
            <w:tcW w:w="805" w:type="dxa"/>
            <w:tcBorders>
              <w:top w:val="nil"/>
              <w:left w:val="nil"/>
              <w:bottom w:val="nil"/>
              <w:right w:val="nil"/>
            </w:tcBorders>
            <w:tcMar>
              <w:top w:w="0" w:type="dxa"/>
              <w:left w:w="62" w:type="dxa"/>
              <w:bottom w:w="0" w:type="dxa"/>
              <w:right w:w="62" w:type="dxa"/>
            </w:tcMar>
          </w:tcPr>
          <w:p w:rsidR="00000000" w:rsidRPr="00FB7FA2" w:rsidP="00FB7FA2">
            <w:pPr>
              <w:pStyle w:val="BodyText"/>
            </w:pPr>
            <w:r w:rsidRPr="00FB7FA2">
              <w:t>3</w:t>
            </w:r>
          </w:p>
        </w:tc>
      </w:tr>
    </w:tbl>
    <w:p w:rsidR="00985379" w:rsidP="00FB7FA2">
      <w:pPr>
        <w:pStyle w:val="BodyText"/>
      </w:pPr>
    </w:p>
    <w:p w:rsidR="00985379" w:rsidP="00FB7FA2">
      <w:pPr>
        <w:pStyle w:val="BodyText"/>
      </w:pPr>
    </w:p>
    <w:p w:rsidR="00000000" w:rsidRPr="00FB7FA2" w:rsidP="00FB7FA2">
      <w:pPr>
        <w:pStyle w:val="Heading1"/>
      </w:pPr>
      <w:bookmarkStart w:id="14" w:name="O_230701"/>
      <w:bookmarkEnd w:id="14"/>
      <w:r w:rsidRPr="00FB7FA2">
        <w:t>Competency Field</w:t>
      </w:r>
    </w:p>
    <w:tbl>
      <w:tblPr>
        <w:tblW w:w="0" w:type="auto"/>
        <w:tblLayout w:type="fixed"/>
        <w:tblCellMar>
          <w:left w:w="62" w:type="dxa"/>
          <w:right w:w="62" w:type="dxa"/>
        </w:tblCellMar>
        <w:tblLook w:val="0000"/>
      </w:tblPr>
      <w:tblGrid>
        <w:gridCol w:w="2700"/>
        <w:gridCol w:w="5760"/>
      </w:tblGrid>
      <w:tr w:rsidTr="0098537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B7FA2" w:rsidP="00FB7FA2">
            <w:pPr>
              <w:pStyle w:val="BodyText"/>
            </w:pPr>
            <w:r w:rsidRPr="00FB7FA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B7FA2">
            <w:pPr>
              <w:pStyle w:val="BodyText"/>
              <w:rPr>
                <w:lang w:val="en-NZ"/>
              </w:rPr>
            </w:pPr>
            <w:r w:rsidRPr="00FB7FA2">
              <w:rPr>
                <w:rStyle w:val="SpecialBold"/>
              </w:rPr>
              <w:t>4</w:t>
            </w:r>
            <w:r w:rsidRPr="00FB7FA2">
              <w:t xml:space="preserve">) </w:t>
            </w:r>
          </w:p>
        </w:tc>
      </w:tr>
      <w:tr w:rsidTr="009853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B7FA2" w:rsidP="00FB7FA2">
            <w:pPr>
              <w:pStyle w:val="BodyText"/>
            </w:pPr>
            <w:r w:rsidRPr="00FB7FA2">
              <w:t>Operations.</w:t>
            </w:r>
          </w:p>
        </w:tc>
      </w:tr>
    </w:tbl>
    <w:p w:rsidR="00985379" w:rsidP="00FB7FA2">
      <w:pPr>
        <w:pStyle w:val="BodyText"/>
      </w:pPr>
    </w:p>
    <w:p w:rsidR="00985379" w:rsidP="00FB7FA2">
      <w:pPr>
        <w:pStyle w:val="BodyText"/>
      </w:pPr>
    </w:p>
    <w:p w:rsidR="00000000" w:rsidRPr="00FB7FA2" w:rsidP="00FB7FA2"/>
    <w:sectPr w:rsidSect="00FB7F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F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5379" w:rsidP="009853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F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379" w:rsidP="00FB7F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85379" w:rsidP="00FB7F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85379" w:rsidP="00FB7F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F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5379" w:rsidP="0098537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F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379" w:rsidP="00FB7FA2">
    <w:pPr>
      <w:pStyle w:val="Header"/>
      <w:framePr w:wrap="around"/>
    </w:pPr>
    <w:r>
      <w:fldChar w:fldCharType="begin"/>
    </w:r>
    <w:r>
      <w:instrText xml:space="preserve"> TITLE   \* MERGEFORMAT </w:instrText>
    </w:r>
    <w:r>
      <w:fldChar w:fldCharType="separate"/>
    </w:r>
    <w:r>
      <w:t>UEPOPS348A Respond to Critical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85379" w:rsidP="00FB7FA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794E4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4B0C2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7FA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B7FA2"/>
    <w:pPr>
      <w:spacing w:before="360" w:after="60"/>
      <w:outlineLvl w:val="0"/>
    </w:pPr>
    <w:rPr>
      <w:sz w:val="32"/>
    </w:rPr>
  </w:style>
  <w:style w:type="paragraph" w:styleId="Heading2">
    <w:name w:val="heading 2"/>
    <w:basedOn w:val="HeadingBase"/>
    <w:next w:val="BodyText"/>
    <w:link w:val="Heading2Char"/>
    <w:qFormat/>
    <w:rsid w:val="00FB7FA2"/>
    <w:pPr>
      <w:keepLines/>
      <w:spacing w:before="240" w:after="120"/>
      <w:outlineLvl w:val="1"/>
    </w:pPr>
    <w:rPr>
      <w:sz w:val="28"/>
      <w:szCs w:val="40"/>
    </w:rPr>
  </w:style>
  <w:style w:type="paragraph" w:styleId="Heading3">
    <w:name w:val="heading 3"/>
    <w:basedOn w:val="HeadingBase"/>
    <w:next w:val="BodyText"/>
    <w:link w:val="Heading3Char"/>
    <w:qFormat/>
    <w:rsid w:val="00FB7FA2"/>
    <w:pPr>
      <w:spacing w:before="180" w:after="120"/>
      <w:outlineLvl w:val="2"/>
    </w:pPr>
    <w:rPr>
      <w:spacing w:val="-10"/>
      <w:kern w:val="32"/>
    </w:rPr>
  </w:style>
  <w:style w:type="paragraph" w:styleId="Heading4">
    <w:name w:val="heading 4"/>
    <w:basedOn w:val="HeadingBase"/>
    <w:next w:val="BodyText"/>
    <w:link w:val="Heading4Char"/>
    <w:qFormat/>
    <w:rsid w:val="00FB7FA2"/>
    <w:pPr>
      <w:spacing w:before="160" w:after="120"/>
      <w:outlineLvl w:val="3"/>
    </w:pPr>
    <w:rPr>
      <w:sz w:val="22"/>
    </w:rPr>
  </w:style>
  <w:style w:type="paragraph" w:styleId="Heading5">
    <w:name w:val="heading 5"/>
    <w:basedOn w:val="HeadingBase"/>
    <w:next w:val="Normal"/>
    <w:link w:val="Heading5Char"/>
    <w:qFormat/>
    <w:rsid w:val="00FB7FA2"/>
    <w:pPr>
      <w:spacing w:before="80"/>
      <w:outlineLvl w:val="4"/>
    </w:pPr>
    <w:rPr>
      <w:color w:val="918585"/>
      <w:sz w:val="20"/>
    </w:rPr>
  </w:style>
  <w:style w:type="paragraph" w:styleId="Heading6">
    <w:name w:val="heading 6"/>
    <w:basedOn w:val="HeadingBase"/>
    <w:next w:val="Normal"/>
    <w:link w:val="Heading6Char"/>
    <w:qFormat/>
    <w:rsid w:val="00FB7FA2"/>
    <w:pPr>
      <w:spacing w:before="60"/>
      <w:outlineLvl w:val="5"/>
    </w:pPr>
    <w:rPr>
      <w:color w:val="918585"/>
      <w:sz w:val="20"/>
    </w:rPr>
  </w:style>
  <w:style w:type="paragraph" w:styleId="Heading7">
    <w:name w:val="heading 7"/>
    <w:basedOn w:val="Normal"/>
    <w:next w:val="Normal"/>
    <w:link w:val="Heading7Char"/>
    <w:qFormat/>
    <w:rsid w:val="00FB7FA2"/>
    <w:pPr>
      <w:ind w:left="720"/>
      <w:outlineLvl w:val="6"/>
    </w:pPr>
    <w:rPr>
      <w:i/>
    </w:rPr>
  </w:style>
  <w:style w:type="paragraph" w:styleId="Heading8">
    <w:name w:val="heading 8"/>
    <w:basedOn w:val="Normal"/>
    <w:next w:val="Normal"/>
    <w:link w:val="Heading8Char"/>
    <w:qFormat/>
    <w:rsid w:val="00FB7FA2"/>
    <w:pPr>
      <w:ind w:left="720"/>
      <w:outlineLvl w:val="7"/>
    </w:pPr>
    <w:rPr>
      <w:i/>
    </w:rPr>
  </w:style>
  <w:style w:type="paragraph" w:styleId="Heading9">
    <w:name w:val="heading 9"/>
    <w:basedOn w:val="Normal"/>
    <w:next w:val="Normal"/>
    <w:link w:val="Heading9Char"/>
    <w:qFormat/>
    <w:rsid w:val="00FB7FA2"/>
    <w:pPr>
      <w:ind w:left="720"/>
      <w:outlineLvl w:val="8"/>
    </w:pPr>
    <w:rPr>
      <w:i/>
    </w:rPr>
  </w:style>
  <w:style w:type="character" w:default="1" w:styleId="DefaultParagraphFont">
    <w:name w:val="Default Paragraph Font"/>
    <w:uiPriority w:val="1"/>
    <w:unhideWhenUsed/>
    <w:rsid w:val="00FB7F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7FA2"/>
  </w:style>
  <w:style w:type="character" w:customStyle="1" w:styleId="Heading1Char">
    <w:name w:val="Heading 1 Char"/>
    <w:basedOn w:val="DefaultParagraphFont"/>
    <w:link w:val="Heading1"/>
    <w:rsid w:val="00FB7FA2"/>
    <w:rPr>
      <w:rFonts w:ascii="Times New Roman" w:eastAsia="Times New Roman" w:hAnsi="Times New Roman" w:cs="Times New Roman"/>
      <w:b/>
      <w:sz w:val="32"/>
      <w:szCs w:val="20"/>
      <w:lang w:eastAsia="en-US"/>
    </w:rPr>
  </w:style>
  <w:style w:type="paragraph" w:styleId="BodyText">
    <w:name w:val="Body Text"/>
    <w:basedOn w:val="Normal"/>
    <w:link w:val="BodyTextChar"/>
    <w:rsid w:val="00FB7F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7FA2"/>
    <w:rPr>
      <w:rFonts w:ascii="Times New Roman" w:eastAsia="Times New Roman" w:hAnsi="Times New Roman" w:cs="Times New Roman"/>
      <w:sz w:val="24"/>
      <w:lang w:val="en-US" w:eastAsia="en-US"/>
    </w:rPr>
  </w:style>
  <w:style w:type="paragraph" w:styleId="Footer">
    <w:name w:val="footer"/>
    <w:basedOn w:val="Normal"/>
    <w:link w:val="FooterChar"/>
    <w:rsid w:val="00FB7F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7FA2"/>
    <w:rPr>
      <w:rFonts w:ascii="Times New Roman" w:eastAsia="Times New Roman" w:hAnsi="Times New Roman" w:cs="Times New Roman"/>
      <w:sz w:val="16"/>
      <w:lang w:val="en-US" w:eastAsia="en-US"/>
    </w:rPr>
  </w:style>
  <w:style w:type="paragraph" w:styleId="ListBullet">
    <w:name w:val="List Bullet"/>
    <w:basedOn w:val="List"/>
    <w:rsid w:val="00FB7FA2"/>
    <w:pPr>
      <w:numPr>
        <w:numId w:val="13"/>
      </w:numPr>
      <w:tabs>
        <w:tab w:val="clear" w:pos="340"/>
      </w:tabs>
      <w:spacing w:before="40" w:after="40"/>
    </w:pPr>
  </w:style>
  <w:style w:type="character" w:customStyle="1" w:styleId="SpecialBold">
    <w:name w:val="Special Bold"/>
    <w:basedOn w:val="DefaultParagraphFont"/>
    <w:rsid w:val="00FB7FA2"/>
    <w:rPr>
      <w:b/>
      <w:spacing w:val="0"/>
    </w:rPr>
  </w:style>
  <w:style w:type="paragraph" w:styleId="Header">
    <w:name w:val="header"/>
    <w:basedOn w:val="Normal"/>
    <w:link w:val="HeaderChar"/>
    <w:rsid w:val="00FB7F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7FA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B7FA2"/>
    <w:pPr>
      <w:spacing w:before="240" w:after="120"/>
      <w:outlineLvl w:val="0"/>
    </w:pPr>
    <w:rPr>
      <w:rFonts w:ascii="Times New Roman" w:hAnsi="Times New Roman"/>
      <w:b/>
      <w:sz w:val="28"/>
    </w:rPr>
  </w:style>
  <w:style w:type="paragraph" w:customStyle="1" w:styleId="AllowPageBreak">
    <w:name w:val="AllowPageBreak"/>
    <w:rsid w:val="00FB7FA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B7FA2"/>
    <w:pPr>
      <w:numPr>
        <w:numId w:val="2"/>
      </w:numPr>
      <w:tabs>
        <w:tab w:val="clear" w:pos="1021"/>
      </w:tabs>
      <w:ind w:left="1037" w:hanging="357"/>
    </w:pPr>
  </w:style>
  <w:style w:type="character" w:customStyle="1" w:styleId="Heading2Char">
    <w:name w:val="Heading 2 Char"/>
    <w:basedOn w:val="DefaultParagraphFont"/>
    <w:link w:val="Heading2"/>
    <w:rsid w:val="00FB7F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7F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7F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7F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7F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7FA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B7FA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B7FA2"/>
    <w:rPr>
      <w:rFonts w:ascii="Courier New" w:eastAsia="Times New Roman" w:hAnsi="Courier New" w:cs="Times New Roman"/>
      <w:i/>
      <w:szCs w:val="20"/>
      <w:lang w:val="en-US" w:eastAsia="en-US"/>
    </w:rPr>
  </w:style>
  <w:style w:type="paragraph" w:customStyle="1" w:styleId="HeadingBase">
    <w:name w:val="Heading Base"/>
    <w:rsid w:val="00FB7F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7FA2"/>
    <w:pPr>
      <w:tabs>
        <w:tab w:val="right" w:leader="dot" w:pos="9072"/>
      </w:tabs>
      <w:ind w:left="567"/>
    </w:pPr>
    <w:rPr>
      <w:szCs w:val="22"/>
    </w:rPr>
  </w:style>
  <w:style w:type="paragraph" w:customStyle="1" w:styleId="TOCBase">
    <w:name w:val="TOC Base"/>
    <w:rsid w:val="00FB7F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7FA2"/>
    <w:pPr>
      <w:tabs>
        <w:tab w:val="right" w:leader="dot" w:pos="9072"/>
      </w:tabs>
      <w:spacing w:before="40" w:after="40"/>
      <w:ind w:left="284"/>
    </w:pPr>
    <w:rPr>
      <w:rFonts w:ascii="Times New Roman" w:hAnsi="Times New Roman"/>
    </w:rPr>
  </w:style>
  <w:style w:type="paragraph" w:styleId="TOC1">
    <w:name w:val="toc 1"/>
    <w:basedOn w:val="TOCBase"/>
    <w:next w:val="Normal"/>
    <w:rsid w:val="00FB7F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7FA2"/>
    <w:pPr>
      <w:spacing w:before="5040"/>
      <w:jc w:val="center"/>
    </w:pPr>
    <w:rPr>
      <w:sz w:val="48"/>
      <w:szCs w:val="72"/>
      <w:lang w:val="en-US"/>
    </w:rPr>
  </w:style>
  <w:style w:type="character" w:customStyle="1" w:styleId="TitleChar">
    <w:name w:val="Title Char"/>
    <w:basedOn w:val="DefaultParagraphFont"/>
    <w:link w:val="Title"/>
    <w:rsid w:val="00FB7F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7FA2"/>
    <w:pPr>
      <w:tabs>
        <w:tab w:val="left" w:pos="3600"/>
        <w:tab w:val="left" w:pos="3958"/>
      </w:tabs>
    </w:pPr>
  </w:style>
  <w:style w:type="paragraph" w:styleId="List">
    <w:name w:val="List"/>
    <w:basedOn w:val="BodyText"/>
    <w:next w:val="BodyText"/>
    <w:rsid w:val="00FB7FA2"/>
    <w:pPr>
      <w:tabs>
        <w:tab w:val="left" w:pos="340"/>
      </w:tabs>
      <w:spacing w:before="60" w:after="60"/>
      <w:ind w:left="340" w:hanging="340"/>
    </w:pPr>
  </w:style>
  <w:style w:type="paragraph" w:customStyle="1" w:styleId="Note">
    <w:name w:val="Note"/>
    <w:basedOn w:val="BodyText"/>
    <w:rsid w:val="00FB7F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7FA2"/>
    <w:pPr>
      <w:framePr w:wrap="auto" w:hAnchor="text" w:y="6049"/>
    </w:pPr>
    <w:rPr>
      <w:color w:val="000000"/>
      <w:sz w:val="40"/>
    </w:rPr>
  </w:style>
  <w:style w:type="paragraph" w:customStyle="1" w:styleId="TOCTitle">
    <w:name w:val="TOCTitle"/>
    <w:basedOn w:val="Heading1"/>
    <w:rsid w:val="00FB7FA2"/>
    <w:pPr>
      <w:spacing w:after="240"/>
      <w:jc w:val="center"/>
      <w:outlineLvl w:val="9"/>
    </w:pPr>
    <w:rPr>
      <w:caps/>
    </w:rPr>
  </w:style>
  <w:style w:type="paragraph" w:customStyle="1" w:styleId="Version">
    <w:name w:val="Version"/>
    <w:rsid w:val="00FB7F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7FA2"/>
    <w:pPr>
      <w:numPr>
        <w:numId w:val="14"/>
      </w:numPr>
      <w:tabs>
        <w:tab w:val="clear" w:pos="680"/>
      </w:tabs>
    </w:pPr>
  </w:style>
  <w:style w:type="paragraph" w:styleId="Index1">
    <w:name w:val="index 1"/>
    <w:basedOn w:val="Normal"/>
    <w:next w:val="Normal"/>
    <w:semiHidden/>
    <w:rsid w:val="00FB7FA2"/>
    <w:pPr>
      <w:keepNext w:val="0"/>
      <w:tabs>
        <w:tab w:val="right" w:pos="4176"/>
      </w:tabs>
      <w:ind w:left="198" w:hanging="198"/>
    </w:pPr>
    <w:rPr>
      <w:rFonts w:ascii="Garamond" w:hAnsi="Garamond"/>
    </w:rPr>
  </w:style>
  <w:style w:type="paragraph" w:styleId="IndexHeading">
    <w:name w:val="index heading"/>
    <w:basedOn w:val="Normal"/>
    <w:next w:val="Index1"/>
    <w:semiHidden/>
    <w:rsid w:val="00FB7FA2"/>
    <w:pPr>
      <w:spacing w:before="120" w:after="120"/>
    </w:pPr>
    <w:rPr>
      <w:rFonts w:ascii="Arial" w:hAnsi="Arial"/>
      <w:b/>
      <w:color w:val="918585"/>
      <w:sz w:val="24"/>
    </w:rPr>
  </w:style>
  <w:style w:type="paragraph" w:customStyle="1" w:styleId="Chapter">
    <w:name w:val="Chapter"/>
    <w:basedOn w:val="Normal"/>
    <w:rsid w:val="00FB7FA2"/>
    <w:pPr>
      <w:spacing w:before="240"/>
    </w:pPr>
    <w:rPr>
      <w:rFonts w:ascii="Times New Roman" w:hAnsi="Times New Roman"/>
      <w:smallCaps/>
      <w:spacing w:val="80"/>
      <w:sz w:val="28"/>
    </w:rPr>
  </w:style>
  <w:style w:type="paragraph" w:customStyle="1" w:styleId="InChapter">
    <w:name w:val="InChapter"/>
    <w:basedOn w:val="Heading3"/>
    <w:rsid w:val="00FB7FA2"/>
    <w:pPr>
      <w:spacing w:after="240"/>
      <w:outlineLvl w:val="9"/>
    </w:pPr>
    <w:rPr>
      <w:noProof/>
    </w:rPr>
  </w:style>
  <w:style w:type="paragraph" w:styleId="Index2">
    <w:name w:val="index 2"/>
    <w:basedOn w:val="Normal"/>
    <w:next w:val="Normal"/>
    <w:semiHidden/>
    <w:rsid w:val="00FB7FA2"/>
    <w:pPr>
      <w:tabs>
        <w:tab w:val="right" w:pos="4176"/>
      </w:tabs>
      <w:ind w:left="568" w:hanging="284"/>
    </w:pPr>
    <w:rPr>
      <w:rFonts w:ascii="Garamond" w:hAnsi="Garamond"/>
    </w:rPr>
  </w:style>
  <w:style w:type="paragraph" w:customStyle="1" w:styleId="Byline">
    <w:name w:val="Byline"/>
    <w:rsid w:val="00FB7F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7FA2"/>
    <w:pPr>
      <w:tabs>
        <w:tab w:val="clear" w:pos="3600"/>
        <w:tab w:val="clear" w:pos="3958"/>
      </w:tabs>
      <w:jc w:val="right"/>
    </w:pPr>
  </w:style>
  <w:style w:type="character" w:styleId="Emphasis">
    <w:name w:val="Emphasis"/>
    <w:basedOn w:val="DefaultParagraphFont"/>
    <w:qFormat/>
    <w:rsid w:val="00FB7FA2"/>
    <w:rPr>
      <w:i/>
    </w:rPr>
  </w:style>
  <w:style w:type="paragraph" w:styleId="Caption">
    <w:name w:val="caption"/>
    <w:basedOn w:val="BodyText"/>
    <w:next w:val="Normal"/>
    <w:qFormat/>
    <w:rsid w:val="00FB7FA2"/>
    <w:pPr>
      <w:framePr w:w="2268" w:hSpace="181" w:vSpace="181" w:wrap="around" w:vAnchor="text" w:hAnchor="page" w:x="1135" w:y="285" w:anchorLock="1"/>
    </w:pPr>
    <w:rPr>
      <w:i/>
    </w:rPr>
  </w:style>
  <w:style w:type="paragraph" w:customStyle="1" w:styleId="MiniTOCTitle">
    <w:name w:val="MiniTOCTitle"/>
    <w:basedOn w:val="Heading4"/>
    <w:rsid w:val="00FB7FA2"/>
    <w:pPr>
      <w:spacing w:before="240"/>
      <w:outlineLvl w:val="9"/>
    </w:pPr>
    <w:rPr>
      <w:noProof/>
      <w:sz w:val="24"/>
    </w:rPr>
  </w:style>
  <w:style w:type="paragraph" w:customStyle="1" w:styleId="MiniTOCItem">
    <w:name w:val="MiniTOCItem"/>
    <w:basedOn w:val="ListBullet"/>
    <w:rsid w:val="00FB7FA2"/>
    <w:pPr>
      <w:numPr>
        <w:numId w:val="0"/>
      </w:numPr>
      <w:tabs>
        <w:tab w:val="right" w:leader="dot" w:pos="6521"/>
      </w:tabs>
      <w:spacing w:before="0" w:after="0"/>
    </w:pPr>
  </w:style>
  <w:style w:type="paragraph" w:customStyle="1" w:styleId="TOFTitle">
    <w:name w:val="TOFTitle"/>
    <w:basedOn w:val="TOCTitle"/>
    <w:rsid w:val="00FB7FA2"/>
  </w:style>
  <w:style w:type="paragraph" w:styleId="TableofFigures">
    <w:name w:val="table of figures"/>
    <w:basedOn w:val="Normal"/>
    <w:next w:val="Normal"/>
    <w:semiHidden/>
    <w:rsid w:val="00FB7FA2"/>
    <w:pPr>
      <w:tabs>
        <w:tab w:val="right" w:leader="dot" w:pos="9072"/>
      </w:tabs>
      <w:ind w:left="970" w:hanging="403"/>
    </w:pPr>
    <w:rPr>
      <w:rFonts w:ascii="Times New Roman" w:hAnsi="Times New Roman"/>
      <w:b/>
    </w:rPr>
  </w:style>
  <w:style w:type="paragraph" w:styleId="ListNumber">
    <w:name w:val="List Number"/>
    <w:basedOn w:val="List"/>
    <w:rsid w:val="00FB7FA2"/>
    <w:pPr>
      <w:numPr>
        <w:numId w:val="11"/>
      </w:numPr>
    </w:pPr>
  </w:style>
  <w:style w:type="character" w:customStyle="1" w:styleId="WingdingSymbols">
    <w:name w:val="Wingding Symbols"/>
    <w:rsid w:val="00FB7FA2"/>
    <w:rPr>
      <w:rFonts w:ascii="Wingdings" w:hAnsi="Wingdings"/>
    </w:rPr>
  </w:style>
  <w:style w:type="paragraph" w:customStyle="1" w:styleId="TableHeading">
    <w:name w:val="Table Heading"/>
    <w:basedOn w:val="HeadingBase"/>
    <w:rsid w:val="00FB7FA2"/>
    <w:pPr>
      <w:keepLines/>
      <w:pBdr>
        <w:bottom w:val="single" w:sz="6" w:space="1" w:color="918585"/>
      </w:pBdr>
      <w:spacing w:before="240"/>
    </w:pPr>
  </w:style>
  <w:style w:type="character" w:customStyle="1" w:styleId="HotSpot">
    <w:name w:val="HotSpot"/>
    <w:rsid w:val="00FB7FA2"/>
    <w:rPr>
      <w:color w:val="0033CC"/>
      <w:u w:val="none"/>
    </w:rPr>
  </w:style>
  <w:style w:type="paragraph" w:customStyle="1" w:styleId="BodyTextRight">
    <w:name w:val="Body Text Right"/>
    <w:basedOn w:val="BodyText"/>
    <w:rsid w:val="00FB7FA2"/>
    <w:pPr>
      <w:spacing w:before="0" w:after="0"/>
      <w:jc w:val="right"/>
    </w:pPr>
  </w:style>
  <w:style w:type="paragraph" w:styleId="Index3">
    <w:name w:val="index 3"/>
    <w:basedOn w:val="ListNumber2"/>
    <w:next w:val="Normal"/>
    <w:semiHidden/>
    <w:rsid w:val="00FB7FA2"/>
    <w:pPr>
      <w:numPr>
        <w:numId w:val="0"/>
      </w:numPr>
      <w:tabs>
        <w:tab w:val="right" w:leader="dot" w:pos="4176"/>
      </w:tabs>
    </w:pPr>
  </w:style>
  <w:style w:type="paragraph" w:styleId="ListNumber2">
    <w:name w:val="List Number 2"/>
    <w:basedOn w:val="List2"/>
    <w:rsid w:val="00FB7FA2"/>
    <w:pPr>
      <w:numPr>
        <w:numId w:val="10"/>
      </w:numPr>
      <w:tabs>
        <w:tab w:val="clear" w:pos="1060"/>
      </w:tabs>
    </w:pPr>
  </w:style>
  <w:style w:type="paragraph" w:customStyle="1" w:styleId="MarginNote">
    <w:name w:val="Margin Note"/>
    <w:basedOn w:val="BodyText"/>
    <w:rsid w:val="00FB7F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7F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7FA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B7FA2"/>
    <w:rPr>
      <w:sz w:val="32"/>
    </w:rPr>
  </w:style>
  <w:style w:type="paragraph" w:customStyle="1" w:styleId="HeadingProcedure">
    <w:name w:val="Heading Procedure"/>
    <w:basedOn w:val="HeadingBase"/>
    <w:next w:val="Normal"/>
    <w:rsid w:val="00FB7FA2"/>
    <w:pPr>
      <w:tabs>
        <w:tab w:val="left" w:pos="0"/>
      </w:tabs>
      <w:spacing w:before="120" w:after="60"/>
    </w:pPr>
    <w:rPr>
      <w:i/>
      <w:color w:val="918585"/>
      <w:sz w:val="22"/>
    </w:rPr>
  </w:style>
  <w:style w:type="paragraph" w:customStyle="1" w:styleId="TableBodyText">
    <w:name w:val="Table Body Text"/>
    <w:basedOn w:val="BodyText"/>
    <w:rsid w:val="00FB7FA2"/>
    <w:pPr>
      <w:spacing w:before="60" w:after="60"/>
    </w:pPr>
  </w:style>
  <w:style w:type="paragraph" w:styleId="ListContinue">
    <w:name w:val="List Continue"/>
    <w:basedOn w:val="List"/>
    <w:rsid w:val="00FB7FA2"/>
    <w:pPr>
      <w:ind w:firstLine="0"/>
    </w:pPr>
  </w:style>
  <w:style w:type="paragraph" w:customStyle="1" w:styleId="ListNote">
    <w:name w:val="List Note"/>
    <w:basedOn w:val="List"/>
    <w:rsid w:val="00FB7FA2"/>
    <w:pPr>
      <w:pBdr>
        <w:top w:val="single" w:sz="6" w:space="2" w:color="918585"/>
        <w:bottom w:val="single" w:sz="6" w:space="2" w:color="918585"/>
      </w:pBdr>
      <w:tabs>
        <w:tab w:val="left" w:pos="1021"/>
      </w:tabs>
      <w:ind w:firstLine="0"/>
    </w:pPr>
  </w:style>
  <w:style w:type="paragraph" w:customStyle="1" w:styleId="Warning">
    <w:name w:val="Warning"/>
    <w:basedOn w:val="BodyText"/>
    <w:rsid w:val="00FB7FA2"/>
    <w:pPr>
      <w:shd w:val="clear" w:color="auto" w:fill="D9D9D9"/>
      <w:tabs>
        <w:tab w:val="left" w:pos="992"/>
      </w:tabs>
      <w:ind w:left="119" w:right="119"/>
    </w:pPr>
    <w:rPr>
      <w:sz w:val="20"/>
    </w:rPr>
  </w:style>
  <w:style w:type="paragraph" w:customStyle="1" w:styleId="MarginIcons">
    <w:name w:val="Margin Icons"/>
    <w:basedOn w:val="BodyText"/>
    <w:rsid w:val="00FB7F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7FA2"/>
    <w:rPr>
      <w:rFonts w:ascii="Courier New" w:hAnsi="Courier New"/>
    </w:rPr>
  </w:style>
  <w:style w:type="paragraph" w:customStyle="1" w:styleId="NoteBullet">
    <w:name w:val="Note Bullet"/>
    <w:basedOn w:val="Note"/>
    <w:rsid w:val="00FB7FA2"/>
    <w:pPr>
      <w:tabs>
        <w:tab w:val="clear" w:pos="680"/>
      </w:tabs>
      <w:spacing w:before="60" w:after="60"/>
    </w:pPr>
  </w:style>
  <w:style w:type="paragraph" w:customStyle="1" w:styleId="SubHeading2">
    <w:name w:val="SubHeading2"/>
    <w:basedOn w:val="HeadingBase"/>
    <w:rsid w:val="00FB7FA2"/>
    <w:pPr>
      <w:spacing w:before="240" w:after="60"/>
    </w:pPr>
    <w:rPr>
      <w:sz w:val="20"/>
    </w:rPr>
  </w:style>
  <w:style w:type="paragraph" w:customStyle="1" w:styleId="SubHeading1">
    <w:name w:val="SubHeading1"/>
    <w:basedOn w:val="HeadingBase"/>
    <w:rsid w:val="00FB7FA2"/>
    <w:pPr>
      <w:spacing w:before="240" w:after="60"/>
    </w:pPr>
    <w:rPr>
      <w:color w:val="918585"/>
      <w:sz w:val="22"/>
    </w:rPr>
  </w:style>
  <w:style w:type="paragraph" w:customStyle="1" w:styleId="SideHeading">
    <w:name w:val="Side Heading"/>
    <w:basedOn w:val="HeadingBase"/>
    <w:rsid w:val="00FB7F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7FA2"/>
    <w:pPr>
      <w:numPr>
        <w:numId w:val="12"/>
      </w:numPr>
    </w:pPr>
  </w:style>
  <w:style w:type="paragraph" w:styleId="PlainText">
    <w:name w:val="Plain Text"/>
    <w:basedOn w:val="Normal"/>
    <w:link w:val="PlainTextChar"/>
    <w:rsid w:val="00FB7FA2"/>
    <w:rPr>
      <w:sz w:val="20"/>
    </w:rPr>
  </w:style>
  <w:style w:type="character" w:customStyle="1" w:styleId="PlainTextChar">
    <w:name w:val="Plain Text Char"/>
    <w:basedOn w:val="DefaultParagraphFont"/>
    <w:link w:val="PlainText"/>
    <w:rsid w:val="00FB7FA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B7FA2"/>
    <w:rPr>
      <w:b/>
      <w:smallCaps/>
    </w:rPr>
  </w:style>
  <w:style w:type="paragraph" w:customStyle="1" w:styleId="TableListNumber">
    <w:name w:val="Table List Number"/>
    <w:basedOn w:val="ListNumber"/>
    <w:rsid w:val="00FB7FA2"/>
    <w:pPr>
      <w:numPr>
        <w:numId w:val="0"/>
      </w:numPr>
    </w:pPr>
  </w:style>
  <w:style w:type="paragraph" w:styleId="TOC4">
    <w:name w:val="toc 4"/>
    <w:basedOn w:val="TOCBase"/>
    <w:next w:val="Normal"/>
    <w:semiHidden/>
    <w:rsid w:val="00FB7FA2"/>
    <w:pPr>
      <w:tabs>
        <w:tab w:val="right" w:leader="dot" w:pos="9071"/>
      </w:tabs>
      <w:ind w:left="1701"/>
    </w:pPr>
  </w:style>
  <w:style w:type="paragraph" w:customStyle="1" w:styleId="ListAlpha">
    <w:name w:val="List Alpha"/>
    <w:basedOn w:val="List"/>
    <w:rsid w:val="00FB7FA2"/>
    <w:pPr>
      <w:numPr>
        <w:numId w:val="9"/>
      </w:numPr>
    </w:pPr>
  </w:style>
  <w:style w:type="paragraph" w:customStyle="1" w:styleId="ListAlpha2">
    <w:name w:val="List Alpha 2"/>
    <w:basedOn w:val="List2"/>
    <w:rsid w:val="00FB7FA2"/>
    <w:pPr>
      <w:numPr>
        <w:numId w:val="8"/>
      </w:numPr>
    </w:pPr>
  </w:style>
  <w:style w:type="paragraph" w:styleId="List2">
    <w:name w:val="List 2"/>
    <w:basedOn w:val="BodyText"/>
    <w:rsid w:val="00FB7FA2"/>
    <w:pPr>
      <w:tabs>
        <w:tab w:val="left" w:pos="680"/>
      </w:tabs>
      <w:spacing w:before="60" w:after="60"/>
      <w:ind w:left="680" w:hanging="340"/>
    </w:pPr>
  </w:style>
  <w:style w:type="paragraph" w:styleId="List3">
    <w:name w:val="List 3"/>
    <w:basedOn w:val="BodyText"/>
    <w:rsid w:val="00FB7FA2"/>
    <w:pPr>
      <w:tabs>
        <w:tab w:val="left" w:pos="1021"/>
      </w:tabs>
      <w:spacing w:before="60" w:after="60"/>
      <w:ind w:left="1020" w:hanging="340"/>
    </w:pPr>
  </w:style>
  <w:style w:type="paragraph" w:styleId="List4">
    <w:name w:val="List 4"/>
    <w:basedOn w:val="BodyText"/>
    <w:rsid w:val="00FB7FA2"/>
    <w:pPr>
      <w:tabs>
        <w:tab w:val="left" w:pos="1361"/>
      </w:tabs>
      <w:spacing w:before="60" w:after="60"/>
      <w:ind w:left="1361" w:hanging="340"/>
    </w:pPr>
  </w:style>
  <w:style w:type="paragraph" w:styleId="List5">
    <w:name w:val="List 5"/>
    <w:basedOn w:val="BodyText"/>
    <w:rsid w:val="00FB7FA2"/>
    <w:pPr>
      <w:tabs>
        <w:tab w:val="left" w:pos="1701"/>
      </w:tabs>
      <w:spacing w:before="60" w:after="60"/>
      <w:ind w:left="1701" w:hanging="340"/>
    </w:pPr>
  </w:style>
  <w:style w:type="paragraph" w:styleId="ListBullet4">
    <w:name w:val="List Bullet 4"/>
    <w:basedOn w:val="List4"/>
    <w:rsid w:val="00FB7FA2"/>
    <w:pPr>
      <w:numPr>
        <w:numId w:val="3"/>
      </w:numPr>
    </w:pPr>
  </w:style>
  <w:style w:type="paragraph" w:styleId="ListBullet5">
    <w:name w:val="List Bullet 5"/>
    <w:basedOn w:val="List5"/>
    <w:rsid w:val="00FB7FA2"/>
    <w:pPr>
      <w:numPr>
        <w:numId w:val="4"/>
      </w:numPr>
    </w:pPr>
  </w:style>
  <w:style w:type="paragraph" w:styleId="ListContinue2">
    <w:name w:val="List Continue 2"/>
    <w:basedOn w:val="List2"/>
    <w:rsid w:val="00FB7FA2"/>
    <w:pPr>
      <w:ind w:firstLine="0"/>
    </w:pPr>
  </w:style>
  <w:style w:type="paragraph" w:styleId="ListContinue3">
    <w:name w:val="List Continue 3"/>
    <w:basedOn w:val="List3"/>
    <w:rsid w:val="00FB7FA2"/>
    <w:pPr>
      <w:ind w:left="1021" w:firstLine="0"/>
    </w:pPr>
  </w:style>
  <w:style w:type="paragraph" w:styleId="ListContinue4">
    <w:name w:val="List Continue 4"/>
    <w:basedOn w:val="List4"/>
    <w:rsid w:val="00FB7FA2"/>
    <w:pPr>
      <w:ind w:firstLine="0"/>
    </w:pPr>
  </w:style>
  <w:style w:type="paragraph" w:styleId="ListContinue5">
    <w:name w:val="List Continue 5"/>
    <w:basedOn w:val="List5"/>
    <w:rsid w:val="00FB7FA2"/>
    <w:pPr>
      <w:ind w:firstLine="0"/>
    </w:pPr>
  </w:style>
  <w:style w:type="paragraph" w:styleId="ListNumber3">
    <w:name w:val="List Number 3"/>
    <w:basedOn w:val="List3"/>
    <w:rsid w:val="00FB7FA2"/>
    <w:pPr>
      <w:numPr>
        <w:numId w:val="5"/>
      </w:numPr>
    </w:pPr>
  </w:style>
  <w:style w:type="paragraph" w:styleId="ListNumber4">
    <w:name w:val="List Number 4"/>
    <w:basedOn w:val="List4"/>
    <w:rsid w:val="00FB7FA2"/>
    <w:pPr>
      <w:numPr>
        <w:numId w:val="6"/>
      </w:numPr>
    </w:pPr>
  </w:style>
  <w:style w:type="paragraph" w:styleId="ListNumber5">
    <w:name w:val="List Number 5"/>
    <w:basedOn w:val="List5"/>
    <w:rsid w:val="00FB7FA2"/>
    <w:pPr>
      <w:numPr>
        <w:numId w:val="7"/>
      </w:numPr>
    </w:pPr>
  </w:style>
  <w:style w:type="paragraph" w:styleId="BlockText">
    <w:name w:val="Block Text"/>
    <w:basedOn w:val="Normal"/>
    <w:rsid w:val="00FB7FA2"/>
    <w:pPr>
      <w:spacing w:after="120"/>
      <w:ind w:left="1440" w:right="1440"/>
    </w:pPr>
  </w:style>
  <w:style w:type="character" w:customStyle="1" w:styleId="Subscript">
    <w:name w:val="Subscript"/>
    <w:basedOn w:val="DefaultParagraphFont"/>
    <w:rsid w:val="00FB7FA2"/>
    <w:rPr>
      <w:sz w:val="16"/>
      <w:vertAlign w:val="subscript"/>
    </w:rPr>
  </w:style>
  <w:style w:type="character" w:customStyle="1" w:styleId="Superscript">
    <w:name w:val="Superscript"/>
    <w:basedOn w:val="DefaultParagraphFont"/>
    <w:rsid w:val="00FB7FA2"/>
    <w:rPr>
      <w:sz w:val="16"/>
      <w:vertAlign w:val="superscript"/>
    </w:rPr>
  </w:style>
  <w:style w:type="character" w:customStyle="1" w:styleId="Symbols">
    <w:name w:val="Symbols"/>
    <w:basedOn w:val="DefaultParagraphFont"/>
    <w:rsid w:val="00FB7FA2"/>
    <w:rPr>
      <w:rFonts w:ascii="Symbol" w:hAnsi="Symbol"/>
    </w:rPr>
  </w:style>
  <w:style w:type="character" w:customStyle="1" w:styleId="MenuOptions">
    <w:name w:val="Menu Options"/>
    <w:basedOn w:val="DefaultParagraphFont"/>
    <w:rsid w:val="00FB7FA2"/>
    <w:rPr>
      <w:rFonts w:ascii="Arial Narrow" w:hAnsi="Arial Narrow"/>
      <w:smallCaps/>
    </w:rPr>
  </w:style>
  <w:style w:type="character" w:customStyle="1" w:styleId="Buttons">
    <w:name w:val="Buttons"/>
    <w:basedOn w:val="DefaultParagraphFont"/>
    <w:rsid w:val="00FB7FA2"/>
    <w:rPr>
      <w:b/>
    </w:rPr>
  </w:style>
  <w:style w:type="character" w:customStyle="1" w:styleId="Underlined">
    <w:name w:val="Underlined"/>
    <w:basedOn w:val="DefaultParagraphFont"/>
    <w:rsid w:val="00FB7FA2"/>
    <w:rPr>
      <w:u w:val="single"/>
    </w:rPr>
  </w:style>
  <w:style w:type="paragraph" w:customStyle="1" w:styleId="TableBodyTextRight">
    <w:name w:val="Table Body Text Right"/>
    <w:basedOn w:val="TableBodyText"/>
    <w:rsid w:val="00FB7FA2"/>
    <w:pPr>
      <w:widowControl w:val="0"/>
      <w:autoSpaceDE w:val="0"/>
      <w:autoSpaceDN w:val="0"/>
      <w:adjustRightInd w:val="0"/>
      <w:jc w:val="right"/>
    </w:pPr>
    <w:rPr>
      <w:rFonts w:cs="Arial"/>
      <w:szCs w:val="18"/>
    </w:rPr>
  </w:style>
  <w:style w:type="paragraph" w:customStyle="1" w:styleId="CopyrightText">
    <w:name w:val="Copyright Text"/>
    <w:basedOn w:val="BodyText"/>
    <w:rsid w:val="00FB7FA2"/>
    <w:rPr>
      <w:sz w:val="18"/>
    </w:rPr>
  </w:style>
  <w:style w:type="paragraph" w:customStyle="1" w:styleId="BodySmallRight">
    <w:name w:val="Body Small Right"/>
    <w:basedOn w:val="BodyTextRight"/>
    <w:rsid w:val="00FB7FA2"/>
    <w:rPr>
      <w:sz w:val="18"/>
      <w:szCs w:val="18"/>
    </w:rPr>
  </w:style>
  <w:style w:type="paragraph" w:customStyle="1" w:styleId="MarginEdition">
    <w:name w:val="Margin Edition"/>
    <w:basedOn w:val="MarginNote"/>
    <w:rsid w:val="00FB7FA2"/>
    <w:pPr>
      <w:spacing w:before="0" w:after="0"/>
    </w:pPr>
    <w:rPr>
      <w:rFonts w:ascii="Times New Roman" w:hAnsi="Times New Roman"/>
      <w:color w:val="999999"/>
    </w:rPr>
  </w:style>
  <w:style w:type="paragraph" w:customStyle="1" w:styleId="Spacer">
    <w:name w:val="Spacer"/>
    <w:basedOn w:val="Normal"/>
    <w:rsid w:val="00FB7FA2"/>
    <w:rPr>
      <w:sz w:val="2"/>
      <w:szCs w:val="2"/>
    </w:rPr>
  </w:style>
  <w:style w:type="character" w:customStyle="1" w:styleId="Small">
    <w:name w:val="Small"/>
    <w:basedOn w:val="DefaultParagraphFont"/>
    <w:rsid w:val="00FB7FA2"/>
    <w:rPr>
      <w:sz w:val="16"/>
    </w:rPr>
  </w:style>
  <w:style w:type="paragraph" w:customStyle="1" w:styleId="WideTable">
    <w:name w:val="Wide Table"/>
    <w:basedOn w:val="Normal"/>
    <w:rsid w:val="00FB7FA2"/>
    <w:pPr>
      <w:ind w:left="-1418"/>
    </w:pPr>
    <w:rPr>
      <w:sz w:val="2"/>
      <w:szCs w:val="2"/>
    </w:rPr>
  </w:style>
  <w:style w:type="character" w:styleId="PageNumber">
    <w:name w:val="page number"/>
    <w:basedOn w:val="DefaultParagraphFont"/>
    <w:rsid w:val="00FB7FA2"/>
  </w:style>
  <w:style w:type="paragraph" w:styleId="Quote">
    <w:name w:val="Quote"/>
    <w:basedOn w:val="Heading1"/>
    <w:link w:val="QuoteChar"/>
    <w:qFormat/>
    <w:rsid w:val="00FB7FA2"/>
    <w:rPr>
      <w:b w:val="0"/>
      <w:sz w:val="72"/>
      <w:szCs w:val="72"/>
      <w:lang w:val="en-NZ"/>
    </w:rPr>
  </w:style>
  <w:style w:type="character" w:customStyle="1" w:styleId="QuoteChar">
    <w:name w:val="Quote Char"/>
    <w:basedOn w:val="DefaultParagraphFont"/>
    <w:link w:val="Quote"/>
    <w:rsid w:val="00FB7F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7FA2"/>
    <w:pPr>
      <w:pageBreakBefore/>
    </w:pPr>
  </w:style>
  <w:style w:type="paragraph" w:customStyle="1" w:styleId="Border">
    <w:name w:val="Border"/>
    <w:basedOn w:val="Normal"/>
    <w:qFormat/>
    <w:rsid w:val="00FB7F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7FA2"/>
    <w:rPr>
      <w:b/>
      <w:bCs/>
      <w:i/>
      <w:iCs/>
      <w:color w:val="auto"/>
    </w:rPr>
  </w:style>
  <w:style w:type="paragraph" w:styleId="IntenseQuote">
    <w:name w:val="Intense Quote"/>
    <w:basedOn w:val="Normal"/>
    <w:next w:val="Normal"/>
    <w:link w:val="IntenseQuoteChar"/>
    <w:uiPriority w:val="30"/>
    <w:qFormat/>
    <w:rsid w:val="00FB7F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7FA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B7FA2"/>
    <w:rPr>
      <w:smallCaps/>
      <w:color w:val="auto"/>
      <w:u w:val="single"/>
    </w:rPr>
  </w:style>
  <w:style w:type="character" w:styleId="IntenseReference">
    <w:name w:val="Intense Reference"/>
    <w:basedOn w:val="DefaultParagraphFont"/>
    <w:uiPriority w:val="32"/>
    <w:qFormat/>
    <w:rsid w:val="00FB7FA2"/>
    <w:rPr>
      <w:b/>
      <w:bCs/>
      <w:smallCaps/>
      <w:color w:val="auto"/>
      <w:spacing w:val="5"/>
      <w:u w:val="single"/>
    </w:rPr>
  </w:style>
  <w:style w:type="paragraph" w:customStyle="1" w:styleId="2ColumnHeading">
    <w:name w:val="2Column Heading"/>
    <w:basedOn w:val="BodyText"/>
    <w:qFormat/>
    <w:rsid w:val="00FB7FA2"/>
    <w:pPr>
      <w:spacing w:after="60"/>
      <w:ind w:left="-2268"/>
    </w:pPr>
    <w:rPr>
      <w:b/>
    </w:rPr>
  </w:style>
  <w:style w:type="paragraph" w:customStyle="1" w:styleId="Heading1TOC">
    <w:name w:val="Heading1 TOC"/>
    <w:basedOn w:val="Normal"/>
    <w:qFormat/>
    <w:rsid w:val="00FB7FA2"/>
    <w:pPr>
      <w:spacing w:before="240" w:after="120"/>
    </w:pPr>
    <w:rPr>
      <w:rFonts w:ascii="Times New Roman" w:hAnsi="Times New Roman"/>
      <w:b/>
      <w:sz w:val="32"/>
    </w:rPr>
  </w:style>
  <w:style w:type="paragraph" w:customStyle="1" w:styleId="Heading2TOC">
    <w:name w:val="Heading2 TOC"/>
    <w:basedOn w:val="Normal"/>
    <w:qFormat/>
    <w:rsid w:val="00FB7FA2"/>
    <w:pPr>
      <w:spacing w:before="240" w:after="60"/>
    </w:pPr>
    <w:rPr>
      <w:rFonts w:ascii="Times New Roman" w:hAnsi="Times New Roman"/>
      <w:b/>
      <w:sz w:val="28"/>
    </w:rPr>
  </w:style>
  <w:style w:type="character" w:customStyle="1" w:styleId="Underline">
    <w:name w:val="Underline"/>
    <w:basedOn w:val="DefaultParagraphFont"/>
    <w:qFormat/>
    <w:rsid w:val="00FB7FA2"/>
    <w:rPr>
      <w:u w:val="single"/>
    </w:rPr>
  </w:style>
  <w:style w:type="character" w:customStyle="1" w:styleId="BoldandItalics">
    <w:name w:val="Bold and Italics"/>
    <w:qFormat/>
    <w:rsid w:val="00FB7FA2"/>
    <w:rPr>
      <w:b/>
      <w:i/>
      <w:u w:val="none"/>
    </w:rPr>
  </w:style>
  <w:style w:type="paragraph" w:styleId="BalloonText">
    <w:name w:val="Balloon Text"/>
    <w:basedOn w:val="Normal"/>
    <w:link w:val="BalloonTextChar"/>
    <w:rsid w:val="00FB7FA2"/>
    <w:rPr>
      <w:rFonts w:ascii="Tahoma" w:hAnsi="Tahoma" w:cs="Tahoma"/>
      <w:sz w:val="16"/>
      <w:szCs w:val="16"/>
    </w:rPr>
  </w:style>
  <w:style w:type="character" w:customStyle="1" w:styleId="BalloonTextChar">
    <w:name w:val="Balloon Text Char"/>
    <w:basedOn w:val="DefaultParagraphFont"/>
    <w:link w:val="BalloonText"/>
    <w:rsid w:val="00FB7FA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B7F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7FA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2610</Words>
  <Characters>16275</Characters>
  <Application>Microsoft Office Word</Application>
  <DocSecurity>0</DocSecurity>
  <Lines>628</Lines>
  <Paragraphs>258</Paragraphs>
  <ScaleCrop>false</ScaleCrop>
  <Company>Author-it Software Corporation Ltd.</Company>
  <LinksUpToDate>false</LinksUpToDate>
  <CharactersWithSpaces>18724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UEPOPS348A Respond to Critical Incidents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2012-05-26T22:26:00Z</dcterms:created>
  <dcterms:modified xsi:type="dcterms:W3CDTF">2012-05-26T22:26:00Z</dcterms:modified>
</cp:coreProperties>
</file>