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19A" w:rsidP="00A7019A">
      <w:pPr>
        <w:pStyle w:val="Title"/>
      </w:pPr>
      <w:r>
        <w:fldChar w:fldCharType="begin"/>
      </w:r>
      <w:r>
        <w:instrText xml:space="preserve"> TITLE   \* MERGEFORMAT </w:instrText>
      </w:r>
      <w:r>
        <w:fldChar w:fldCharType="separate"/>
      </w:r>
      <w:r>
        <w:t>UEPOPS335A Operate a Hydro Generator/Synchronous Condenser/Pump Unit</w:t>
      </w:r>
      <w:r>
        <w:fldChar w:fldCharType="end"/>
      </w:r>
    </w:p>
    <w:p w:rsidR="00A7019A" w:rsidP="00A7019A">
      <w:pPr>
        <w:pStyle w:val="Version"/>
        <w:sectPr w:rsidSect="007070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06C" w:rsidP="0070706C">
      <w:pPr>
        <w:pStyle w:val="SuperHeading"/>
      </w:pPr>
      <w:r w:rsidRPr="0070706C">
        <w:t>UEPOPS335A Operate a Hydro Generator/Synchronous Condenser/Pump Unit</w:t>
      </w:r>
    </w:p>
    <w:p w:rsidR="00000000" w:rsidRPr="0070706C" w:rsidP="0070706C">
      <w:pPr>
        <w:pStyle w:val="Heading1"/>
      </w:pPr>
      <w:bookmarkStart w:id="1" w:name="O_275332"/>
      <w:bookmarkEnd w:id="1"/>
      <w:r w:rsidRPr="0070706C">
        <w:t>Modification History</w:t>
      </w:r>
    </w:p>
    <w:p w:rsidR="00000000" w:rsidRPr="0070706C" w:rsidP="0070706C">
      <w:pPr>
        <w:pStyle w:val="BodyText"/>
      </w:pPr>
      <w:r w:rsidRPr="0070706C">
        <w:t>Not Applicable</w:t>
      </w:r>
    </w:p>
    <w:p w:rsidR="00000000" w:rsidRPr="0070706C" w:rsidP="0070706C">
      <w:pPr>
        <w:pStyle w:val="AllowPageBreak"/>
      </w:pPr>
    </w:p>
    <w:p w:rsidR="00000000" w:rsidRPr="0070706C" w:rsidP="0070706C">
      <w:pPr>
        <w:pStyle w:val="Heading1"/>
      </w:pPr>
      <w:bookmarkStart w:id="2" w:name="O_230632"/>
      <w:bookmarkEnd w:id="2"/>
      <w:r w:rsidRPr="0070706C">
        <w:t>Unit Descriptor</w:t>
      </w:r>
    </w:p>
    <w:tbl>
      <w:tblPr>
        <w:tblW w:w="0" w:type="auto"/>
        <w:tblLayout w:type="fixed"/>
        <w:tblCellMar>
          <w:left w:w="62" w:type="dxa"/>
          <w:right w:w="62" w:type="dxa"/>
        </w:tblCellMar>
        <w:tblLook w:val="0000"/>
      </w:tblPr>
      <w:tblGrid>
        <w:gridCol w:w="2700"/>
        <w:gridCol w:w="5760"/>
      </w:tblGrid>
      <w:tr w:rsidTr="00A701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1</w:t>
            </w:r>
            <w:r w:rsidRPr="0070706C">
              <w:t xml:space="preserve">) </w:t>
            </w:r>
          </w:p>
        </w:tc>
      </w:tr>
      <w:tr w:rsidTr="00A701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This unit deals with the skills and knowledge required to start-up, maintain steady state running and shutdown a hydro unit operating in generator or synchronous condenser or pump mode.</w:t>
            </w:r>
          </w:p>
        </w:tc>
      </w:tr>
    </w:tbl>
    <w:p w:rsidR="00A7019A" w:rsidP="0070706C">
      <w:pPr>
        <w:pStyle w:val="BodyText"/>
      </w:pPr>
    </w:p>
    <w:p w:rsidR="00A7019A" w:rsidP="0070706C">
      <w:pPr>
        <w:pStyle w:val="BodyText"/>
      </w:pPr>
    </w:p>
    <w:p w:rsidR="00000000" w:rsidRPr="0070706C" w:rsidP="0070706C">
      <w:pPr>
        <w:pStyle w:val="Heading1"/>
      </w:pPr>
      <w:bookmarkStart w:id="3" w:name="O_230635"/>
      <w:bookmarkEnd w:id="3"/>
      <w:r w:rsidRPr="0070706C">
        <w:t>Application of the Unit</w:t>
      </w:r>
    </w:p>
    <w:tbl>
      <w:tblPr>
        <w:tblW w:w="0" w:type="auto"/>
        <w:tblLayout w:type="fixed"/>
        <w:tblCellMar>
          <w:left w:w="62" w:type="dxa"/>
          <w:right w:w="62" w:type="dxa"/>
        </w:tblCellMar>
        <w:tblLook w:val="0000"/>
      </w:tblPr>
      <w:tblGrid>
        <w:gridCol w:w="2700"/>
        <w:gridCol w:w="5760"/>
      </w:tblGrid>
      <w:tr w:rsidTr="00A701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3</w:t>
            </w:r>
            <w:r w:rsidRPr="0070706C">
              <w:t>)</w:t>
            </w:r>
            <w:r w:rsidRPr="0070706C">
              <w:t xml:space="preserve"> </w:t>
            </w:r>
          </w:p>
        </w:tc>
      </w:tr>
      <w:tr w:rsidTr="00A701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This unit is intended to augment formally acquired competencies. It is suitable for employment-based programs under an approved contract of training.</w:t>
            </w:r>
          </w:p>
        </w:tc>
      </w:tr>
      <w:tr w:rsidTr="00A701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3</w:t>
            </w:r>
            <w:r w:rsidRPr="0070706C">
              <w:t>.</w:t>
            </w:r>
            <w:r w:rsidRPr="0070706C">
              <w:rPr>
                <w:rStyle w:val="SpecialBold"/>
              </w:rPr>
              <w:t>1</w:t>
            </w:r>
            <w:r w:rsidRPr="0070706C">
              <w:t xml:space="preserve">) </w:t>
            </w:r>
          </w:p>
        </w:tc>
      </w:tr>
      <w:tr w:rsidTr="00A701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 xml:space="preserve">The skills and knowledge described </w:t>
            </w:r>
            <w:r w:rsidRPr="0070706C">
              <w:t>in this unit do not require a licence to practise in the workplace. However, practice in this unit is subject to regulations directly related to Occupational Health and Safety.</w:t>
            </w:r>
          </w:p>
        </w:tc>
      </w:tr>
    </w:tbl>
    <w:p w:rsidR="00A7019A" w:rsidP="0070706C">
      <w:pPr>
        <w:pStyle w:val="BodyText"/>
      </w:pPr>
    </w:p>
    <w:p w:rsidR="00A7019A" w:rsidP="0070706C">
      <w:pPr>
        <w:pStyle w:val="BodyText"/>
      </w:pPr>
    </w:p>
    <w:p w:rsidR="00000000" w:rsidRPr="0070706C" w:rsidP="0070706C">
      <w:pPr>
        <w:pStyle w:val="Heading1"/>
      </w:pPr>
      <w:bookmarkStart w:id="4" w:name="O_282866"/>
      <w:bookmarkEnd w:id="4"/>
      <w:r w:rsidRPr="0070706C">
        <w:t>Licensing/Regulatory Information</w:t>
      </w:r>
    </w:p>
    <w:p w:rsidR="00000000" w:rsidRPr="0070706C" w:rsidP="0070706C">
      <w:pPr>
        <w:pStyle w:val="BodyText"/>
      </w:pPr>
      <w:r w:rsidRPr="0070706C">
        <w:t>Not Applicable</w:t>
      </w:r>
    </w:p>
    <w:p w:rsidR="00000000" w:rsidRPr="0070706C" w:rsidP="0070706C">
      <w:pPr>
        <w:pStyle w:val="AllowPageBreak"/>
      </w:pPr>
    </w:p>
    <w:p w:rsidR="00000000" w:rsidRPr="0070706C" w:rsidP="0070706C">
      <w:pPr>
        <w:pStyle w:val="Heading1"/>
      </w:pPr>
      <w:bookmarkStart w:id="5" w:name="O_230633"/>
      <w:bookmarkEnd w:id="5"/>
      <w:r w:rsidRPr="0070706C">
        <w:t>Pre-Requisites</w:t>
      </w:r>
    </w:p>
    <w:tbl>
      <w:tblPr>
        <w:tblW w:w="0" w:type="auto"/>
        <w:tblLayout w:type="fixed"/>
        <w:tblCellMar>
          <w:left w:w="62" w:type="dxa"/>
          <w:right w:w="62" w:type="dxa"/>
        </w:tblCellMar>
        <w:tblLook w:val="0000"/>
      </w:tblPr>
      <w:tblGrid>
        <w:gridCol w:w="2700"/>
        <w:gridCol w:w="5760"/>
      </w:tblGrid>
      <w:tr w:rsidTr="00A701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Prerequisite Unit</w:t>
            </w:r>
            <w:r w:rsidRPr="0070706C">
              <w:t>(</w:t>
            </w:r>
            <w:r w:rsidRPr="0070706C">
              <w:rPr>
                <w:rStyle w:val="SpecialBold"/>
              </w:rPr>
              <w:t>s</w:t>
            </w:r>
            <w:r w:rsidRPr="0070706C">
              <w:t>)</w:t>
            </w:r>
          </w:p>
        </w:tc>
        <w:tc>
          <w:tcPr>
            <w:tcW w:w="57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2</w:t>
            </w:r>
            <w:r w:rsidRPr="0070706C">
              <w:t xml:space="preserve">) </w:t>
            </w:r>
          </w:p>
        </w:tc>
      </w:tr>
      <w:tr w:rsidTr="00A701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2</w:t>
            </w:r>
            <w:r w:rsidRPr="0070706C">
              <w:t>.</w:t>
            </w:r>
            <w:r w:rsidRPr="0070706C">
              <w:rPr>
                <w:rStyle w:val="SpecialBold"/>
              </w:rPr>
              <w:t>1</w:t>
            </w:r>
            <w:r w:rsidRPr="0070706C">
              <w:t xml:space="preserve">) </w:t>
            </w:r>
          </w:p>
        </w:tc>
      </w:tr>
      <w:tr w:rsidTr="00A701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There are no prerequisite units</w:t>
            </w:r>
          </w:p>
        </w:tc>
      </w:tr>
    </w:tbl>
    <w:p w:rsidR="00A7019A" w:rsidP="0070706C">
      <w:pPr>
        <w:pStyle w:val="BodyText"/>
      </w:pPr>
    </w:p>
    <w:p w:rsidR="00A7019A" w:rsidP="0070706C">
      <w:pPr>
        <w:pStyle w:val="BodyText"/>
      </w:pPr>
    </w:p>
    <w:p w:rsidR="00000000" w:rsidRPr="0070706C" w:rsidP="0070706C">
      <w:pPr>
        <w:pStyle w:val="Heading1"/>
      </w:pPr>
      <w:bookmarkStart w:id="6" w:name="O_285581"/>
      <w:bookmarkEnd w:id="6"/>
      <w:r w:rsidRPr="0070706C">
        <w:t>Employability Skills Information</w:t>
      </w:r>
    </w:p>
    <w:p w:rsidR="00000000" w:rsidRPr="0070706C" w:rsidP="0070706C">
      <w:pPr>
        <w:pStyle w:val="BodyText"/>
      </w:pPr>
      <w:r w:rsidRPr="0070706C">
        <w:t>Refer to the Evidence Guide</w:t>
      </w:r>
    </w:p>
    <w:p w:rsidR="00000000" w:rsidRPr="0070706C" w:rsidP="0070706C">
      <w:pPr>
        <w:pStyle w:val="AllowPageBreak"/>
      </w:pPr>
    </w:p>
    <w:p w:rsidR="00000000" w:rsidRPr="0070706C" w:rsidP="0070706C">
      <w:pPr>
        <w:pStyle w:val="Heading1"/>
      </w:pPr>
      <w:bookmarkStart w:id="7" w:name="O_293378"/>
      <w:bookmarkEnd w:id="7"/>
      <w:r w:rsidRPr="0070706C">
        <w:t>Elements and Performance Criteria Pre-Content</w:t>
      </w:r>
    </w:p>
    <w:tbl>
      <w:tblPr>
        <w:tblW w:w="0" w:type="auto"/>
        <w:tblLayout w:type="fixed"/>
        <w:tblCellMar>
          <w:left w:w="62" w:type="dxa"/>
          <w:right w:w="62" w:type="dxa"/>
        </w:tblCellMar>
        <w:tblLook w:val="0000"/>
      </w:tblPr>
      <w:tblGrid>
        <w:gridCol w:w="2700"/>
        <w:gridCol w:w="5760"/>
      </w:tblGrid>
      <w:tr w:rsidTr="00A701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5</w:t>
            </w:r>
            <w:r w:rsidRPr="0070706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Performance Criteria describe the required performance needed to demonstrate achievement of the element. Assessment of performance is to be consistent with the evidence guide.</w:t>
            </w:r>
          </w:p>
        </w:tc>
      </w:tr>
    </w:tbl>
    <w:p w:rsidR="00000000" w:rsidRPr="0070706C" w:rsidP="0070706C">
      <w:pPr>
        <w:pStyle w:val="BodyText"/>
      </w:pPr>
    </w:p>
    <w:p w:rsidR="00000000" w:rsidRPr="0070706C" w:rsidP="0070706C">
      <w:pPr>
        <w:pStyle w:val="AllowPageBreak"/>
      </w:pPr>
    </w:p>
    <w:p w:rsidR="00000000" w:rsidRPr="0070706C" w:rsidP="0070706C">
      <w:pPr>
        <w:pStyle w:val="Heading1"/>
      </w:pPr>
      <w:bookmarkStart w:id="8" w:name="O_240046"/>
      <w:bookmarkEnd w:id="8"/>
      <w:r w:rsidRPr="0070706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7019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PERFORMANCE CRITERIA</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1</w:t>
            </w:r>
          </w:p>
        </w:tc>
        <w:tc>
          <w:tcPr>
            <w:tcW w:w="2296" w:type="dxa"/>
            <w:vMerge w:val="restart"/>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Plan and prepare work</w:t>
            </w: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1.1</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Safety issues are identified to comply with enterprise/site requirements</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1.2</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Work, plant and type of start requirements are identified from relevant personnel and documentation</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1.3</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The turbine running-up and loading schedule are ascertained from relevant documentation and in accordance with enterprise/site requirements</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1.4</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Localised plant inspection, pre operational tests and field preparation for service are carried out in accordance with manufacturer and enterprise/site procedures</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1.5</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Plant operational prerequisites are established in accordance with manufacturer and en</w:t>
            </w:r>
            <w:r w:rsidRPr="0070706C">
              <w:t>terprise/site procedures</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1.6</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Sequence for recommissioning of plant is determined to suit existing circumstances in accordance with enterprise/site requirements</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2</w:t>
            </w:r>
          </w:p>
        </w:tc>
        <w:tc>
          <w:tcPr>
            <w:tcW w:w="2296" w:type="dxa"/>
            <w:vMerge w:val="restart"/>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Operate plant</w:t>
            </w: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2.1</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Plant is operated in accordance with enterprise and manufacturer operating procedures</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2.2</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Plant is monitored and observed to detect deviations from normal operating conditions</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2.3</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Corrective actions are taken to rectify abnormalities in accordance with manufacturer and enterprise/site procedures</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3</w:t>
            </w:r>
          </w:p>
        </w:tc>
        <w:tc>
          <w:tcPr>
            <w:tcW w:w="2296" w:type="dxa"/>
            <w:vMerge w:val="restart"/>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Test plant operation</w:t>
            </w: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3.1</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Tests are performed in accordance with defined procedures applicable to the operational test</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3.2</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System and plant is observed for correct operational response</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3.3</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Correct action is taken when response is not in accordance with documentation, plant integrity or personnel safety requirements</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3.4</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Plant is returned to required operational status upo</w:t>
            </w:r>
            <w:r w:rsidRPr="0070706C">
              <w:t>n completion of test</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4</w:t>
            </w:r>
          </w:p>
        </w:tc>
        <w:tc>
          <w:tcPr>
            <w:tcW w:w="2296"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Analyse plant faults</w:t>
            </w: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4.1</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Cause of abnormal plant operating conditions are identified by analysing the technical and operational information in a logical and sequential manner</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4.2</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Actions necessary to rectify fault are correctly determined</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4.3</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Plant integrity and personnel safety is maintained through consultation with appropriate personnel, and reference to plant, technical and operational documentation</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4.4</w:t>
            </w:r>
          </w:p>
        </w:tc>
        <w:tc>
          <w:tcPr>
            <w:tcW w:w="48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Appropriate person</w:t>
            </w:r>
            <w:r w:rsidRPr="0070706C">
              <w:t>nel is notified when defects are detected</w:t>
            </w:r>
          </w:p>
        </w:tc>
      </w:tr>
      <w:tr w:rsidTr="00A701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.5</w:t>
            </w:r>
          </w:p>
        </w:tc>
        <w:tc>
          <w:tcPr>
            <w:tcW w:w="2296"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Complete documentation</w:t>
            </w:r>
          </w:p>
        </w:tc>
        <w:tc>
          <w:tcPr>
            <w:tcW w:w="9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5.1</w:t>
            </w:r>
          </w:p>
        </w:tc>
        <w:tc>
          <w:tcPr>
            <w:tcW w:w="48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Documentation is updated and plant problems, movements, abnormalities and status are reported and logged in accordance with enterprise/site procedures</w:t>
            </w:r>
          </w:p>
        </w:tc>
      </w:tr>
    </w:tbl>
    <w:p w:rsidR="00A7019A" w:rsidP="0070706C">
      <w:pPr>
        <w:pStyle w:val="BodyText"/>
      </w:pPr>
    </w:p>
    <w:p w:rsidR="00A7019A" w:rsidP="0070706C">
      <w:pPr>
        <w:pStyle w:val="BodyText"/>
      </w:pPr>
    </w:p>
    <w:p w:rsidR="00000000" w:rsidRPr="0070706C" w:rsidP="0070706C">
      <w:pPr>
        <w:pStyle w:val="Heading1"/>
      </w:pPr>
      <w:bookmarkStart w:id="9" w:name="O_263837"/>
      <w:bookmarkEnd w:id="9"/>
      <w:r w:rsidRPr="0070706C">
        <w:t>Required Skills and Knowledge</w:t>
      </w:r>
    </w:p>
    <w:tbl>
      <w:tblPr>
        <w:tblW w:w="0" w:type="auto"/>
        <w:tblLayout w:type="fixed"/>
        <w:tblCellMar>
          <w:left w:w="62" w:type="dxa"/>
          <w:right w:w="62" w:type="dxa"/>
        </w:tblCellMar>
        <w:tblLook w:val="0000"/>
      </w:tblPr>
      <w:tblGrid>
        <w:gridCol w:w="2700"/>
        <w:gridCol w:w="5760"/>
      </w:tblGrid>
      <w:tr w:rsidTr="00A7019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REQUIRED SKILLS AND KNOWLEDGE</w:t>
            </w:r>
          </w:p>
        </w:tc>
      </w:tr>
      <w:tr w:rsidTr="00A7019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6</w:t>
            </w:r>
            <w:r w:rsidRPr="0070706C">
              <w:t>) This describes the essential skills and knowledge and their level, required for this unit.</w:t>
            </w:r>
          </w:p>
        </w:tc>
      </w:tr>
      <w:tr w:rsidTr="00A7019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Evidence shall show that knowledge has been acquired of operating a hydro generator/synchronous condenser/pump unit for a permit to work.</w:t>
            </w:r>
          </w:p>
          <w:p w:rsidR="00000000" w:rsidP="0070706C">
            <w:pPr>
              <w:pStyle w:val="BodyText"/>
              <w:rPr>
                <w:lang w:val="en-NZ"/>
              </w:rPr>
            </w:pPr>
            <w:r w:rsidRPr="0070706C">
              <w:t>The extent of the Essential Knowledge and Associated Skills required follows:</w:t>
            </w:r>
          </w:p>
        </w:tc>
      </w:tr>
      <w:tr w:rsidTr="00A701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Evidence shall show that knowledge ha</w:t>
            </w:r>
            <w:r w:rsidRPr="0070706C">
              <w:t>s been acquired for safe working practices of:</w:t>
            </w:r>
          </w:p>
          <w:p w:rsidR="00000000" w:rsidRPr="0070706C" w:rsidP="0070706C">
            <w:pPr>
              <w:pStyle w:val="ListBullet3"/>
            </w:pPr>
            <w:r w:rsidRPr="0070706C">
              <w:t xml:space="preserve">Relevant Occupational Health and Safety regulations </w:t>
            </w:r>
          </w:p>
          <w:p w:rsidR="00000000" w:rsidRPr="0070706C" w:rsidP="0070706C">
            <w:pPr>
              <w:pStyle w:val="ListBullet3"/>
            </w:pPr>
            <w:r w:rsidRPr="0070706C">
              <w:t xml:space="preserve">Relevant statutory legislation </w:t>
            </w:r>
          </w:p>
          <w:p w:rsidR="00000000" w:rsidRPr="0070706C" w:rsidP="0070706C">
            <w:pPr>
              <w:pStyle w:val="ListBullet3"/>
            </w:pPr>
            <w:r w:rsidRPr="0070706C">
              <w:t xml:space="preserve">Relevant enterprise/site safety procedures </w:t>
            </w:r>
          </w:p>
          <w:p w:rsidR="00000000" w:rsidRPr="0070706C" w:rsidP="0070706C">
            <w:pPr>
              <w:pStyle w:val="ListBullet3"/>
            </w:pPr>
            <w:r w:rsidRPr="0070706C">
              <w:t xml:space="preserve">Enterprise/site emergency procedures and techniques </w:t>
            </w:r>
          </w:p>
          <w:p w:rsidR="00000000" w:rsidRPr="0070706C" w:rsidP="0070706C">
            <w:pPr>
              <w:pStyle w:val="ListBullet3"/>
            </w:pPr>
            <w:r w:rsidRPr="0070706C">
              <w:t>Relevant plant and equipme</w:t>
            </w:r>
            <w:r w:rsidRPr="0070706C">
              <w:t xml:space="preserve">nt, its location and operating parameters </w:t>
            </w:r>
          </w:p>
          <w:p w:rsidR="00000000" w:rsidRPr="0070706C" w:rsidP="0070706C">
            <w:pPr>
              <w:pStyle w:val="ListBullet3"/>
            </w:pPr>
            <w:r w:rsidRPr="0070706C">
              <w:t xml:space="preserve">Plant status </w:t>
            </w:r>
          </w:p>
          <w:p w:rsidR="00000000" w:rsidRPr="0070706C" w:rsidP="0070706C">
            <w:pPr>
              <w:pStyle w:val="ListBullet3"/>
            </w:pPr>
            <w:r w:rsidRPr="0070706C">
              <w:t xml:space="preserve">Environmental legislation </w:t>
            </w:r>
          </w:p>
          <w:p w:rsidR="00000000" w:rsidRPr="0070706C" w:rsidP="0070706C">
            <w:pPr>
              <w:pStyle w:val="ListBullet3"/>
            </w:pPr>
            <w:r w:rsidRPr="0070706C">
              <w:t xml:space="preserve">Enterprise recording procedures </w:t>
            </w:r>
          </w:p>
          <w:p w:rsidR="00000000" w:rsidRPr="0070706C" w:rsidP="0070706C">
            <w:pPr>
              <w:pStyle w:val="ListBullet3"/>
            </w:pPr>
            <w:r w:rsidRPr="0070706C">
              <w:t xml:space="preserve">Communication principles </w:t>
            </w:r>
          </w:p>
          <w:p w:rsidR="00000000" w:rsidRPr="0070706C" w:rsidP="0070706C">
            <w:pPr>
              <w:pStyle w:val="ListBullet3"/>
            </w:pPr>
            <w:r w:rsidRPr="0070706C">
              <w:t xml:space="preserve">Control and data acquisition systems </w:t>
            </w:r>
          </w:p>
          <w:p w:rsidR="00000000" w:rsidRPr="0070706C" w:rsidP="0070706C">
            <w:pPr>
              <w:pStyle w:val="ListBullet3"/>
            </w:pPr>
            <w:r w:rsidRPr="0070706C">
              <w:t xml:space="preserve">Computers and software </w:t>
            </w:r>
          </w:p>
          <w:p w:rsidR="00000000" w:rsidRPr="0070706C" w:rsidP="0070706C">
            <w:pPr>
              <w:pStyle w:val="ListBullet3"/>
            </w:pPr>
            <w:r w:rsidRPr="0070706C">
              <w:t xml:space="preserve">Supervisory, alarm, protection and control equipment </w:t>
            </w:r>
          </w:p>
          <w:p w:rsidR="00000000" w:rsidRPr="0070706C" w:rsidP="0070706C">
            <w:pPr>
              <w:pStyle w:val="ListBullet3"/>
            </w:pPr>
            <w:r w:rsidRPr="0070706C">
              <w:t xml:space="preserve">Emergency procedures </w:t>
            </w:r>
          </w:p>
          <w:p w:rsidR="00000000" w:rsidRPr="0070706C" w:rsidP="0070706C">
            <w:pPr>
              <w:pStyle w:val="ListBullet3"/>
            </w:pPr>
            <w:r w:rsidRPr="0070706C">
              <w:t xml:space="preserve">Motor performance characteristics </w:t>
            </w:r>
          </w:p>
          <w:p w:rsidR="00000000" w:rsidRPr="0070706C" w:rsidP="0070706C">
            <w:pPr>
              <w:pStyle w:val="ListBullet3"/>
            </w:pPr>
            <w:r w:rsidRPr="0070706C">
              <w:t xml:space="preserve">Basic fan performance characteristics </w:t>
            </w:r>
          </w:p>
          <w:p w:rsidR="00000000" w:rsidRPr="0070706C" w:rsidP="0070706C">
            <w:pPr>
              <w:pStyle w:val="ListBullet3"/>
            </w:pPr>
            <w:r w:rsidRPr="0070706C">
              <w:t xml:space="preserve">Pump performance characteristics </w:t>
            </w:r>
          </w:p>
          <w:p w:rsidR="00000000" w:rsidRPr="0070706C" w:rsidP="0070706C">
            <w:pPr>
              <w:pStyle w:val="ListBullet3"/>
            </w:pPr>
            <w:r w:rsidRPr="0070706C">
              <w:t xml:space="preserve">Generator performance characteristics </w:t>
            </w:r>
          </w:p>
          <w:p w:rsidR="00000000" w:rsidRPr="0070706C" w:rsidP="0070706C">
            <w:pPr>
              <w:pStyle w:val="ListBullet3"/>
            </w:pPr>
            <w:r w:rsidRPr="0070706C">
              <w:t>Valve and actuator type and chara</w:t>
            </w:r>
            <w:r w:rsidRPr="0070706C">
              <w:t xml:space="preserve">cteristic (may include pressure conduit valves} </w:t>
            </w:r>
          </w:p>
          <w:p w:rsidR="00000000" w:rsidRPr="0070706C" w:rsidP="0070706C">
            <w:pPr>
              <w:pStyle w:val="ListBullet3"/>
            </w:pPr>
            <w:r w:rsidRPr="0070706C">
              <w:t xml:space="preserve">Speed control systems </w:t>
            </w:r>
          </w:p>
          <w:p w:rsidR="00000000" w:rsidRPr="0070706C" w:rsidP="0070706C">
            <w:pPr>
              <w:pStyle w:val="ListBullet3"/>
            </w:pPr>
            <w:r w:rsidRPr="0070706C">
              <w:t xml:space="preserve">Electrical supply and distribution systems </w:t>
            </w:r>
          </w:p>
          <w:p w:rsidR="00000000" w:rsidRPr="0070706C" w:rsidP="0070706C">
            <w:pPr>
              <w:pStyle w:val="ListBullet3"/>
            </w:pPr>
            <w:r w:rsidRPr="0070706C">
              <w:t xml:space="preserve">Principles of heat exchanger operation </w:t>
            </w:r>
          </w:p>
          <w:p w:rsidR="00000000" w:rsidRPr="0070706C" w:rsidP="0070706C">
            <w:pPr>
              <w:pStyle w:val="ListBullet3"/>
            </w:pPr>
            <w:r w:rsidRPr="0070706C">
              <w:t xml:space="preserve">Unit lubrication systems and oil conditioning systems </w:t>
            </w:r>
          </w:p>
          <w:p w:rsidR="00000000" w:rsidP="0070706C">
            <w:pPr>
              <w:pStyle w:val="ListBullet3"/>
              <w:rPr>
                <w:lang w:val="en-NZ"/>
              </w:rPr>
            </w:pPr>
            <w:r w:rsidRPr="0070706C">
              <w:t>Equipment behaviours under the influence of h</w:t>
            </w:r>
            <w:r w:rsidRPr="0070706C">
              <w:t>igh water pressure and/or flows</w:t>
            </w:r>
          </w:p>
        </w:tc>
      </w:tr>
      <w:tr w:rsidTr="00A701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Specific skills needed to achieve the Performance Criteria:</w:t>
            </w:r>
          </w:p>
          <w:p w:rsidR="00000000" w:rsidRPr="0070706C" w:rsidP="0070706C">
            <w:pPr>
              <w:pStyle w:val="ListBullet3"/>
            </w:pPr>
            <w:r w:rsidRPr="0070706C">
              <w:t xml:space="preserve">Apply relevant Occupational Health and Safety regulations </w:t>
            </w:r>
          </w:p>
          <w:p w:rsidR="00000000" w:rsidRPr="0070706C" w:rsidP="0070706C">
            <w:pPr>
              <w:pStyle w:val="ListBullet3"/>
            </w:pPr>
            <w:r w:rsidRPr="0070706C">
              <w:t xml:space="preserve">Apply relevant statutory legislation </w:t>
            </w:r>
          </w:p>
          <w:p w:rsidR="00000000" w:rsidRPr="0070706C" w:rsidP="0070706C">
            <w:pPr>
              <w:pStyle w:val="ListBullet3"/>
            </w:pPr>
            <w:r w:rsidRPr="0070706C">
              <w:t xml:space="preserve">Apply relevant enterprise/site safety procedures </w:t>
            </w:r>
          </w:p>
          <w:p w:rsidR="00000000" w:rsidRPr="0070706C" w:rsidP="0070706C">
            <w:pPr>
              <w:pStyle w:val="ListBullet3"/>
            </w:pPr>
            <w:r w:rsidRPr="0070706C">
              <w:t xml:space="preserve">Apply enterprise/site emergency procedures and techniques </w:t>
            </w:r>
          </w:p>
          <w:p w:rsidR="00000000" w:rsidRPr="0070706C" w:rsidP="0070706C">
            <w:pPr>
              <w:pStyle w:val="ListBullet3"/>
            </w:pPr>
            <w:r w:rsidRPr="0070706C">
              <w:t xml:space="preserve">Apply enterprise recording procedures </w:t>
            </w:r>
          </w:p>
          <w:p w:rsidR="00000000" w:rsidRPr="0070706C" w:rsidP="0070706C">
            <w:pPr>
              <w:pStyle w:val="ListBullet3"/>
            </w:pPr>
            <w:r w:rsidRPr="0070706C">
              <w:t xml:space="preserve">Identify plant status </w:t>
            </w:r>
          </w:p>
          <w:p w:rsidR="00000000" w:rsidRPr="0070706C" w:rsidP="0070706C">
            <w:pPr>
              <w:pStyle w:val="ListBullet3"/>
            </w:pPr>
            <w:r w:rsidRPr="0070706C">
              <w:t xml:space="preserve">Prepare plant/equipment for operation </w:t>
            </w:r>
          </w:p>
          <w:p w:rsidR="00000000" w:rsidRPr="0070706C" w:rsidP="0070706C">
            <w:pPr>
              <w:pStyle w:val="ListBullet3"/>
            </w:pPr>
            <w:r w:rsidRPr="0070706C">
              <w:t xml:space="preserve">Organise resources </w:t>
            </w:r>
          </w:p>
          <w:p w:rsidR="00000000" w:rsidRPr="0070706C" w:rsidP="0070706C">
            <w:pPr>
              <w:pStyle w:val="ListBullet3"/>
            </w:pPr>
            <w:r w:rsidRPr="0070706C">
              <w:t xml:space="preserve">Apply diagnostic and testing techniques </w:t>
            </w:r>
          </w:p>
          <w:p w:rsidR="00000000" w:rsidRPr="0070706C" w:rsidP="0070706C">
            <w:pPr>
              <w:pStyle w:val="ListBullet3"/>
            </w:pPr>
            <w:r w:rsidRPr="0070706C">
              <w:t>Identify and respond to abnormal pl</w:t>
            </w:r>
            <w:r w:rsidRPr="0070706C">
              <w:t xml:space="preserve">ant operating conditions </w:t>
            </w:r>
          </w:p>
          <w:p w:rsidR="00000000" w:rsidRPr="0070706C" w:rsidP="0070706C">
            <w:pPr>
              <w:pStyle w:val="ListBullet3"/>
            </w:pPr>
            <w:r w:rsidRPr="0070706C">
              <w:t xml:space="preserve">Plan and prioritise work </w:t>
            </w:r>
          </w:p>
          <w:p w:rsidR="00000000" w:rsidRPr="0070706C" w:rsidP="0070706C">
            <w:pPr>
              <w:pStyle w:val="ListBullet3"/>
            </w:pPr>
            <w:r w:rsidRPr="0070706C">
              <w:t xml:space="preserve">Use relevant hand tools </w:t>
            </w:r>
          </w:p>
          <w:p w:rsidR="00000000" w:rsidRPr="0070706C" w:rsidP="0070706C">
            <w:pPr>
              <w:pStyle w:val="ListBullet3"/>
            </w:pPr>
            <w:r w:rsidRPr="0070706C">
              <w:t xml:space="preserve">Communicate effectively </w:t>
            </w:r>
          </w:p>
          <w:p w:rsidR="00000000" w:rsidRPr="0070706C" w:rsidP="0070706C">
            <w:pPr>
              <w:pStyle w:val="ListBullet3"/>
            </w:pPr>
            <w:r w:rsidRPr="0070706C">
              <w:t xml:space="preserve">Apply data analysis techniques and tools </w:t>
            </w:r>
          </w:p>
          <w:p w:rsidR="00000000" w:rsidRPr="0070706C" w:rsidP="0070706C">
            <w:pPr>
              <w:pStyle w:val="ListBullet3"/>
            </w:pPr>
            <w:r w:rsidRPr="0070706C">
              <w:t xml:space="preserve">Use diagrams, drawings and symbols </w:t>
            </w:r>
          </w:p>
          <w:p w:rsidR="00000000" w:rsidRPr="0070706C" w:rsidP="0070706C">
            <w:pPr>
              <w:pStyle w:val="ListBullet3"/>
            </w:pPr>
            <w:r w:rsidRPr="0070706C">
              <w:t xml:space="preserve">Operate equipment under the influence of high water pressures and or flows </w:t>
            </w:r>
          </w:p>
          <w:p w:rsidR="00000000" w:rsidRPr="0070706C" w:rsidP="0070706C">
            <w:pPr>
              <w:pStyle w:val="ListBullet3"/>
            </w:pPr>
            <w:r w:rsidRPr="0070706C">
              <w:t xml:space="preserve">Co-ordinate the remote operation of equipment to maintain personnel safety and plant integrity </w:t>
            </w:r>
          </w:p>
          <w:p w:rsidR="00000000" w:rsidRPr="0070706C" w:rsidP="0070706C">
            <w:pPr>
              <w:pStyle w:val="ListBullet3"/>
            </w:pPr>
            <w:r w:rsidRPr="0070706C">
              <w:t>Operate a hydro turbine generator/pump unit.</w:t>
            </w:r>
          </w:p>
        </w:tc>
      </w:tr>
    </w:tbl>
    <w:p w:rsidR="00A7019A" w:rsidP="0070706C">
      <w:pPr>
        <w:pStyle w:val="BodyText"/>
      </w:pPr>
    </w:p>
    <w:p w:rsidR="00A7019A" w:rsidP="0070706C">
      <w:pPr>
        <w:pStyle w:val="BodyText"/>
      </w:pPr>
    </w:p>
    <w:p w:rsidR="00000000" w:rsidRPr="0070706C" w:rsidP="0070706C">
      <w:pPr>
        <w:pStyle w:val="Heading1"/>
      </w:pPr>
      <w:bookmarkStart w:id="10" w:name="O_248029"/>
      <w:bookmarkEnd w:id="10"/>
      <w:r w:rsidRPr="0070706C">
        <w:t>Evidence Guide</w:t>
      </w:r>
    </w:p>
    <w:tbl>
      <w:tblPr>
        <w:tblW w:w="0" w:type="auto"/>
        <w:tblLayout w:type="fixed"/>
        <w:tblCellMar>
          <w:left w:w="62" w:type="dxa"/>
          <w:right w:w="62" w:type="dxa"/>
        </w:tblCellMar>
        <w:tblLook w:val="0000"/>
      </w:tblPr>
      <w:tblGrid>
        <w:gridCol w:w="2160"/>
        <w:gridCol w:w="6300"/>
      </w:tblGrid>
      <w:tr w:rsidTr="00A7019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EVIDENCE GUIDE</w:t>
            </w:r>
          </w:p>
        </w:tc>
      </w:tr>
      <w:tr w:rsidTr="00A7019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8</w:t>
            </w:r>
            <w:r w:rsidRPr="0070706C">
              <w:t>) This provides essential advice for assessment of the unit of competency and must be read in conjunction with the Performance Criteria and the Range Statement of the unit and the Training Package Assessment Guidelines.</w:t>
            </w:r>
          </w:p>
          <w:p w:rsidR="00000000" w:rsidP="0070706C">
            <w:pPr>
              <w:pStyle w:val="BodyText"/>
              <w:rPr>
                <w:lang w:val="en-NZ"/>
              </w:rPr>
            </w:pPr>
            <w:r w:rsidRPr="0070706C">
              <w:t>The Evidence Guide forms an integral</w:t>
            </w:r>
            <w:r w:rsidRPr="0070706C">
              <w:t xml:space="preserve"> part of this Competency Standard Unit and shall be used in conjunction with all components parts of this unit and, performed in accordance with the Assessment Guidelines of this Training Package.</w:t>
            </w:r>
          </w:p>
        </w:tc>
      </w:tr>
      <w:tr w:rsidTr="00A701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8</w:t>
            </w:r>
            <w:r w:rsidRPr="0070706C">
              <w:t>.</w:t>
            </w:r>
            <w:r w:rsidRPr="0070706C">
              <w:rPr>
                <w:rStyle w:val="SpecialBold"/>
              </w:rPr>
              <w:t>1</w:t>
            </w:r>
            <w:r w:rsidRPr="0070706C">
              <w:t xml:space="preserve">) </w:t>
            </w:r>
          </w:p>
          <w:p w:rsidR="00000000" w:rsidRPr="0070706C" w:rsidP="0070706C">
            <w:pPr>
              <w:pStyle w:val="BodyText"/>
            </w:pPr>
            <w:r w:rsidRPr="0070706C">
              <w:t>Longitude competency develop</w:t>
            </w:r>
            <w:r w:rsidRPr="0070706C">
              <w:t>ment approaches to assessment, such as Profiling, require data to be reliably gathered in a form that can be consistently interpreted over time. This approach is best utilised in Apprenticeship programs and reduces assessment intervention. It is the Indust</w:t>
            </w:r>
            <w:r w:rsidRPr="0070706C">
              <w:t>ry's preferred model for apprenticeships. However, where summative (or final) assessment is used it is to include the application of the competency in the normal work environment or, at a minimum, the application of the competency in a realistically simula</w:t>
            </w:r>
            <w:r w:rsidRPr="0070706C">
              <w:t>ted work environment. It is recognised that, in some circumstances, assessment in part or full can occur outside the workplace. However, it must be in accord with Industry and, Regulatory policy in this regard.</w:t>
            </w:r>
          </w:p>
          <w:p w:rsidR="00000000" w:rsidRPr="0070706C" w:rsidP="0070706C">
            <w:pPr>
              <w:pStyle w:val="BodyText"/>
            </w:pPr>
            <w:r w:rsidRPr="0070706C">
              <w:t>Methods chosen for a particular assessment wi</w:t>
            </w:r>
            <w:r w:rsidRPr="0070706C">
              <w:t>ll be influenced by various factors. These include the extent of the assessment, the most effective locations for the assessment activities to take place, access to physical resources, additional safety measures that may be required and the critical nature</w:t>
            </w:r>
            <w:r w:rsidRPr="0070706C">
              <w:t xml:space="preserve"> of the competencies being assessed.</w:t>
            </w:r>
          </w:p>
          <w:p w:rsidR="00000000" w:rsidRPr="0070706C" w:rsidP="0070706C">
            <w:pPr>
              <w:pStyle w:val="BodyText"/>
            </w:pPr>
            <w:r w:rsidRPr="0070706C">
              <w:t>The critical safety nature of working with electricity, electrical equipment, gas or any other hazardous substance/material carries risk in deeming a person competent. Hence, sources of evidence need to be 'rich' in nat</w:t>
            </w:r>
            <w:r w:rsidRPr="0070706C">
              <w:t>ure so as to minimise error in judgment.</w:t>
            </w:r>
          </w:p>
          <w:p w:rsidR="00000000" w:rsidP="0070706C">
            <w:pPr>
              <w:pStyle w:val="BodyText"/>
              <w:rPr>
                <w:lang w:val="en-NZ"/>
              </w:rPr>
            </w:pPr>
            <w:r w:rsidRPr="0070706C">
              <w:t>Activities associated with normal every day work have a bearing on the decision as to how much and how detailed the data gathered will contribute to its 'richness'. Some skills are more critical to safety and operat</w:t>
            </w:r>
            <w:r w:rsidRPr="0070706C">
              <w:t>ional requirements while the same skills may be more or less frequently practised. These points are raised for the assessors to consider when choosing an assessment method and developing assessment instruments. Sample assessment instruments are included fo</w:t>
            </w:r>
            <w:r w:rsidRPr="0070706C">
              <w:t>r Assessors in the Assessment Guidelines of this Training Package.</w:t>
            </w:r>
          </w:p>
        </w:tc>
      </w:tr>
      <w:tr w:rsidTr="00A7019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8</w:t>
            </w:r>
            <w:r w:rsidRPr="0070706C">
              <w:t>.</w:t>
            </w:r>
            <w:r w:rsidRPr="0070706C">
              <w:rPr>
                <w:rStyle w:val="SpecialBold"/>
              </w:rPr>
              <w:t>2</w:t>
            </w:r>
            <w:r w:rsidRPr="0070706C">
              <w:t xml:space="preserve">) </w:t>
            </w:r>
          </w:p>
          <w:p w:rsidR="00000000" w:rsidP="0070706C">
            <w:pPr>
              <w:pStyle w:val="BodyText"/>
              <w:rPr>
                <w:lang w:val="en-NZ"/>
              </w:rPr>
            </w:pPr>
            <w:r w:rsidRPr="0070706C">
              <w:t>Before the critical aspects of evidence are considered all prerequisites shall be met.</w:t>
            </w:r>
          </w:p>
        </w:tc>
      </w:tr>
      <w:tr w:rsidTr="00A7019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70706C">
            <w:pPr>
              <w:pStyle w:val="ListBullet"/>
              <w:rPr>
                <w:lang w:val="en-NZ"/>
              </w:rPr>
            </w:pPr>
            <w:r w:rsidRPr="0070706C">
              <w:t>A representative body of Performance Criteria demonstrated within the timeframes typically expected of the discipline, work function and industrial environment. In particular this shall incorporate evidence that shows a candidate is able to:</w:t>
            </w:r>
          </w:p>
        </w:tc>
      </w:tr>
      <w:tr w:rsidTr="00A701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0706C" w:rsidP="0070706C">
            <w:pPr>
              <w:pStyle w:val="ListBullet3"/>
            </w:pPr>
            <w:r w:rsidRPr="0070706C">
              <w:t xml:space="preserve">Implement </w:t>
            </w:r>
            <w:r w:rsidRPr="0070706C">
              <w:t>Occupational Health and Safety workplace procedures and practices including the use of risk control measures as specified in the Performance Criteria and Range Statement</w:t>
            </w:r>
          </w:p>
          <w:p w:rsidR="00000000" w:rsidRPr="0070706C" w:rsidP="0070706C">
            <w:pPr>
              <w:pStyle w:val="ListBullet3"/>
            </w:pPr>
            <w:r w:rsidRPr="0070706C">
              <w:t>Apply sustainable energy principles and practices as specified in the Performance Criteria and Range Statement</w:t>
            </w:r>
          </w:p>
          <w:p w:rsidR="00000000" w:rsidRPr="0070706C" w:rsidP="0070706C">
            <w:pPr>
              <w:pStyle w:val="ListBullet3"/>
            </w:pPr>
            <w:r w:rsidRPr="0070706C">
              <w:t>Demonstrate an understanding of the essential knowledge and associated skills as described in 6) Essential Knowledge and Associated Skills of thi</w:t>
            </w:r>
            <w:r w:rsidRPr="0070706C">
              <w:t>s unit</w:t>
            </w:r>
          </w:p>
          <w:p w:rsidR="00000000" w:rsidRPr="0070706C" w:rsidP="0070706C">
            <w:pPr>
              <w:pStyle w:val="ListBullet3"/>
            </w:pPr>
            <w:r w:rsidRPr="0070706C">
              <w:t>Demonstrate an appropriate level of skills enabling employment</w:t>
            </w:r>
          </w:p>
          <w:p w:rsidR="00000000" w:rsidP="0070706C">
            <w:pPr>
              <w:pStyle w:val="ListBullet3"/>
              <w:rPr>
                <w:lang w:val="en-NZ"/>
              </w:rPr>
            </w:pPr>
            <w:r w:rsidRPr="0070706C">
              <w:t>Conduct work observing the relevant Anti Discrimination legislation, regulations, polices and workplace procedures</w:t>
            </w:r>
          </w:p>
        </w:tc>
      </w:tr>
      <w:tr w:rsidTr="00A701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70706C">
            <w:pPr>
              <w:pStyle w:val="ListBullet"/>
              <w:rPr>
                <w:lang w:val="en-NZ"/>
              </w:rPr>
            </w:pPr>
            <w:r w:rsidRPr="0070706C">
              <w:t>Demonstrated performance across a representative range of contexts f</w:t>
            </w:r>
            <w:r w:rsidRPr="0070706C">
              <w:t>rom the prescribed items below:</w:t>
            </w:r>
          </w:p>
        </w:tc>
      </w:tr>
      <w:tr w:rsidTr="00A701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0706C" w:rsidP="0070706C">
            <w:pPr>
              <w:pStyle w:val="ListBullet3"/>
            </w:pPr>
            <w:r w:rsidRPr="0070706C">
              <w:t>Knowledge and application of relevant sections of: Occupational Health and Safety legislation; Statutory legislation; Enterprise/site safety procedures; Enterprise/site emergency procedures</w:t>
            </w:r>
          </w:p>
          <w:p w:rsidR="00000000" w:rsidRPr="0070706C" w:rsidP="0070706C">
            <w:pPr>
              <w:pStyle w:val="ListBullet3"/>
            </w:pPr>
            <w:r w:rsidRPr="0070706C">
              <w:t xml:space="preserve">Preparation and planning of </w:t>
            </w:r>
            <w:r w:rsidRPr="0070706C">
              <w:t>work</w:t>
            </w:r>
          </w:p>
          <w:p w:rsidR="00000000" w:rsidRPr="0070706C" w:rsidP="0070706C">
            <w:pPr>
              <w:pStyle w:val="ListBullet3"/>
            </w:pPr>
            <w:r w:rsidRPr="0070706C">
              <w:t>Operation of hydro turbine generator/pump unit</w:t>
            </w:r>
          </w:p>
          <w:p w:rsidR="00000000" w:rsidRPr="0070706C" w:rsidP="0070706C">
            <w:pPr>
              <w:pStyle w:val="ListBullet3"/>
            </w:pPr>
            <w:r w:rsidRPr="0070706C">
              <w:t>Operationally testing plant</w:t>
            </w:r>
          </w:p>
          <w:p w:rsidR="00000000" w:rsidRPr="0070706C" w:rsidP="0070706C">
            <w:pPr>
              <w:pStyle w:val="ListBullet3"/>
            </w:pPr>
            <w:r w:rsidRPr="0070706C">
              <w:t>Analysing plant faults</w:t>
            </w:r>
          </w:p>
          <w:p w:rsidR="00000000" w:rsidRPr="0070706C" w:rsidP="0070706C">
            <w:pPr>
              <w:pStyle w:val="ListBullet3"/>
            </w:pPr>
            <w:r w:rsidRPr="0070706C">
              <w:t>Monitoring plant operation</w:t>
            </w:r>
          </w:p>
          <w:p w:rsidR="00000000" w:rsidRPr="0070706C" w:rsidP="0070706C">
            <w:pPr>
              <w:pStyle w:val="ListBullet3"/>
            </w:pPr>
            <w:r w:rsidRPr="0070706C">
              <w:t>Dealing with an unplanned event by drawing on essential knowledge and skills to provide appropriate solutions incorporated in the holistic</w:t>
            </w:r>
          </w:p>
        </w:tc>
      </w:tr>
    </w:tbl>
    <w:p w:rsidR="00000000" w:rsidRPr="0070706C" w:rsidP="0070706C">
      <w:pPr>
        <w:pStyle w:val="BodyText"/>
      </w:pPr>
    </w:p>
    <w:tbl>
      <w:tblPr>
        <w:tblW w:w="0" w:type="auto"/>
        <w:tblLayout w:type="fixed"/>
        <w:tblCellMar>
          <w:left w:w="62" w:type="dxa"/>
          <w:right w:w="62" w:type="dxa"/>
        </w:tblCellMar>
        <w:tblLook w:val="0000"/>
      </w:tblPr>
      <w:tblGrid>
        <w:gridCol w:w="2160"/>
        <w:gridCol w:w="1620"/>
        <w:gridCol w:w="4680"/>
      </w:tblGrid>
      <w:tr w:rsidTr="00A701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8</w:t>
            </w:r>
            <w:r w:rsidRPr="0070706C">
              <w:t>.</w:t>
            </w:r>
            <w:r w:rsidRPr="0070706C">
              <w:rPr>
                <w:rStyle w:val="SpecialBold"/>
              </w:rPr>
              <w:t>3</w:t>
            </w:r>
            <w:r w:rsidRPr="0070706C">
              <w:t xml:space="preserve">) </w:t>
            </w:r>
          </w:p>
          <w:p w:rsidR="00000000" w:rsidRPr="0070706C" w:rsidP="0070706C">
            <w:pPr>
              <w:pStyle w:val="BodyText"/>
            </w:pPr>
            <w:r w:rsidRPr="0070706C">
              <w:t>This unit should be assessed as it relates to normal work practice using procedures, information and resources typical of a workplace. This should include:</w:t>
            </w:r>
          </w:p>
          <w:p w:rsidR="00000000" w:rsidRPr="0070706C" w:rsidP="0070706C">
            <w:pPr>
              <w:pStyle w:val="ListBullet"/>
            </w:pPr>
            <w:r w:rsidRPr="0070706C">
              <w:t>OHS policy and work procedures and instructions.</w:t>
            </w:r>
          </w:p>
          <w:p w:rsidR="00000000" w:rsidRPr="0070706C" w:rsidP="0070706C">
            <w:pPr>
              <w:pStyle w:val="ListBullet"/>
            </w:pPr>
            <w:r w:rsidRPr="0070706C">
              <w:t>Suitable work environment, facilities, equipment and materials to undertake actual work as prescribed by this unit.</w:t>
            </w:r>
          </w:p>
          <w:p w:rsidR="00000000" w:rsidRPr="0070706C" w:rsidP="0070706C">
            <w:pPr>
              <w:pStyle w:val="BodyText"/>
            </w:pPr>
            <w:r w:rsidRPr="0070706C">
              <w:t>Competency Standards should be assessed in the workplace or simulated workplace and under the normal range of workplace conditions.</w:t>
            </w:r>
          </w:p>
          <w:p w:rsidR="00000000" w:rsidP="0070706C">
            <w:pPr>
              <w:pStyle w:val="BodyText"/>
              <w:rPr>
                <w:lang w:val="en-NZ"/>
              </w:rPr>
            </w:pPr>
            <w:r w:rsidRPr="0070706C">
              <w:t>Assessme</w:t>
            </w:r>
            <w:r w:rsidRPr="0070706C">
              <w:t>nt of this unit will be supported with documentary evidence, by means of endorsement stating type and application of work.</w:t>
            </w:r>
          </w:p>
        </w:tc>
      </w:tr>
      <w:tr w:rsidTr="00A701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In addition to the resources listed above in Context of assessment', evidence should show competency working, in limited spaces, w</w:t>
            </w:r>
            <w:r w:rsidRPr="0070706C">
              <w:t>ith different types of plant and equipment as well as different structural/construction types and methods and in a variety of environments.</w:t>
            </w:r>
          </w:p>
        </w:tc>
      </w:tr>
      <w:tr w:rsidTr="00A701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8</w:t>
            </w:r>
            <w:r w:rsidRPr="0070706C">
              <w:t>.</w:t>
            </w:r>
            <w:r w:rsidRPr="0070706C">
              <w:rPr>
                <w:rStyle w:val="SpecialBold"/>
              </w:rPr>
              <w:t>4</w:t>
            </w:r>
            <w:r w:rsidRPr="0070706C">
              <w:t xml:space="preserve">) </w:t>
            </w:r>
          </w:p>
          <w:p w:rsidR="00000000" w:rsidRPr="0070706C" w:rsidP="0070706C">
            <w:pPr>
              <w:pStyle w:val="BodyText"/>
            </w:pPr>
            <w:r w:rsidRPr="0070706C">
              <w:t>This unit shall be assessed by methods given in Volume 1, Part 3 Assessment Guidelines.</w:t>
            </w:r>
          </w:p>
          <w:p w:rsidR="00000000" w:rsidP="0070706C">
            <w:pPr>
              <w:pStyle w:val="BodyText"/>
              <w:rPr>
                <w:lang w:val="en-NZ"/>
              </w:rPr>
            </w:pPr>
            <w:r w:rsidRPr="0070706C">
              <w:t>Note: Competent performance with inherent safe working practices is expected in the Industry to which this unit applies. This requires that the specified essential knowledge and associated skills are assessed in a structured environment which is primarily</w:t>
            </w:r>
            <w:r w:rsidRPr="0070706C">
              <w:t xml:space="preserve"> intended for learning/assessment and incorporates all necessary equipment and facilities for learners to develop and demonstrate the essential knowledge and skills described in this unit.</w:t>
            </w:r>
          </w:p>
        </w:tc>
      </w:tr>
      <w:tr w:rsidTr="00A7019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8</w:t>
            </w:r>
            <w:r w:rsidRPr="0070706C">
              <w:t>.</w:t>
            </w:r>
            <w:r w:rsidRPr="0070706C">
              <w:rPr>
                <w:rStyle w:val="SpecialBold"/>
              </w:rPr>
              <w:t>5</w:t>
            </w:r>
            <w:r w:rsidRPr="0070706C">
              <w:t xml:space="preserve">) </w:t>
            </w:r>
          </w:p>
        </w:tc>
      </w:tr>
      <w:tr w:rsidTr="00A7019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There are no recommended concurrent assessments with this unit, however in some cases efficiencies may be gained in terms of learning and assessment effort being concurrently managed with allied competency standard units where listed.</w:t>
            </w:r>
          </w:p>
        </w:tc>
      </w:tr>
      <w:tr w:rsidTr="00A7019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Nil</w:t>
            </w:r>
          </w:p>
        </w:tc>
        <w:tc>
          <w:tcPr>
            <w:tcW w:w="4680" w:type="dxa"/>
            <w:tcBorders>
              <w:top w:val="nil"/>
              <w:left w:val="nil"/>
              <w:bottom w:val="nil"/>
              <w:right w:val="nil"/>
            </w:tcBorders>
            <w:tcMar>
              <w:top w:w="0" w:type="dxa"/>
              <w:left w:w="62" w:type="dxa"/>
              <w:bottom w:w="0" w:type="dxa"/>
              <w:right w:w="62" w:type="dxa"/>
            </w:tcMar>
          </w:tcPr>
          <w:p w:rsidR="00000000" w:rsidRPr="0070706C" w:rsidP="0070706C">
            <w:pPr>
              <w:pStyle w:val="BodyText"/>
            </w:pPr>
          </w:p>
        </w:tc>
      </w:tr>
    </w:tbl>
    <w:p w:rsidR="00000000" w:rsidRPr="0070706C" w:rsidP="0070706C">
      <w:pPr>
        <w:pStyle w:val="BodyText"/>
      </w:pPr>
    </w:p>
    <w:tbl>
      <w:tblPr>
        <w:tblW w:w="0" w:type="auto"/>
        <w:tblLayout w:type="fixed"/>
        <w:tblCellMar>
          <w:left w:w="62" w:type="dxa"/>
          <w:right w:w="62" w:type="dxa"/>
        </w:tblCellMar>
        <w:tblLook w:val="0000"/>
      </w:tblPr>
      <w:tblGrid>
        <w:gridCol w:w="2160"/>
        <w:gridCol w:w="4737"/>
        <w:gridCol w:w="1563"/>
      </w:tblGrid>
      <w:tr w:rsidTr="00A7019A">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0706C" w:rsidP="0070706C">
            <w:pPr>
              <w:pStyle w:val="BodyText"/>
            </w:pPr>
            <w:r w:rsidRPr="0070706C">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8</w:t>
            </w:r>
            <w:r w:rsidRPr="0070706C">
              <w:t>.</w:t>
            </w:r>
            <w:r w:rsidRPr="0070706C">
              <w:rPr>
                <w:rStyle w:val="SpecialBold"/>
              </w:rPr>
              <w:t>6</w:t>
            </w:r>
            <w:r w:rsidRPr="0070706C">
              <w:t xml:space="preserve">) </w:t>
            </w:r>
          </w:p>
          <w:p w:rsidR="00000000" w:rsidP="0070706C">
            <w:pPr>
              <w:pStyle w:val="BodyText"/>
              <w:rPr>
                <w:lang w:val="en-NZ"/>
              </w:rPr>
            </w:pPr>
            <w:r w:rsidRPr="0070706C">
              <w:t>Evidence that particular key competencies have been achieved within this unit is in the context of the following Performance Criteria of evidence. See Volume 2, Part 4 for an explanation of Key competencies and levels of this Trainin</w:t>
            </w:r>
            <w:r w:rsidRPr="0070706C">
              <w:t>g Package.</w:t>
            </w:r>
          </w:p>
        </w:tc>
      </w:tr>
      <w:tr w:rsidTr="00A7019A">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r w:rsidRPr="0070706C">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r w:rsidRPr="0070706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rPr>
                <w:rStyle w:val="SpecialBold"/>
              </w:rPr>
              <w:t>Performance Level</w:t>
            </w:r>
          </w:p>
        </w:tc>
      </w:tr>
      <w:tr w:rsidTr="00A7019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p>
          <w:p w:rsidR="00000000" w:rsidP="0070706C">
            <w:pPr>
              <w:pStyle w:val="BodyText"/>
              <w:rPr>
                <w:lang w:val="en-NZ"/>
              </w:rPr>
            </w:pPr>
            <w:r w:rsidRPr="0070706C">
              <w:t>2</w:t>
            </w:r>
          </w:p>
        </w:tc>
      </w:tr>
      <w:tr w:rsidTr="00A7019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p>
        </w:tc>
      </w:tr>
      <w:tr w:rsidTr="00A7019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p>
          <w:p w:rsidR="00000000" w:rsidP="0070706C">
            <w:pPr>
              <w:pStyle w:val="BodyText"/>
              <w:rPr>
                <w:lang w:val="en-NZ"/>
              </w:rPr>
            </w:pPr>
            <w:r w:rsidRPr="0070706C">
              <w:t>2</w:t>
            </w:r>
          </w:p>
        </w:tc>
      </w:tr>
      <w:tr w:rsidTr="00A7019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p>
        </w:tc>
      </w:tr>
      <w:tr w:rsidTr="00A7019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p>
          <w:p w:rsidR="00000000" w:rsidP="0070706C">
            <w:pPr>
              <w:pStyle w:val="BodyText"/>
              <w:rPr>
                <w:lang w:val="en-NZ"/>
              </w:rPr>
            </w:pPr>
            <w:r w:rsidRPr="0070706C">
              <w:t>1</w:t>
            </w:r>
          </w:p>
        </w:tc>
      </w:tr>
      <w:tr w:rsidTr="00A7019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p>
        </w:tc>
      </w:tr>
      <w:tr w:rsidTr="00A7019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p>
          <w:p w:rsidR="00000000" w:rsidP="0070706C">
            <w:pPr>
              <w:pStyle w:val="BodyText"/>
              <w:rPr>
                <w:lang w:val="en-NZ"/>
              </w:rPr>
            </w:pPr>
            <w:r w:rsidRPr="0070706C">
              <w:t>2</w:t>
            </w:r>
          </w:p>
        </w:tc>
      </w:tr>
      <w:tr w:rsidTr="00A7019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p>
        </w:tc>
      </w:tr>
      <w:tr w:rsidTr="00A7019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p>
          <w:p w:rsidR="00000000" w:rsidP="0070706C">
            <w:pPr>
              <w:pStyle w:val="BodyText"/>
              <w:rPr>
                <w:lang w:val="en-NZ"/>
              </w:rPr>
            </w:pPr>
            <w:r w:rsidRPr="0070706C">
              <w:t>1</w:t>
            </w:r>
          </w:p>
        </w:tc>
      </w:tr>
      <w:tr w:rsidTr="00A7019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p>
        </w:tc>
      </w:tr>
      <w:tr w:rsidTr="00A7019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p>
          <w:p w:rsidR="00000000" w:rsidP="0070706C">
            <w:pPr>
              <w:pStyle w:val="BodyText"/>
              <w:rPr>
                <w:lang w:val="en-NZ"/>
              </w:rPr>
            </w:pPr>
            <w:r w:rsidRPr="0070706C">
              <w:t>2</w:t>
            </w:r>
          </w:p>
        </w:tc>
      </w:tr>
      <w:tr w:rsidTr="00A7019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Determine solution</w:t>
            </w:r>
            <w:r w:rsidRPr="0070706C">
              <w:t>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p>
        </w:tc>
      </w:tr>
      <w:tr w:rsidTr="00A7019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p>
          <w:p w:rsidR="00000000" w:rsidP="0070706C">
            <w:pPr>
              <w:pStyle w:val="BodyText"/>
              <w:rPr>
                <w:lang w:val="en-NZ"/>
              </w:rPr>
            </w:pPr>
            <w:r w:rsidRPr="0070706C">
              <w:t>1</w:t>
            </w:r>
          </w:p>
        </w:tc>
      </w:tr>
      <w:tr w:rsidTr="00A7019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p>
        </w:tc>
      </w:tr>
    </w:tbl>
    <w:p w:rsidR="00000000" w:rsidRPr="0070706C" w:rsidP="0070706C">
      <w:pPr>
        <w:pStyle w:val="BodyText"/>
      </w:pPr>
    </w:p>
    <w:tbl>
      <w:tblPr>
        <w:tblW w:w="0" w:type="auto"/>
        <w:tblLayout w:type="fixed"/>
        <w:tblCellMar>
          <w:left w:w="62" w:type="dxa"/>
          <w:right w:w="62" w:type="dxa"/>
        </w:tblCellMar>
        <w:tblLook w:val="0000"/>
      </w:tblPr>
      <w:tblGrid>
        <w:gridCol w:w="326"/>
        <w:gridCol w:w="1834"/>
        <w:gridCol w:w="6300"/>
      </w:tblGrid>
      <w:tr w:rsidTr="00A7019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p>
        </w:tc>
      </w:tr>
      <w:tr w:rsidTr="00A7019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0706C" w:rsidP="0070706C">
            <w:pPr>
              <w:pStyle w:val="BodyText"/>
            </w:pPr>
            <w:r w:rsidRPr="0070706C">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70706C" w:rsidP="0070706C">
            <w:pPr>
              <w:pStyle w:val="BodyText"/>
            </w:pPr>
            <w:r w:rsidRPr="0070706C">
              <w:rPr>
                <w:rStyle w:val="SpecialBold"/>
              </w:rPr>
              <w:t>8</w:t>
            </w:r>
            <w:r w:rsidRPr="0070706C">
              <w:t>.</w:t>
            </w:r>
            <w:r w:rsidRPr="0070706C">
              <w:rPr>
                <w:rStyle w:val="SpecialBold"/>
              </w:rPr>
              <w:t>7</w:t>
            </w:r>
            <w:r w:rsidRPr="0070706C">
              <w:t xml:space="preserve">) </w:t>
            </w:r>
          </w:p>
          <w:p w:rsidR="00000000" w:rsidP="0070706C">
            <w:pPr>
              <w:pStyle w:val="BodyText"/>
              <w:rPr>
                <w:lang w:val="en-NZ"/>
              </w:rPr>
            </w:pPr>
            <w:r w:rsidRPr="0070706C">
              <w:t xml:space="preserve">Evidence that competency in this unit incorporates skills enabling employment is in the context of the following performance. See Volume 2, Part 5 for definitions and an explanation of skills enabling employment. </w:t>
            </w:r>
          </w:p>
        </w:tc>
      </w:tr>
      <w:tr w:rsidTr="00A7019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r w:rsidRPr="0070706C">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rPr>
                <w:rStyle w:val="SpecialBold"/>
              </w:rPr>
              <w:t>Example of Application</w:t>
            </w:r>
          </w:p>
        </w:tc>
      </w:tr>
      <w:tr w:rsidTr="00A7019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r>
      <w:tr w:rsidTr="00A7019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Completion of tasks within an acceptable timeframe and performance with some supervision.</w:t>
            </w:r>
          </w:p>
        </w:tc>
      </w:tr>
      <w:tr w:rsidTr="00A7019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r>
      <w:tr w:rsidTr="00A7019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Comprehension and application of theoretical knowledge to well-developed skills.</w:t>
            </w:r>
          </w:p>
        </w:tc>
      </w:tr>
      <w:tr w:rsidTr="00A7019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r>
      <w:tr w:rsidTr="00A7019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Focused on improvement in own and other team member's performance in the workplace.</w:t>
            </w:r>
          </w:p>
        </w:tc>
      </w:tr>
      <w:tr w:rsidTr="00A7019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r>
      <w:tr w:rsidTr="00A7019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Working understanding of the pro</w:t>
            </w:r>
            <w:r w:rsidRPr="0070706C">
              <w:t>cesses and systems which apply to the workplace.</w:t>
            </w:r>
          </w:p>
        </w:tc>
      </w:tr>
      <w:tr w:rsidTr="00A7019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r>
      <w:tr w:rsidTr="00A7019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Achieving work tasks in a timely manner and ensuring that the work team achieves its stated work goals.</w:t>
            </w:r>
          </w:p>
        </w:tc>
      </w:tr>
      <w:tr w:rsidTr="00A7019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06C">
            <w:pPr>
              <w:pStyle w:val="BodyText"/>
              <w:rPr>
                <w:lang w:val="en-NZ"/>
              </w:rPr>
            </w:pPr>
            <w:r w:rsidRPr="0070706C">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706C">
            <w:pPr>
              <w:pStyle w:val="BodyText"/>
              <w:rPr>
                <w:lang w:val="en-NZ"/>
              </w:rPr>
            </w:pPr>
            <w:r w:rsidRPr="0070706C">
              <w:t>Refer to the following example of application:</w:t>
            </w:r>
          </w:p>
        </w:tc>
      </w:tr>
      <w:tr w:rsidTr="00A7019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0706C" w:rsidP="0070706C">
            <w:pPr>
              <w:pStyle w:val="BodyText"/>
            </w:pPr>
            <w:r w:rsidRPr="0070706C">
              <w:t>Seek advice and apply solutions to problems relevant to the workplace environment.</w:t>
            </w:r>
          </w:p>
        </w:tc>
      </w:tr>
    </w:tbl>
    <w:p w:rsidR="00A7019A" w:rsidP="0070706C">
      <w:pPr>
        <w:pStyle w:val="BodyText"/>
      </w:pPr>
    </w:p>
    <w:p w:rsidR="00A7019A" w:rsidP="0070706C">
      <w:pPr>
        <w:pStyle w:val="BodyText"/>
      </w:pPr>
    </w:p>
    <w:p w:rsidR="00000000" w:rsidRPr="0070706C" w:rsidP="0070706C">
      <w:pPr>
        <w:pStyle w:val="Heading1"/>
      </w:pPr>
      <w:bookmarkStart w:id="11" w:name="O_256013"/>
      <w:bookmarkEnd w:id="11"/>
      <w:r w:rsidRPr="0070706C">
        <w:t>Range Statement</w:t>
      </w:r>
    </w:p>
    <w:tbl>
      <w:tblPr>
        <w:tblW w:w="0" w:type="auto"/>
        <w:tblLayout w:type="fixed"/>
        <w:tblCellMar>
          <w:left w:w="62" w:type="dxa"/>
          <w:right w:w="62" w:type="dxa"/>
        </w:tblCellMar>
        <w:tblLook w:val="0000"/>
      </w:tblPr>
      <w:tblGrid>
        <w:gridCol w:w="8460"/>
      </w:tblGrid>
      <w:tr w:rsidTr="00A701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RANGE STATEMENT</w:t>
            </w:r>
          </w:p>
        </w:tc>
      </w:tr>
      <w:tr w:rsidTr="00A701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7</w:t>
            </w:r>
            <w:r w:rsidRPr="0070706C">
              <w:t>) This relates to the unit of competency as a whole providing the range of contexts and conditions to which the Performance Criteria apply. It allows for different work environments and situations that will affect performance.</w:t>
            </w:r>
          </w:p>
        </w:tc>
      </w:tr>
      <w:tr w:rsidTr="00A701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Plant and equipment may inc</w:t>
            </w:r>
            <w:r w:rsidRPr="0070706C">
              <w:t>lude turbines; turbines with underslung pumps; reversible turbines; auxiliary plant and equipment; governor and associated hydraulic circuits; generator and generator auxiliary plant; computer with equipment control functions; supervisory, alarm and contro</w:t>
            </w:r>
            <w:r w:rsidRPr="0070706C">
              <w:t>l equipment; electrical motors, fans and pumps; electrical supply and distribution systems; valves and dampers (electric, hydraulic, pneumatic and manual); lubrication and oil conditioning systems; static/rotating rectifiers; brush gear and slipring fire p</w:t>
            </w:r>
            <w:r w:rsidRPr="0070706C">
              <w:t>rotection equipment; brush gear, sliprings and commutators; AVR/AER; heat exchangers, filters and strainers; generators; transformers; water drainage systems; and environmental protective systems.</w:t>
            </w:r>
          </w:p>
          <w:p w:rsidR="00000000" w:rsidRPr="0070706C" w:rsidP="0070706C">
            <w:pPr>
              <w:pStyle w:val="BodyText"/>
            </w:pPr>
            <w:r w:rsidRPr="0070706C">
              <w:t>Safety standards may include relevant sections of Occupatio</w:t>
            </w:r>
            <w:r w:rsidRPr="0070706C">
              <w:t>nal Health and Safety legislation, enterprise safety rules, relevant state and federal legislation, national standards for plant and Australian standards.</w:t>
            </w:r>
          </w:p>
          <w:p w:rsidR="00000000" w:rsidRPr="0070706C" w:rsidP="0070706C">
            <w:pPr>
              <w:pStyle w:val="BodyText"/>
            </w:pPr>
            <w:r w:rsidRPr="0070706C">
              <w:t>Information and documentation sources may include verbal or written communications; enterprise safety</w:t>
            </w:r>
            <w:r w:rsidRPr="0070706C">
              <w:t xml:space="preserve"> rules documentation; enterprise operating instructions; dedicated computer equipment; enterprise/site standing and operating instructions; enterprise log books; manufacturer operation and maintenance manuals; and equipment and alarm manuals.</w:t>
            </w:r>
          </w:p>
          <w:p w:rsidR="00000000" w:rsidRPr="0070706C" w:rsidP="0070706C">
            <w:pPr>
              <w:pStyle w:val="BodyText"/>
            </w:pPr>
            <w:r w:rsidRPr="0070706C">
              <w:t>Technical and</w:t>
            </w:r>
            <w:r w:rsidRPr="0070706C">
              <w:t xml:space="preserve"> operational indicators may include stimuli (audio, smell, touch, visual), remote or local indicators and recorders, computers and alarms (visible and or audible).</w:t>
            </w:r>
          </w:p>
          <w:p w:rsidR="00000000" w:rsidRPr="0070706C" w:rsidP="0070706C">
            <w:pPr>
              <w:pStyle w:val="BodyText"/>
            </w:pPr>
            <w:r w:rsidRPr="0070706C">
              <w:t>Tests may include motor direction checks, stand-by plant "cut-in" tests, relief valves opera</w:t>
            </w:r>
            <w:r w:rsidRPr="0070706C">
              <w:t>tion tests, overspeed tests, main inlet valves/guide vanes timing tests, load rejection tests, governor damping tests and phase rotation tests.</w:t>
            </w:r>
          </w:p>
          <w:p w:rsidR="00000000" w:rsidRPr="0070706C" w:rsidP="0070706C">
            <w:pPr>
              <w:pStyle w:val="BodyText"/>
            </w:pPr>
            <w:r w:rsidRPr="0070706C">
              <w:t>Communications may be by means of telephone, two way radio, pager, computer (electronic mail) and operating logs</w:t>
            </w:r>
            <w:r w:rsidRPr="0070706C">
              <w:t xml:space="preserve"> (written or verbal).</w:t>
            </w:r>
          </w:p>
          <w:p w:rsidR="00000000" w:rsidRPr="0070706C" w:rsidP="0070706C">
            <w:pPr>
              <w:pStyle w:val="BodyText"/>
            </w:pPr>
            <w:r w:rsidRPr="0070706C">
              <w:t xml:space="preserve">Appropriate personnel to consult, give or receive direction may include, supervisor/team leader or equivalent, engineering officer / hydro maintenance office or equivalent, technical and engineering officers or equivalent, contractor </w:t>
            </w:r>
            <w:r w:rsidRPr="0070706C">
              <w:t>staff, maintenance staff, applicable water control authority or equivalent and "transgrid" operator or equivalent.</w:t>
            </w:r>
          </w:p>
          <w:p w:rsidR="00000000" w:rsidRPr="0070706C" w:rsidP="0070706C">
            <w:pPr>
              <w:pStyle w:val="BodyText"/>
            </w:pPr>
            <w:r w:rsidRPr="0070706C">
              <w:t>Test, fault finding and operating tools may include low and high voltage testers, proving dead equipment, powered or non-powered hand tools.</w:t>
            </w:r>
          </w:p>
          <w:p w:rsidR="00000000" w:rsidRPr="0070706C" w:rsidP="0070706C">
            <w:pPr>
              <w:pStyle w:val="BodyText"/>
            </w:pPr>
            <w:r w:rsidRPr="0070706C">
              <w:t>Operating environment may be remote from plant, aided by indicators and monitors, during inclement or otherwise harsh weather conditions, in wet/noisy/dusty/hot areas, during night periods or locally aided by visual and audible indicators.</w:t>
            </w:r>
          </w:p>
          <w:p w:rsidR="00000000" w:rsidRPr="0070706C" w:rsidP="0070706C">
            <w:pPr>
              <w:pStyle w:val="BodyText"/>
            </w:pPr>
            <w:r w:rsidRPr="0070706C">
              <w:t>Generic terms ar</w:t>
            </w:r>
            <w:r w:rsidRPr="0070706C">
              <w:t>e used throughout this Training Package for vocational standard shall be regarded as part of the Range Statement in which competency is demonstrated. The definition of these and other terms are given in Volume 2 Part 1</w:t>
            </w:r>
          </w:p>
        </w:tc>
      </w:tr>
    </w:tbl>
    <w:p w:rsidR="00A7019A" w:rsidP="0070706C">
      <w:pPr>
        <w:pStyle w:val="BodyText"/>
      </w:pPr>
    </w:p>
    <w:p w:rsidR="00A7019A" w:rsidP="0070706C">
      <w:pPr>
        <w:pStyle w:val="BodyText"/>
      </w:pPr>
    </w:p>
    <w:p w:rsidR="00000000" w:rsidRPr="0070706C" w:rsidP="0070706C">
      <w:pPr>
        <w:pStyle w:val="Heading1"/>
      </w:pPr>
      <w:bookmarkStart w:id="12" w:name="O_297026"/>
      <w:bookmarkEnd w:id="12"/>
      <w:r w:rsidRPr="0070706C">
        <w:t>Unit Sector(s)</w:t>
      </w:r>
    </w:p>
    <w:p w:rsidR="00000000" w:rsidRPr="0070706C" w:rsidP="0070706C">
      <w:pPr>
        <w:pStyle w:val="BodyText"/>
      </w:pPr>
      <w:r w:rsidRPr="0070706C">
        <w:t>No</w:t>
      </w:r>
      <w:r w:rsidRPr="0070706C">
        <w:t>t Applicable</w:t>
      </w:r>
    </w:p>
    <w:p w:rsidR="00000000" w:rsidRPr="0070706C" w:rsidP="0070706C">
      <w:pPr>
        <w:pStyle w:val="AllowPageBreak"/>
      </w:pPr>
    </w:p>
    <w:p w:rsidR="00000000" w:rsidRPr="0070706C" w:rsidP="0070706C">
      <w:pPr>
        <w:pStyle w:val="Heading1"/>
      </w:pPr>
      <w:bookmarkStart w:id="13" w:name="O_230634"/>
      <w:bookmarkEnd w:id="13"/>
      <w:r w:rsidRPr="0070706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701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2</w:t>
            </w:r>
            <w:r w:rsidRPr="0070706C">
              <w:t>.</w:t>
            </w:r>
            <w:r w:rsidRPr="0070706C">
              <w:rPr>
                <w:rStyle w:val="SpecialBold"/>
              </w:rPr>
              <w:t>2</w:t>
            </w:r>
            <w:r w:rsidRPr="0070706C">
              <w:t xml:space="preserve">) </w:t>
            </w:r>
          </w:p>
          <w:p w:rsidR="00000000" w:rsidP="0070706C">
            <w:pPr>
              <w:pStyle w:val="BodyText"/>
              <w:rPr>
                <w:lang w:val="en-NZ"/>
              </w:rPr>
            </w:pPr>
            <w:r w:rsidRPr="0070706C">
              <w:t>Participants are best equipped to achieve this unit if they have reading, writing and maths skills indicated by the following scales. Description of each scale is</w:t>
            </w:r>
            <w:r w:rsidRPr="0070706C">
              <w:t xml:space="preserve"> given in Volume 2, Part 3 Literacy and Numeracy</w:t>
            </w:r>
          </w:p>
        </w:tc>
      </w:tr>
      <w:tr w:rsidTr="00A701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Reading</w:t>
            </w:r>
          </w:p>
        </w:tc>
        <w:tc>
          <w:tcPr>
            <w:tcW w:w="805"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3</w:t>
            </w:r>
          </w:p>
        </w:tc>
        <w:tc>
          <w:tcPr>
            <w:tcW w:w="1184"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Writing</w:t>
            </w:r>
          </w:p>
        </w:tc>
        <w:tc>
          <w:tcPr>
            <w:tcW w:w="805"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3</w:t>
            </w:r>
          </w:p>
        </w:tc>
        <w:tc>
          <w:tcPr>
            <w:tcW w:w="1172"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t>Maths</w:t>
            </w:r>
          </w:p>
        </w:tc>
        <w:tc>
          <w:tcPr>
            <w:tcW w:w="805"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3</w:t>
            </w:r>
          </w:p>
        </w:tc>
      </w:tr>
    </w:tbl>
    <w:p w:rsidR="00A7019A" w:rsidP="0070706C">
      <w:pPr>
        <w:pStyle w:val="BodyText"/>
      </w:pPr>
    </w:p>
    <w:p w:rsidR="00A7019A" w:rsidP="0070706C">
      <w:pPr>
        <w:pStyle w:val="BodyText"/>
      </w:pPr>
    </w:p>
    <w:p w:rsidR="00000000" w:rsidRPr="0070706C" w:rsidP="0070706C">
      <w:pPr>
        <w:pStyle w:val="Heading1"/>
      </w:pPr>
      <w:bookmarkStart w:id="14" w:name="O_230636"/>
      <w:bookmarkEnd w:id="14"/>
      <w:r w:rsidRPr="0070706C">
        <w:t>Competency Field</w:t>
      </w:r>
    </w:p>
    <w:tbl>
      <w:tblPr>
        <w:tblW w:w="0" w:type="auto"/>
        <w:tblLayout w:type="fixed"/>
        <w:tblCellMar>
          <w:left w:w="62" w:type="dxa"/>
          <w:right w:w="62" w:type="dxa"/>
        </w:tblCellMar>
        <w:tblLook w:val="0000"/>
      </w:tblPr>
      <w:tblGrid>
        <w:gridCol w:w="2700"/>
        <w:gridCol w:w="5760"/>
      </w:tblGrid>
      <w:tr w:rsidTr="00A701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0706C">
            <w:pPr>
              <w:pStyle w:val="BodyText"/>
              <w:rPr>
                <w:lang w:val="en-NZ"/>
              </w:rPr>
            </w:pPr>
            <w:r w:rsidRPr="0070706C">
              <w:rPr>
                <w:rStyle w:val="SpecialBold"/>
              </w:rPr>
              <w:t>4</w:t>
            </w:r>
            <w:r w:rsidRPr="0070706C">
              <w:t xml:space="preserve">) </w:t>
            </w:r>
          </w:p>
        </w:tc>
      </w:tr>
      <w:tr w:rsidTr="00A701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706C" w:rsidP="0070706C">
            <w:pPr>
              <w:pStyle w:val="BodyText"/>
            </w:pPr>
            <w:r w:rsidRPr="0070706C">
              <w:t>Operations.</w:t>
            </w:r>
          </w:p>
        </w:tc>
      </w:tr>
    </w:tbl>
    <w:p w:rsidR="00A7019A" w:rsidP="0070706C">
      <w:pPr>
        <w:pStyle w:val="BodyText"/>
      </w:pPr>
    </w:p>
    <w:p w:rsidR="00A7019A" w:rsidP="0070706C">
      <w:pPr>
        <w:pStyle w:val="BodyText"/>
      </w:pPr>
    </w:p>
    <w:p w:rsidR="00000000" w:rsidRPr="0070706C" w:rsidP="0070706C"/>
    <w:sectPr w:rsidSect="007070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19A" w:rsidP="00A70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9A" w:rsidP="00707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7019A" w:rsidP="007070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019A" w:rsidP="007070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19A" w:rsidP="00A701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9A" w:rsidP="0070706C">
    <w:pPr>
      <w:pStyle w:val="Header"/>
      <w:framePr w:wrap="around"/>
    </w:pPr>
    <w:r>
      <w:fldChar w:fldCharType="begin"/>
    </w:r>
    <w:r>
      <w:instrText xml:space="preserve"> TITLE   \* MERGEFORMAT </w:instrText>
    </w:r>
    <w:r>
      <w:fldChar w:fldCharType="separate"/>
    </w:r>
    <w:r>
      <w:t>UEPOPS335A Operate a Hydro Generator/Synchronous Condenser/Pump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019A" w:rsidP="007070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ECD4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4427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0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706C"/>
    <w:pPr>
      <w:spacing w:before="360" w:after="60"/>
      <w:outlineLvl w:val="0"/>
    </w:pPr>
    <w:rPr>
      <w:sz w:val="32"/>
    </w:rPr>
  </w:style>
  <w:style w:type="paragraph" w:styleId="Heading2">
    <w:name w:val="heading 2"/>
    <w:basedOn w:val="HeadingBase"/>
    <w:next w:val="BodyText"/>
    <w:link w:val="Heading2Char"/>
    <w:qFormat/>
    <w:rsid w:val="0070706C"/>
    <w:pPr>
      <w:keepLines/>
      <w:spacing w:before="240" w:after="120"/>
      <w:outlineLvl w:val="1"/>
    </w:pPr>
    <w:rPr>
      <w:sz w:val="28"/>
      <w:szCs w:val="40"/>
    </w:rPr>
  </w:style>
  <w:style w:type="paragraph" w:styleId="Heading3">
    <w:name w:val="heading 3"/>
    <w:basedOn w:val="HeadingBase"/>
    <w:next w:val="BodyText"/>
    <w:link w:val="Heading3Char"/>
    <w:qFormat/>
    <w:rsid w:val="0070706C"/>
    <w:pPr>
      <w:spacing w:before="180" w:after="120"/>
      <w:outlineLvl w:val="2"/>
    </w:pPr>
    <w:rPr>
      <w:spacing w:val="-10"/>
      <w:kern w:val="32"/>
    </w:rPr>
  </w:style>
  <w:style w:type="paragraph" w:styleId="Heading4">
    <w:name w:val="heading 4"/>
    <w:basedOn w:val="HeadingBase"/>
    <w:next w:val="BodyText"/>
    <w:link w:val="Heading4Char"/>
    <w:qFormat/>
    <w:rsid w:val="0070706C"/>
    <w:pPr>
      <w:spacing w:before="160" w:after="120"/>
      <w:outlineLvl w:val="3"/>
    </w:pPr>
    <w:rPr>
      <w:sz w:val="22"/>
    </w:rPr>
  </w:style>
  <w:style w:type="paragraph" w:styleId="Heading5">
    <w:name w:val="heading 5"/>
    <w:basedOn w:val="HeadingBase"/>
    <w:next w:val="Normal"/>
    <w:link w:val="Heading5Char"/>
    <w:qFormat/>
    <w:rsid w:val="0070706C"/>
    <w:pPr>
      <w:spacing w:before="80"/>
      <w:outlineLvl w:val="4"/>
    </w:pPr>
    <w:rPr>
      <w:color w:val="918585"/>
      <w:sz w:val="20"/>
    </w:rPr>
  </w:style>
  <w:style w:type="paragraph" w:styleId="Heading6">
    <w:name w:val="heading 6"/>
    <w:basedOn w:val="HeadingBase"/>
    <w:next w:val="Normal"/>
    <w:link w:val="Heading6Char"/>
    <w:qFormat/>
    <w:rsid w:val="0070706C"/>
    <w:pPr>
      <w:spacing w:before="60"/>
      <w:outlineLvl w:val="5"/>
    </w:pPr>
    <w:rPr>
      <w:color w:val="918585"/>
      <w:sz w:val="20"/>
    </w:rPr>
  </w:style>
  <w:style w:type="paragraph" w:styleId="Heading7">
    <w:name w:val="heading 7"/>
    <w:basedOn w:val="Normal"/>
    <w:next w:val="Normal"/>
    <w:link w:val="Heading7Char"/>
    <w:qFormat/>
    <w:rsid w:val="0070706C"/>
    <w:pPr>
      <w:ind w:left="720"/>
      <w:outlineLvl w:val="6"/>
    </w:pPr>
    <w:rPr>
      <w:i/>
    </w:rPr>
  </w:style>
  <w:style w:type="paragraph" w:styleId="Heading8">
    <w:name w:val="heading 8"/>
    <w:basedOn w:val="Normal"/>
    <w:next w:val="Normal"/>
    <w:link w:val="Heading8Char"/>
    <w:qFormat/>
    <w:rsid w:val="0070706C"/>
    <w:pPr>
      <w:ind w:left="720"/>
      <w:outlineLvl w:val="7"/>
    </w:pPr>
    <w:rPr>
      <w:i/>
    </w:rPr>
  </w:style>
  <w:style w:type="paragraph" w:styleId="Heading9">
    <w:name w:val="heading 9"/>
    <w:basedOn w:val="Normal"/>
    <w:next w:val="Normal"/>
    <w:link w:val="Heading9Char"/>
    <w:qFormat/>
    <w:rsid w:val="0070706C"/>
    <w:pPr>
      <w:ind w:left="720"/>
      <w:outlineLvl w:val="8"/>
    </w:pPr>
    <w:rPr>
      <w:i/>
    </w:rPr>
  </w:style>
  <w:style w:type="character" w:default="1" w:styleId="DefaultParagraphFont">
    <w:name w:val="Default Paragraph Font"/>
    <w:uiPriority w:val="1"/>
    <w:unhideWhenUsed/>
    <w:rsid w:val="00707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06C"/>
  </w:style>
  <w:style w:type="character" w:customStyle="1" w:styleId="Heading1Char">
    <w:name w:val="Heading 1 Char"/>
    <w:basedOn w:val="DefaultParagraphFont"/>
    <w:link w:val="Heading1"/>
    <w:rsid w:val="0070706C"/>
    <w:rPr>
      <w:rFonts w:ascii="Times New Roman" w:eastAsia="Times New Roman" w:hAnsi="Times New Roman" w:cs="Times New Roman"/>
      <w:b/>
      <w:sz w:val="32"/>
      <w:szCs w:val="20"/>
      <w:lang w:eastAsia="en-US"/>
    </w:rPr>
  </w:style>
  <w:style w:type="paragraph" w:styleId="BodyText">
    <w:name w:val="Body Text"/>
    <w:basedOn w:val="Normal"/>
    <w:link w:val="BodyTextChar"/>
    <w:rsid w:val="007070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706C"/>
    <w:rPr>
      <w:rFonts w:ascii="Times New Roman" w:eastAsia="Times New Roman" w:hAnsi="Times New Roman" w:cs="Times New Roman"/>
      <w:sz w:val="24"/>
      <w:lang w:val="en-US" w:eastAsia="en-US"/>
    </w:rPr>
  </w:style>
  <w:style w:type="paragraph" w:styleId="Footer">
    <w:name w:val="footer"/>
    <w:basedOn w:val="Normal"/>
    <w:link w:val="FooterChar"/>
    <w:rsid w:val="00707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06C"/>
    <w:rPr>
      <w:rFonts w:ascii="Times New Roman" w:eastAsia="Times New Roman" w:hAnsi="Times New Roman" w:cs="Times New Roman"/>
      <w:sz w:val="16"/>
      <w:lang w:val="en-US" w:eastAsia="en-US"/>
    </w:rPr>
  </w:style>
  <w:style w:type="paragraph" w:styleId="ListBullet">
    <w:name w:val="List Bullet"/>
    <w:basedOn w:val="List"/>
    <w:rsid w:val="0070706C"/>
    <w:pPr>
      <w:numPr>
        <w:numId w:val="13"/>
      </w:numPr>
      <w:tabs>
        <w:tab w:val="clear" w:pos="340"/>
      </w:tabs>
      <w:spacing w:before="40" w:after="40"/>
    </w:pPr>
  </w:style>
  <w:style w:type="character" w:customStyle="1" w:styleId="SpecialBold">
    <w:name w:val="Special Bold"/>
    <w:basedOn w:val="DefaultParagraphFont"/>
    <w:rsid w:val="0070706C"/>
    <w:rPr>
      <w:b/>
      <w:spacing w:val="0"/>
    </w:rPr>
  </w:style>
  <w:style w:type="paragraph" w:styleId="Header">
    <w:name w:val="header"/>
    <w:basedOn w:val="Normal"/>
    <w:link w:val="HeaderChar"/>
    <w:rsid w:val="00707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0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706C"/>
    <w:pPr>
      <w:spacing w:before="240" w:after="120"/>
      <w:outlineLvl w:val="0"/>
    </w:pPr>
    <w:rPr>
      <w:rFonts w:ascii="Times New Roman" w:hAnsi="Times New Roman"/>
      <w:b/>
      <w:sz w:val="28"/>
    </w:rPr>
  </w:style>
  <w:style w:type="paragraph" w:customStyle="1" w:styleId="AllowPageBreak">
    <w:name w:val="AllowPageBreak"/>
    <w:rsid w:val="007070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706C"/>
    <w:pPr>
      <w:numPr>
        <w:numId w:val="2"/>
      </w:numPr>
      <w:tabs>
        <w:tab w:val="clear" w:pos="1021"/>
      </w:tabs>
      <w:ind w:left="1037" w:hanging="357"/>
    </w:pPr>
  </w:style>
  <w:style w:type="character" w:customStyle="1" w:styleId="Heading2Char">
    <w:name w:val="Heading 2 Char"/>
    <w:basedOn w:val="DefaultParagraphFont"/>
    <w:link w:val="Heading2"/>
    <w:rsid w:val="00707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0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70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706C"/>
    <w:rPr>
      <w:rFonts w:ascii="Courier New" w:eastAsia="Times New Roman" w:hAnsi="Courier New" w:cs="Times New Roman"/>
      <w:i/>
      <w:szCs w:val="20"/>
      <w:lang w:val="en-US" w:eastAsia="en-US"/>
    </w:rPr>
  </w:style>
  <w:style w:type="paragraph" w:customStyle="1" w:styleId="HeadingBase">
    <w:name w:val="Heading Base"/>
    <w:rsid w:val="00707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06C"/>
    <w:pPr>
      <w:tabs>
        <w:tab w:val="right" w:leader="dot" w:pos="9072"/>
      </w:tabs>
      <w:ind w:left="567"/>
    </w:pPr>
    <w:rPr>
      <w:szCs w:val="22"/>
    </w:rPr>
  </w:style>
  <w:style w:type="paragraph" w:customStyle="1" w:styleId="TOCBase">
    <w:name w:val="TOC Base"/>
    <w:rsid w:val="00707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06C"/>
    <w:pPr>
      <w:tabs>
        <w:tab w:val="right" w:leader="dot" w:pos="9072"/>
      </w:tabs>
      <w:spacing w:before="40" w:after="40"/>
      <w:ind w:left="284"/>
    </w:pPr>
    <w:rPr>
      <w:rFonts w:ascii="Times New Roman" w:hAnsi="Times New Roman"/>
    </w:rPr>
  </w:style>
  <w:style w:type="paragraph" w:styleId="TOC1">
    <w:name w:val="toc 1"/>
    <w:basedOn w:val="TOCBase"/>
    <w:next w:val="Normal"/>
    <w:rsid w:val="007070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706C"/>
    <w:pPr>
      <w:spacing w:before="5040"/>
      <w:jc w:val="center"/>
    </w:pPr>
    <w:rPr>
      <w:sz w:val="48"/>
      <w:szCs w:val="72"/>
      <w:lang w:val="en-US"/>
    </w:rPr>
  </w:style>
  <w:style w:type="character" w:customStyle="1" w:styleId="TitleChar">
    <w:name w:val="Title Char"/>
    <w:basedOn w:val="DefaultParagraphFont"/>
    <w:link w:val="Title"/>
    <w:rsid w:val="00707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06C"/>
    <w:pPr>
      <w:tabs>
        <w:tab w:val="left" w:pos="3600"/>
        <w:tab w:val="left" w:pos="3958"/>
      </w:tabs>
    </w:pPr>
  </w:style>
  <w:style w:type="paragraph" w:styleId="List">
    <w:name w:val="List"/>
    <w:basedOn w:val="BodyText"/>
    <w:next w:val="BodyText"/>
    <w:rsid w:val="0070706C"/>
    <w:pPr>
      <w:tabs>
        <w:tab w:val="left" w:pos="340"/>
      </w:tabs>
      <w:spacing w:before="60" w:after="60"/>
      <w:ind w:left="340" w:hanging="340"/>
    </w:pPr>
  </w:style>
  <w:style w:type="paragraph" w:customStyle="1" w:styleId="Note">
    <w:name w:val="Note"/>
    <w:basedOn w:val="BodyText"/>
    <w:rsid w:val="00707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06C"/>
    <w:pPr>
      <w:framePr w:wrap="auto" w:hAnchor="text" w:y="6049"/>
    </w:pPr>
    <w:rPr>
      <w:color w:val="000000"/>
      <w:sz w:val="40"/>
    </w:rPr>
  </w:style>
  <w:style w:type="paragraph" w:customStyle="1" w:styleId="TOCTitle">
    <w:name w:val="TOCTitle"/>
    <w:basedOn w:val="Heading1"/>
    <w:rsid w:val="0070706C"/>
    <w:pPr>
      <w:spacing w:after="240"/>
      <w:jc w:val="center"/>
      <w:outlineLvl w:val="9"/>
    </w:pPr>
    <w:rPr>
      <w:caps/>
    </w:rPr>
  </w:style>
  <w:style w:type="paragraph" w:customStyle="1" w:styleId="Version">
    <w:name w:val="Version"/>
    <w:rsid w:val="007070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706C"/>
    <w:pPr>
      <w:numPr>
        <w:numId w:val="14"/>
      </w:numPr>
      <w:tabs>
        <w:tab w:val="clear" w:pos="680"/>
      </w:tabs>
    </w:pPr>
  </w:style>
  <w:style w:type="paragraph" w:styleId="Index1">
    <w:name w:val="index 1"/>
    <w:basedOn w:val="Normal"/>
    <w:next w:val="Normal"/>
    <w:semiHidden/>
    <w:rsid w:val="0070706C"/>
    <w:pPr>
      <w:keepNext w:val="0"/>
      <w:tabs>
        <w:tab w:val="right" w:pos="4176"/>
      </w:tabs>
      <w:ind w:left="198" w:hanging="198"/>
    </w:pPr>
    <w:rPr>
      <w:rFonts w:ascii="Garamond" w:hAnsi="Garamond"/>
    </w:rPr>
  </w:style>
  <w:style w:type="paragraph" w:styleId="IndexHeading">
    <w:name w:val="index heading"/>
    <w:basedOn w:val="Normal"/>
    <w:next w:val="Index1"/>
    <w:semiHidden/>
    <w:rsid w:val="0070706C"/>
    <w:pPr>
      <w:spacing w:before="120" w:after="120"/>
    </w:pPr>
    <w:rPr>
      <w:rFonts w:ascii="Arial" w:hAnsi="Arial"/>
      <w:b/>
      <w:color w:val="918585"/>
      <w:sz w:val="24"/>
    </w:rPr>
  </w:style>
  <w:style w:type="paragraph" w:customStyle="1" w:styleId="Chapter">
    <w:name w:val="Chapter"/>
    <w:basedOn w:val="Normal"/>
    <w:rsid w:val="0070706C"/>
    <w:pPr>
      <w:spacing w:before="240"/>
    </w:pPr>
    <w:rPr>
      <w:rFonts w:ascii="Times New Roman" w:hAnsi="Times New Roman"/>
      <w:smallCaps/>
      <w:spacing w:val="80"/>
      <w:sz w:val="28"/>
    </w:rPr>
  </w:style>
  <w:style w:type="paragraph" w:customStyle="1" w:styleId="InChapter">
    <w:name w:val="InChapter"/>
    <w:basedOn w:val="Heading3"/>
    <w:rsid w:val="0070706C"/>
    <w:pPr>
      <w:spacing w:after="240"/>
      <w:outlineLvl w:val="9"/>
    </w:pPr>
    <w:rPr>
      <w:noProof/>
    </w:rPr>
  </w:style>
  <w:style w:type="paragraph" w:styleId="Index2">
    <w:name w:val="index 2"/>
    <w:basedOn w:val="Normal"/>
    <w:next w:val="Normal"/>
    <w:semiHidden/>
    <w:rsid w:val="0070706C"/>
    <w:pPr>
      <w:tabs>
        <w:tab w:val="right" w:pos="4176"/>
      </w:tabs>
      <w:ind w:left="568" w:hanging="284"/>
    </w:pPr>
    <w:rPr>
      <w:rFonts w:ascii="Garamond" w:hAnsi="Garamond"/>
    </w:rPr>
  </w:style>
  <w:style w:type="paragraph" w:customStyle="1" w:styleId="Byline">
    <w:name w:val="Byline"/>
    <w:rsid w:val="00707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06C"/>
    <w:pPr>
      <w:tabs>
        <w:tab w:val="clear" w:pos="3600"/>
        <w:tab w:val="clear" w:pos="3958"/>
      </w:tabs>
      <w:jc w:val="right"/>
    </w:pPr>
  </w:style>
  <w:style w:type="character" w:styleId="Emphasis">
    <w:name w:val="Emphasis"/>
    <w:basedOn w:val="DefaultParagraphFont"/>
    <w:qFormat/>
    <w:rsid w:val="0070706C"/>
    <w:rPr>
      <w:i/>
    </w:rPr>
  </w:style>
  <w:style w:type="paragraph" w:styleId="Caption">
    <w:name w:val="caption"/>
    <w:basedOn w:val="BodyText"/>
    <w:next w:val="Normal"/>
    <w:qFormat/>
    <w:rsid w:val="0070706C"/>
    <w:pPr>
      <w:framePr w:w="2268" w:hSpace="181" w:vSpace="181" w:wrap="around" w:vAnchor="text" w:hAnchor="page" w:x="1135" w:y="285" w:anchorLock="1"/>
    </w:pPr>
    <w:rPr>
      <w:i/>
    </w:rPr>
  </w:style>
  <w:style w:type="paragraph" w:customStyle="1" w:styleId="MiniTOCTitle">
    <w:name w:val="MiniTOCTitle"/>
    <w:basedOn w:val="Heading4"/>
    <w:rsid w:val="0070706C"/>
    <w:pPr>
      <w:spacing w:before="240"/>
      <w:outlineLvl w:val="9"/>
    </w:pPr>
    <w:rPr>
      <w:noProof/>
      <w:sz w:val="24"/>
    </w:rPr>
  </w:style>
  <w:style w:type="paragraph" w:customStyle="1" w:styleId="MiniTOCItem">
    <w:name w:val="MiniTOCItem"/>
    <w:basedOn w:val="ListBullet"/>
    <w:rsid w:val="0070706C"/>
    <w:pPr>
      <w:numPr>
        <w:numId w:val="0"/>
      </w:numPr>
      <w:tabs>
        <w:tab w:val="right" w:leader="dot" w:pos="6521"/>
      </w:tabs>
      <w:spacing w:before="0" w:after="0"/>
    </w:pPr>
  </w:style>
  <w:style w:type="paragraph" w:customStyle="1" w:styleId="TOFTitle">
    <w:name w:val="TOFTitle"/>
    <w:basedOn w:val="TOCTitle"/>
    <w:rsid w:val="0070706C"/>
  </w:style>
  <w:style w:type="paragraph" w:styleId="TableofFigures">
    <w:name w:val="table of figures"/>
    <w:basedOn w:val="Normal"/>
    <w:next w:val="Normal"/>
    <w:semiHidden/>
    <w:rsid w:val="0070706C"/>
    <w:pPr>
      <w:tabs>
        <w:tab w:val="right" w:leader="dot" w:pos="9072"/>
      </w:tabs>
      <w:ind w:left="970" w:hanging="403"/>
    </w:pPr>
    <w:rPr>
      <w:rFonts w:ascii="Times New Roman" w:hAnsi="Times New Roman"/>
      <w:b/>
    </w:rPr>
  </w:style>
  <w:style w:type="paragraph" w:styleId="ListNumber">
    <w:name w:val="List Number"/>
    <w:basedOn w:val="List"/>
    <w:rsid w:val="0070706C"/>
    <w:pPr>
      <w:numPr>
        <w:numId w:val="11"/>
      </w:numPr>
    </w:pPr>
  </w:style>
  <w:style w:type="character" w:customStyle="1" w:styleId="WingdingSymbols">
    <w:name w:val="Wingding Symbols"/>
    <w:rsid w:val="0070706C"/>
    <w:rPr>
      <w:rFonts w:ascii="Wingdings" w:hAnsi="Wingdings"/>
    </w:rPr>
  </w:style>
  <w:style w:type="paragraph" w:customStyle="1" w:styleId="TableHeading">
    <w:name w:val="Table Heading"/>
    <w:basedOn w:val="HeadingBase"/>
    <w:rsid w:val="0070706C"/>
    <w:pPr>
      <w:keepLines/>
      <w:pBdr>
        <w:bottom w:val="single" w:sz="6" w:space="1" w:color="918585"/>
      </w:pBdr>
      <w:spacing w:before="240"/>
    </w:pPr>
  </w:style>
  <w:style w:type="character" w:customStyle="1" w:styleId="HotSpot">
    <w:name w:val="HotSpot"/>
    <w:rsid w:val="0070706C"/>
    <w:rPr>
      <w:color w:val="0033CC"/>
      <w:u w:val="none"/>
    </w:rPr>
  </w:style>
  <w:style w:type="paragraph" w:customStyle="1" w:styleId="BodyTextRight">
    <w:name w:val="Body Text Right"/>
    <w:basedOn w:val="BodyText"/>
    <w:rsid w:val="0070706C"/>
    <w:pPr>
      <w:spacing w:before="0" w:after="0"/>
      <w:jc w:val="right"/>
    </w:pPr>
  </w:style>
  <w:style w:type="paragraph" w:styleId="Index3">
    <w:name w:val="index 3"/>
    <w:basedOn w:val="ListNumber2"/>
    <w:next w:val="Normal"/>
    <w:semiHidden/>
    <w:rsid w:val="0070706C"/>
    <w:pPr>
      <w:numPr>
        <w:numId w:val="0"/>
      </w:numPr>
      <w:tabs>
        <w:tab w:val="right" w:leader="dot" w:pos="4176"/>
      </w:tabs>
    </w:pPr>
  </w:style>
  <w:style w:type="paragraph" w:styleId="ListNumber2">
    <w:name w:val="List Number 2"/>
    <w:basedOn w:val="List2"/>
    <w:rsid w:val="0070706C"/>
    <w:pPr>
      <w:numPr>
        <w:numId w:val="10"/>
      </w:numPr>
      <w:tabs>
        <w:tab w:val="clear" w:pos="1060"/>
      </w:tabs>
    </w:pPr>
  </w:style>
  <w:style w:type="paragraph" w:customStyle="1" w:styleId="MarginNote">
    <w:name w:val="Margin Note"/>
    <w:basedOn w:val="BodyText"/>
    <w:rsid w:val="00707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0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706C"/>
    <w:rPr>
      <w:sz w:val="32"/>
    </w:rPr>
  </w:style>
  <w:style w:type="paragraph" w:customStyle="1" w:styleId="HeadingProcedure">
    <w:name w:val="Heading Procedure"/>
    <w:basedOn w:val="HeadingBase"/>
    <w:next w:val="Normal"/>
    <w:rsid w:val="0070706C"/>
    <w:pPr>
      <w:tabs>
        <w:tab w:val="left" w:pos="0"/>
      </w:tabs>
      <w:spacing w:before="120" w:after="60"/>
    </w:pPr>
    <w:rPr>
      <w:i/>
      <w:color w:val="918585"/>
      <w:sz w:val="22"/>
    </w:rPr>
  </w:style>
  <w:style w:type="paragraph" w:customStyle="1" w:styleId="TableBodyText">
    <w:name w:val="Table Body Text"/>
    <w:basedOn w:val="BodyText"/>
    <w:rsid w:val="0070706C"/>
    <w:pPr>
      <w:spacing w:before="60" w:after="60"/>
    </w:pPr>
  </w:style>
  <w:style w:type="paragraph" w:styleId="ListContinue">
    <w:name w:val="List Continue"/>
    <w:basedOn w:val="List"/>
    <w:rsid w:val="0070706C"/>
    <w:pPr>
      <w:ind w:firstLine="0"/>
    </w:pPr>
  </w:style>
  <w:style w:type="paragraph" w:customStyle="1" w:styleId="ListNote">
    <w:name w:val="List Note"/>
    <w:basedOn w:val="List"/>
    <w:rsid w:val="0070706C"/>
    <w:pPr>
      <w:pBdr>
        <w:top w:val="single" w:sz="6" w:space="2" w:color="918585"/>
        <w:bottom w:val="single" w:sz="6" w:space="2" w:color="918585"/>
      </w:pBdr>
      <w:tabs>
        <w:tab w:val="left" w:pos="1021"/>
      </w:tabs>
      <w:ind w:firstLine="0"/>
    </w:pPr>
  </w:style>
  <w:style w:type="paragraph" w:customStyle="1" w:styleId="Warning">
    <w:name w:val="Warning"/>
    <w:basedOn w:val="BodyText"/>
    <w:rsid w:val="0070706C"/>
    <w:pPr>
      <w:shd w:val="clear" w:color="auto" w:fill="D9D9D9"/>
      <w:tabs>
        <w:tab w:val="left" w:pos="992"/>
      </w:tabs>
      <w:ind w:left="119" w:right="119"/>
    </w:pPr>
    <w:rPr>
      <w:sz w:val="20"/>
    </w:rPr>
  </w:style>
  <w:style w:type="paragraph" w:customStyle="1" w:styleId="MarginIcons">
    <w:name w:val="Margin Icons"/>
    <w:basedOn w:val="BodyText"/>
    <w:rsid w:val="00707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06C"/>
    <w:rPr>
      <w:rFonts w:ascii="Courier New" w:hAnsi="Courier New"/>
    </w:rPr>
  </w:style>
  <w:style w:type="paragraph" w:customStyle="1" w:styleId="NoteBullet">
    <w:name w:val="Note Bullet"/>
    <w:basedOn w:val="Note"/>
    <w:rsid w:val="0070706C"/>
    <w:pPr>
      <w:tabs>
        <w:tab w:val="clear" w:pos="680"/>
      </w:tabs>
      <w:spacing w:before="60" w:after="60"/>
    </w:pPr>
  </w:style>
  <w:style w:type="paragraph" w:customStyle="1" w:styleId="SubHeading2">
    <w:name w:val="SubHeading2"/>
    <w:basedOn w:val="HeadingBase"/>
    <w:rsid w:val="0070706C"/>
    <w:pPr>
      <w:spacing w:before="240" w:after="60"/>
    </w:pPr>
    <w:rPr>
      <w:sz w:val="20"/>
    </w:rPr>
  </w:style>
  <w:style w:type="paragraph" w:customStyle="1" w:styleId="SubHeading1">
    <w:name w:val="SubHeading1"/>
    <w:basedOn w:val="HeadingBase"/>
    <w:rsid w:val="0070706C"/>
    <w:pPr>
      <w:spacing w:before="240" w:after="60"/>
    </w:pPr>
    <w:rPr>
      <w:color w:val="918585"/>
      <w:sz w:val="22"/>
    </w:rPr>
  </w:style>
  <w:style w:type="paragraph" w:customStyle="1" w:styleId="SideHeading">
    <w:name w:val="Side Heading"/>
    <w:basedOn w:val="HeadingBase"/>
    <w:rsid w:val="00707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06C"/>
    <w:pPr>
      <w:numPr>
        <w:numId w:val="12"/>
      </w:numPr>
    </w:pPr>
  </w:style>
  <w:style w:type="paragraph" w:styleId="PlainText">
    <w:name w:val="Plain Text"/>
    <w:basedOn w:val="Normal"/>
    <w:link w:val="PlainTextChar"/>
    <w:rsid w:val="0070706C"/>
    <w:rPr>
      <w:sz w:val="20"/>
    </w:rPr>
  </w:style>
  <w:style w:type="character" w:customStyle="1" w:styleId="PlainTextChar">
    <w:name w:val="Plain Text Char"/>
    <w:basedOn w:val="DefaultParagraphFont"/>
    <w:link w:val="PlainText"/>
    <w:rsid w:val="007070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706C"/>
    <w:rPr>
      <w:b/>
      <w:smallCaps/>
    </w:rPr>
  </w:style>
  <w:style w:type="paragraph" w:customStyle="1" w:styleId="TableListNumber">
    <w:name w:val="Table List Number"/>
    <w:basedOn w:val="ListNumber"/>
    <w:rsid w:val="0070706C"/>
    <w:pPr>
      <w:numPr>
        <w:numId w:val="0"/>
      </w:numPr>
    </w:pPr>
  </w:style>
  <w:style w:type="paragraph" w:styleId="TOC4">
    <w:name w:val="toc 4"/>
    <w:basedOn w:val="TOCBase"/>
    <w:next w:val="Normal"/>
    <w:semiHidden/>
    <w:rsid w:val="0070706C"/>
    <w:pPr>
      <w:tabs>
        <w:tab w:val="right" w:leader="dot" w:pos="9071"/>
      </w:tabs>
      <w:ind w:left="1701"/>
    </w:pPr>
  </w:style>
  <w:style w:type="paragraph" w:customStyle="1" w:styleId="ListAlpha">
    <w:name w:val="List Alpha"/>
    <w:basedOn w:val="List"/>
    <w:rsid w:val="0070706C"/>
    <w:pPr>
      <w:numPr>
        <w:numId w:val="9"/>
      </w:numPr>
    </w:pPr>
  </w:style>
  <w:style w:type="paragraph" w:customStyle="1" w:styleId="ListAlpha2">
    <w:name w:val="List Alpha 2"/>
    <w:basedOn w:val="List2"/>
    <w:rsid w:val="0070706C"/>
    <w:pPr>
      <w:numPr>
        <w:numId w:val="8"/>
      </w:numPr>
    </w:pPr>
  </w:style>
  <w:style w:type="paragraph" w:styleId="List2">
    <w:name w:val="List 2"/>
    <w:basedOn w:val="BodyText"/>
    <w:rsid w:val="0070706C"/>
    <w:pPr>
      <w:tabs>
        <w:tab w:val="left" w:pos="680"/>
      </w:tabs>
      <w:spacing w:before="60" w:after="60"/>
      <w:ind w:left="680" w:hanging="340"/>
    </w:pPr>
  </w:style>
  <w:style w:type="paragraph" w:styleId="List3">
    <w:name w:val="List 3"/>
    <w:basedOn w:val="BodyText"/>
    <w:rsid w:val="0070706C"/>
    <w:pPr>
      <w:tabs>
        <w:tab w:val="left" w:pos="1021"/>
      </w:tabs>
      <w:spacing w:before="60" w:after="60"/>
      <w:ind w:left="1020" w:hanging="340"/>
    </w:pPr>
  </w:style>
  <w:style w:type="paragraph" w:styleId="List4">
    <w:name w:val="List 4"/>
    <w:basedOn w:val="BodyText"/>
    <w:rsid w:val="0070706C"/>
    <w:pPr>
      <w:tabs>
        <w:tab w:val="left" w:pos="1361"/>
      </w:tabs>
      <w:spacing w:before="60" w:after="60"/>
      <w:ind w:left="1361" w:hanging="340"/>
    </w:pPr>
  </w:style>
  <w:style w:type="paragraph" w:styleId="List5">
    <w:name w:val="List 5"/>
    <w:basedOn w:val="BodyText"/>
    <w:rsid w:val="0070706C"/>
    <w:pPr>
      <w:tabs>
        <w:tab w:val="left" w:pos="1701"/>
      </w:tabs>
      <w:spacing w:before="60" w:after="60"/>
      <w:ind w:left="1701" w:hanging="340"/>
    </w:pPr>
  </w:style>
  <w:style w:type="paragraph" w:styleId="ListBullet4">
    <w:name w:val="List Bullet 4"/>
    <w:basedOn w:val="List4"/>
    <w:rsid w:val="0070706C"/>
    <w:pPr>
      <w:numPr>
        <w:numId w:val="3"/>
      </w:numPr>
    </w:pPr>
  </w:style>
  <w:style w:type="paragraph" w:styleId="ListBullet5">
    <w:name w:val="List Bullet 5"/>
    <w:basedOn w:val="List5"/>
    <w:rsid w:val="0070706C"/>
    <w:pPr>
      <w:numPr>
        <w:numId w:val="4"/>
      </w:numPr>
    </w:pPr>
  </w:style>
  <w:style w:type="paragraph" w:styleId="ListContinue2">
    <w:name w:val="List Continue 2"/>
    <w:basedOn w:val="List2"/>
    <w:rsid w:val="0070706C"/>
    <w:pPr>
      <w:ind w:firstLine="0"/>
    </w:pPr>
  </w:style>
  <w:style w:type="paragraph" w:styleId="ListContinue3">
    <w:name w:val="List Continue 3"/>
    <w:basedOn w:val="List3"/>
    <w:rsid w:val="0070706C"/>
    <w:pPr>
      <w:ind w:left="1021" w:firstLine="0"/>
    </w:pPr>
  </w:style>
  <w:style w:type="paragraph" w:styleId="ListContinue4">
    <w:name w:val="List Continue 4"/>
    <w:basedOn w:val="List4"/>
    <w:rsid w:val="0070706C"/>
    <w:pPr>
      <w:ind w:firstLine="0"/>
    </w:pPr>
  </w:style>
  <w:style w:type="paragraph" w:styleId="ListContinue5">
    <w:name w:val="List Continue 5"/>
    <w:basedOn w:val="List5"/>
    <w:rsid w:val="0070706C"/>
    <w:pPr>
      <w:ind w:firstLine="0"/>
    </w:pPr>
  </w:style>
  <w:style w:type="paragraph" w:styleId="ListNumber3">
    <w:name w:val="List Number 3"/>
    <w:basedOn w:val="List3"/>
    <w:rsid w:val="0070706C"/>
    <w:pPr>
      <w:numPr>
        <w:numId w:val="5"/>
      </w:numPr>
    </w:pPr>
  </w:style>
  <w:style w:type="paragraph" w:styleId="ListNumber4">
    <w:name w:val="List Number 4"/>
    <w:basedOn w:val="List4"/>
    <w:rsid w:val="0070706C"/>
    <w:pPr>
      <w:numPr>
        <w:numId w:val="6"/>
      </w:numPr>
    </w:pPr>
  </w:style>
  <w:style w:type="paragraph" w:styleId="ListNumber5">
    <w:name w:val="List Number 5"/>
    <w:basedOn w:val="List5"/>
    <w:rsid w:val="0070706C"/>
    <w:pPr>
      <w:numPr>
        <w:numId w:val="7"/>
      </w:numPr>
    </w:pPr>
  </w:style>
  <w:style w:type="paragraph" w:styleId="BlockText">
    <w:name w:val="Block Text"/>
    <w:basedOn w:val="Normal"/>
    <w:rsid w:val="0070706C"/>
    <w:pPr>
      <w:spacing w:after="120"/>
      <w:ind w:left="1440" w:right="1440"/>
    </w:pPr>
  </w:style>
  <w:style w:type="character" w:customStyle="1" w:styleId="Subscript">
    <w:name w:val="Subscript"/>
    <w:basedOn w:val="DefaultParagraphFont"/>
    <w:rsid w:val="0070706C"/>
    <w:rPr>
      <w:sz w:val="16"/>
      <w:vertAlign w:val="subscript"/>
    </w:rPr>
  </w:style>
  <w:style w:type="character" w:customStyle="1" w:styleId="Superscript">
    <w:name w:val="Superscript"/>
    <w:basedOn w:val="DefaultParagraphFont"/>
    <w:rsid w:val="0070706C"/>
    <w:rPr>
      <w:sz w:val="16"/>
      <w:vertAlign w:val="superscript"/>
    </w:rPr>
  </w:style>
  <w:style w:type="character" w:customStyle="1" w:styleId="Symbols">
    <w:name w:val="Symbols"/>
    <w:basedOn w:val="DefaultParagraphFont"/>
    <w:rsid w:val="0070706C"/>
    <w:rPr>
      <w:rFonts w:ascii="Symbol" w:hAnsi="Symbol"/>
    </w:rPr>
  </w:style>
  <w:style w:type="character" w:customStyle="1" w:styleId="MenuOptions">
    <w:name w:val="Menu Options"/>
    <w:basedOn w:val="DefaultParagraphFont"/>
    <w:rsid w:val="0070706C"/>
    <w:rPr>
      <w:rFonts w:ascii="Arial Narrow" w:hAnsi="Arial Narrow"/>
      <w:smallCaps/>
    </w:rPr>
  </w:style>
  <w:style w:type="character" w:customStyle="1" w:styleId="Buttons">
    <w:name w:val="Buttons"/>
    <w:basedOn w:val="DefaultParagraphFont"/>
    <w:rsid w:val="0070706C"/>
    <w:rPr>
      <w:b/>
    </w:rPr>
  </w:style>
  <w:style w:type="character" w:customStyle="1" w:styleId="Underlined">
    <w:name w:val="Underlined"/>
    <w:basedOn w:val="DefaultParagraphFont"/>
    <w:rsid w:val="0070706C"/>
    <w:rPr>
      <w:u w:val="single"/>
    </w:rPr>
  </w:style>
  <w:style w:type="paragraph" w:customStyle="1" w:styleId="TableBodyTextRight">
    <w:name w:val="Table Body Text Right"/>
    <w:basedOn w:val="TableBodyText"/>
    <w:rsid w:val="0070706C"/>
    <w:pPr>
      <w:widowControl w:val="0"/>
      <w:autoSpaceDE w:val="0"/>
      <w:autoSpaceDN w:val="0"/>
      <w:adjustRightInd w:val="0"/>
      <w:jc w:val="right"/>
    </w:pPr>
    <w:rPr>
      <w:rFonts w:cs="Arial"/>
      <w:szCs w:val="18"/>
    </w:rPr>
  </w:style>
  <w:style w:type="paragraph" w:customStyle="1" w:styleId="CopyrightText">
    <w:name w:val="Copyright Text"/>
    <w:basedOn w:val="BodyText"/>
    <w:rsid w:val="0070706C"/>
    <w:rPr>
      <w:sz w:val="18"/>
    </w:rPr>
  </w:style>
  <w:style w:type="paragraph" w:customStyle="1" w:styleId="BodySmallRight">
    <w:name w:val="Body Small Right"/>
    <w:basedOn w:val="BodyTextRight"/>
    <w:rsid w:val="0070706C"/>
    <w:rPr>
      <w:sz w:val="18"/>
      <w:szCs w:val="18"/>
    </w:rPr>
  </w:style>
  <w:style w:type="paragraph" w:customStyle="1" w:styleId="MarginEdition">
    <w:name w:val="Margin Edition"/>
    <w:basedOn w:val="MarginNote"/>
    <w:rsid w:val="0070706C"/>
    <w:pPr>
      <w:spacing w:before="0" w:after="0"/>
    </w:pPr>
    <w:rPr>
      <w:rFonts w:ascii="Times New Roman" w:hAnsi="Times New Roman"/>
      <w:color w:val="999999"/>
    </w:rPr>
  </w:style>
  <w:style w:type="paragraph" w:customStyle="1" w:styleId="Spacer">
    <w:name w:val="Spacer"/>
    <w:basedOn w:val="Normal"/>
    <w:rsid w:val="0070706C"/>
    <w:rPr>
      <w:sz w:val="2"/>
      <w:szCs w:val="2"/>
    </w:rPr>
  </w:style>
  <w:style w:type="character" w:customStyle="1" w:styleId="Small">
    <w:name w:val="Small"/>
    <w:basedOn w:val="DefaultParagraphFont"/>
    <w:rsid w:val="0070706C"/>
    <w:rPr>
      <w:sz w:val="16"/>
    </w:rPr>
  </w:style>
  <w:style w:type="paragraph" w:customStyle="1" w:styleId="WideTable">
    <w:name w:val="Wide Table"/>
    <w:basedOn w:val="Normal"/>
    <w:rsid w:val="0070706C"/>
    <w:pPr>
      <w:ind w:left="-1418"/>
    </w:pPr>
    <w:rPr>
      <w:sz w:val="2"/>
      <w:szCs w:val="2"/>
    </w:rPr>
  </w:style>
  <w:style w:type="character" w:styleId="PageNumber">
    <w:name w:val="page number"/>
    <w:basedOn w:val="DefaultParagraphFont"/>
    <w:rsid w:val="0070706C"/>
  </w:style>
  <w:style w:type="paragraph" w:styleId="Quote">
    <w:name w:val="Quote"/>
    <w:basedOn w:val="Heading1"/>
    <w:link w:val="QuoteChar"/>
    <w:qFormat/>
    <w:rsid w:val="0070706C"/>
    <w:rPr>
      <w:b w:val="0"/>
      <w:sz w:val="72"/>
      <w:szCs w:val="72"/>
      <w:lang w:val="en-NZ"/>
    </w:rPr>
  </w:style>
  <w:style w:type="character" w:customStyle="1" w:styleId="QuoteChar">
    <w:name w:val="Quote Char"/>
    <w:basedOn w:val="DefaultParagraphFont"/>
    <w:link w:val="Quote"/>
    <w:rsid w:val="00707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06C"/>
    <w:pPr>
      <w:pageBreakBefore/>
    </w:pPr>
  </w:style>
  <w:style w:type="paragraph" w:customStyle="1" w:styleId="Border">
    <w:name w:val="Border"/>
    <w:basedOn w:val="Normal"/>
    <w:qFormat/>
    <w:rsid w:val="00707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06C"/>
    <w:rPr>
      <w:b/>
      <w:bCs/>
      <w:i/>
      <w:iCs/>
      <w:color w:val="auto"/>
    </w:rPr>
  </w:style>
  <w:style w:type="paragraph" w:styleId="IntenseQuote">
    <w:name w:val="Intense Quote"/>
    <w:basedOn w:val="Normal"/>
    <w:next w:val="Normal"/>
    <w:link w:val="IntenseQuoteChar"/>
    <w:uiPriority w:val="30"/>
    <w:qFormat/>
    <w:rsid w:val="00707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0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706C"/>
    <w:rPr>
      <w:smallCaps/>
      <w:color w:val="auto"/>
      <w:u w:val="single"/>
    </w:rPr>
  </w:style>
  <w:style w:type="character" w:styleId="IntenseReference">
    <w:name w:val="Intense Reference"/>
    <w:basedOn w:val="DefaultParagraphFont"/>
    <w:uiPriority w:val="32"/>
    <w:qFormat/>
    <w:rsid w:val="0070706C"/>
    <w:rPr>
      <w:b/>
      <w:bCs/>
      <w:smallCaps/>
      <w:color w:val="auto"/>
      <w:spacing w:val="5"/>
      <w:u w:val="single"/>
    </w:rPr>
  </w:style>
  <w:style w:type="paragraph" w:customStyle="1" w:styleId="2ColumnHeading">
    <w:name w:val="2Column Heading"/>
    <w:basedOn w:val="BodyText"/>
    <w:qFormat/>
    <w:rsid w:val="0070706C"/>
    <w:pPr>
      <w:spacing w:after="60"/>
      <w:ind w:left="-2268"/>
    </w:pPr>
    <w:rPr>
      <w:b/>
    </w:rPr>
  </w:style>
  <w:style w:type="paragraph" w:customStyle="1" w:styleId="Heading1TOC">
    <w:name w:val="Heading1 TOC"/>
    <w:basedOn w:val="Normal"/>
    <w:qFormat/>
    <w:rsid w:val="0070706C"/>
    <w:pPr>
      <w:spacing w:before="240" w:after="120"/>
    </w:pPr>
    <w:rPr>
      <w:rFonts w:ascii="Times New Roman" w:hAnsi="Times New Roman"/>
      <w:b/>
      <w:sz w:val="32"/>
    </w:rPr>
  </w:style>
  <w:style w:type="paragraph" w:customStyle="1" w:styleId="Heading2TOC">
    <w:name w:val="Heading2 TOC"/>
    <w:basedOn w:val="Normal"/>
    <w:qFormat/>
    <w:rsid w:val="0070706C"/>
    <w:pPr>
      <w:spacing w:before="240" w:after="60"/>
    </w:pPr>
    <w:rPr>
      <w:rFonts w:ascii="Times New Roman" w:hAnsi="Times New Roman"/>
      <w:b/>
      <w:sz w:val="28"/>
    </w:rPr>
  </w:style>
  <w:style w:type="character" w:customStyle="1" w:styleId="Underline">
    <w:name w:val="Underline"/>
    <w:basedOn w:val="DefaultParagraphFont"/>
    <w:qFormat/>
    <w:rsid w:val="0070706C"/>
    <w:rPr>
      <w:u w:val="single"/>
    </w:rPr>
  </w:style>
  <w:style w:type="character" w:customStyle="1" w:styleId="BoldandItalics">
    <w:name w:val="Bold and Italics"/>
    <w:qFormat/>
    <w:rsid w:val="0070706C"/>
    <w:rPr>
      <w:b/>
      <w:i/>
      <w:u w:val="none"/>
    </w:rPr>
  </w:style>
  <w:style w:type="paragraph" w:styleId="BalloonText">
    <w:name w:val="Balloon Text"/>
    <w:basedOn w:val="Normal"/>
    <w:link w:val="BalloonTextChar"/>
    <w:rsid w:val="0070706C"/>
    <w:rPr>
      <w:rFonts w:ascii="Tahoma" w:hAnsi="Tahoma" w:cs="Tahoma"/>
      <w:sz w:val="16"/>
      <w:szCs w:val="16"/>
    </w:rPr>
  </w:style>
  <w:style w:type="character" w:customStyle="1" w:styleId="BalloonTextChar">
    <w:name w:val="Balloon Text Char"/>
    <w:basedOn w:val="DefaultParagraphFont"/>
    <w:link w:val="BalloonText"/>
    <w:rsid w:val="007070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70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70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2591</Words>
  <Characters>15968</Characters>
  <Application>Microsoft Office Word</Application>
  <DocSecurity>0</DocSecurity>
  <Lines>620</Lines>
  <Paragraphs>262</Paragraphs>
  <ScaleCrop>false</ScaleCrop>
  <Company>Author-it Software Corporation Ltd.</Company>
  <LinksUpToDate>false</LinksUpToDate>
  <CharactersWithSpaces>18409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UEPOPS335A Operate a Hydro Generator/Synchronous Condenser/Pump Unit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2012-05-26T22:25:00Z</dcterms:created>
  <dcterms:modified xsi:type="dcterms:W3CDTF">2012-05-26T22:25:00Z</dcterms:modified>
</cp:coreProperties>
</file>