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8E8" w:rsidP="00CA58E8">
      <w:pPr>
        <w:pStyle w:val="Title"/>
      </w:pPr>
      <w:r>
        <w:fldChar w:fldCharType="begin"/>
      </w:r>
      <w:r>
        <w:instrText xml:space="preserve"> TITLE   \* MERGEFORMAT </w:instrText>
      </w:r>
      <w:r>
        <w:fldChar w:fldCharType="separate"/>
      </w:r>
      <w:r>
        <w:t>UEPOPS236A Perform Manual Heating, Thermal Cutting and Gouging</w:t>
      </w:r>
      <w:r>
        <w:fldChar w:fldCharType="end"/>
      </w:r>
    </w:p>
    <w:p w:rsidR="00CA58E8" w:rsidP="00CA58E8">
      <w:pPr>
        <w:pStyle w:val="Version"/>
        <w:sectPr w:rsidSect="00B17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C17" w:rsidP="00B17C17">
      <w:pPr>
        <w:pStyle w:val="SuperHeading"/>
      </w:pPr>
      <w:r w:rsidRPr="00B17C17">
        <w:t>UEPOPS236A Perform Manual Heating, Thermal Cutting and Gouging</w:t>
      </w:r>
    </w:p>
    <w:p w:rsidR="00000000" w:rsidRPr="00B17C17" w:rsidP="00B17C17">
      <w:pPr>
        <w:pStyle w:val="Heading1"/>
      </w:pPr>
      <w:bookmarkStart w:id="1" w:name="O_275283"/>
      <w:bookmarkEnd w:id="1"/>
      <w:r w:rsidRPr="00B17C17">
        <w:t>Modification History</w:t>
      </w:r>
    </w:p>
    <w:p w:rsidR="00000000" w:rsidRPr="00B17C17" w:rsidP="00B17C17">
      <w:pPr>
        <w:pStyle w:val="BodyText"/>
      </w:pPr>
      <w:r w:rsidRPr="00B17C17">
        <w:t>Not Applicable</w:t>
      </w:r>
    </w:p>
    <w:p w:rsidR="00000000" w:rsidRPr="00B17C17" w:rsidP="00B17C17">
      <w:pPr>
        <w:pStyle w:val="AllowPageBreak"/>
      </w:pPr>
    </w:p>
    <w:p w:rsidR="00000000" w:rsidRPr="00B17C17" w:rsidP="00B17C17">
      <w:pPr>
        <w:pStyle w:val="Heading1"/>
      </w:pPr>
      <w:bookmarkStart w:id="2" w:name="O_230388"/>
      <w:bookmarkEnd w:id="2"/>
      <w:r w:rsidRPr="00B17C17">
        <w:t>Unit Descriptor</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7C17" w:rsidP="00B17C17">
            <w:pPr>
              <w:pStyle w:val="ListBullet"/>
            </w:pPr>
            <w:r w:rsidRPr="00B17C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1</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This unit deals with the skills and knowledge required to be applied in a maintenance environment and would be used to facilitate a wide range of maintenance activities.</w:t>
            </w:r>
          </w:p>
        </w:tc>
      </w:tr>
    </w:tbl>
    <w:p w:rsidR="00CA58E8" w:rsidP="00B17C17">
      <w:pPr>
        <w:pStyle w:val="BodyText"/>
      </w:pPr>
    </w:p>
    <w:p w:rsidR="00CA58E8" w:rsidP="00B17C17">
      <w:pPr>
        <w:pStyle w:val="BodyText"/>
      </w:pPr>
    </w:p>
    <w:p w:rsidR="00000000" w:rsidRPr="00B17C17" w:rsidP="00B17C17">
      <w:pPr>
        <w:pStyle w:val="Heading1"/>
      </w:pPr>
      <w:bookmarkStart w:id="3" w:name="O_230391"/>
      <w:bookmarkEnd w:id="3"/>
      <w:r w:rsidRPr="00B17C17">
        <w:t>Application of the Unit</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7C17" w:rsidP="00B17C17">
            <w:pPr>
              <w:pStyle w:val="ListBullet"/>
            </w:pPr>
            <w:r w:rsidRPr="00B17C1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3</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This unit is intended to augment formally acquired competencies. It is suitable for employment-based programs under an approved contract of training.</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3</w:t>
            </w:r>
            <w:r w:rsidRPr="00B17C17">
              <w:t>.</w:t>
            </w:r>
            <w:r w:rsidRPr="00B17C17">
              <w:rPr>
                <w:rStyle w:val="SpecialBold"/>
              </w:rPr>
              <w:t>1</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The skills and knowledge described in this unit do not require a licence to practise in the workplace. However, practice in this unit is subject to regulations directly related to Occupational Health and Safety and where applicable contracts of training su</w:t>
            </w:r>
            <w:r w:rsidRPr="00B17C17">
              <w:t>ch as apprenticeships and the like.</w:t>
            </w:r>
          </w:p>
        </w:tc>
      </w:tr>
    </w:tbl>
    <w:p w:rsidR="00CA58E8" w:rsidP="00B17C17">
      <w:pPr>
        <w:pStyle w:val="BodyText"/>
      </w:pPr>
    </w:p>
    <w:p w:rsidR="00CA58E8" w:rsidP="00B17C17">
      <w:pPr>
        <w:pStyle w:val="BodyText"/>
      </w:pPr>
    </w:p>
    <w:p w:rsidR="00000000" w:rsidRPr="00B17C17" w:rsidP="00B17C17">
      <w:pPr>
        <w:pStyle w:val="Heading1"/>
      </w:pPr>
      <w:bookmarkStart w:id="4" w:name="O_282817"/>
      <w:bookmarkEnd w:id="4"/>
      <w:r w:rsidRPr="00B17C17">
        <w:t>Licensing/Regulatory Information</w:t>
      </w:r>
    </w:p>
    <w:p w:rsidR="00000000" w:rsidRPr="00B17C17" w:rsidP="00B17C17">
      <w:pPr>
        <w:pStyle w:val="BodyText"/>
      </w:pPr>
      <w:r w:rsidRPr="00B17C17">
        <w:t>Not Applicable</w:t>
      </w:r>
    </w:p>
    <w:p w:rsidR="00000000" w:rsidRPr="00B17C17" w:rsidP="00B17C17">
      <w:pPr>
        <w:pStyle w:val="AllowPageBreak"/>
      </w:pPr>
    </w:p>
    <w:p w:rsidR="00000000" w:rsidRPr="00B17C17" w:rsidP="00B17C17">
      <w:pPr>
        <w:pStyle w:val="Heading1"/>
      </w:pPr>
      <w:bookmarkStart w:id="5" w:name="O_230389"/>
      <w:bookmarkEnd w:id="5"/>
      <w:r w:rsidRPr="00B17C17">
        <w:t>Pre-Requisites</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7C17" w:rsidP="00B17C17">
            <w:pPr>
              <w:pStyle w:val="ListBullet"/>
            </w:pPr>
            <w:r w:rsidRPr="00B17C17">
              <w:rPr>
                <w:rStyle w:val="SpecialBold"/>
              </w:rPr>
              <w:t>Prerequisite Unit</w:t>
            </w:r>
            <w:r w:rsidRPr="00B17C17">
              <w:t>(</w:t>
            </w:r>
            <w:r w:rsidRPr="00B17C17">
              <w:rPr>
                <w:rStyle w:val="SpecialBold"/>
              </w:rPr>
              <w:t>s</w:t>
            </w:r>
            <w:r w:rsidRPr="00B17C17">
              <w:t>)</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2</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2</w:t>
            </w:r>
            <w:r w:rsidRPr="00B17C17">
              <w:t>.</w:t>
            </w:r>
            <w:r w:rsidRPr="00B17C17">
              <w:rPr>
                <w:rStyle w:val="SpecialBold"/>
              </w:rPr>
              <w:t>1</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There are no prerequisite units.</w:t>
            </w:r>
          </w:p>
        </w:tc>
      </w:tr>
    </w:tbl>
    <w:p w:rsidR="00CA58E8" w:rsidP="00B17C17">
      <w:pPr>
        <w:pStyle w:val="BodyText"/>
      </w:pPr>
    </w:p>
    <w:p w:rsidR="00CA58E8" w:rsidP="00B17C17">
      <w:pPr>
        <w:pStyle w:val="BodyText"/>
      </w:pPr>
    </w:p>
    <w:p w:rsidR="00000000" w:rsidRPr="00B17C17" w:rsidP="00B17C17">
      <w:pPr>
        <w:pStyle w:val="Heading1"/>
      </w:pPr>
      <w:bookmarkStart w:id="6" w:name="O_285532"/>
      <w:bookmarkEnd w:id="6"/>
      <w:r w:rsidRPr="00B17C17">
        <w:t>Employability Skills Information</w:t>
      </w:r>
    </w:p>
    <w:p w:rsidR="00000000" w:rsidRPr="00B17C17" w:rsidP="00B17C17">
      <w:pPr>
        <w:pStyle w:val="BodyText"/>
      </w:pPr>
      <w:r w:rsidRPr="00B17C17">
        <w:t>Refer to the Evidence Guide</w:t>
      </w:r>
    </w:p>
    <w:p w:rsidR="00000000" w:rsidRPr="00B17C17" w:rsidP="00B17C17">
      <w:pPr>
        <w:pStyle w:val="AllowPageBreak"/>
      </w:pPr>
    </w:p>
    <w:p w:rsidR="00000000" w:rsidRPr="00B17C17" w:rsidP="00B17C17">
      <w:pPr>
        <w:pStyle w:val="Heading1"/>
      </w:pPr>
      <w:bookmarkStart w:id="7" w:name="O_293329"/>
      <w:bookmarkEnd w:id="7"/>
      <w:r w:rsidRPr="00B17C17">
        <w:t>Elements and Performance Criteria Pre-Content</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5</w:t>
            </w:r>
            <w:r w:rsidRPr="00B17C1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Performance Criteria describe the required performance ne</w:t>
            </w:r>
            <w:r w:rsidRPr="00B17C17">
              <w:t>eded to demonstrate achievement of the Element. Assessment of performance is to be consistent with the Evidence Guide.</w:t>
            </w:r>
          </w:p>
        </w:tc>
      </w:tr>
    </w:tbl>
    <w:p w:rsidR="00000000" w:rsidRPr="00B17C17" w:rsidP="00B17C17">
      <w:pPr>
        <w:pStyle w:val="BodyText"/>
      </w:pPr>
    </w:p>
    <w:p w:rsidR="00000000" w:rsidRPr="00B17C17" w:rsidP="00B17C17">
      <w:pPr>
        <w:pStyle w:val="AllowPageBreak"/>
      </w:pPr>
    </w:p>
    <w:p w:rsidR="00000000" w:rsidRPr="00B17C17" w:rsidP="00B17C17">
      <w:pPr>
        <w:pStyle w:val="Heading1"/>
      </w:pPr>
      <w:bookmarkStart w:id="8" w:name="O_239997"/>
      <w:bookmarkEnd w:id="8"/>
      <w:r w:rsidRPr="00B17C1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58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7C17" w:rsidP="00B17C17">
            <w:pPr>
              <w:pStyle w:val="ListBullet"/>
            </w:pPr>
            <w:r w:rsidRPr="00B17C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7C17">
            <w:pPr>
              <w:pStyle w:val="ListBullet"/>
              <w:rPr>
                <w:lang w:val="en-NZ"/>
              </w:rPr>
            </w:pPr>
            <w:r w:rsidRPr="00B17C17">
              <w:rPr>
                <w:rStyle w:val="SpecialBold"/>
              </w:rPr>
              <w:t>PERFORMANCE CRITERIA</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w:t>
            </w:r>
          </w:p>
        </w:tc>
        <w:tc>
          <w:tcPr>
            <w:tcW w:w="2296" w:type="dxa"/>
            <w:vMerge w:val="restart"/>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1.1</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Work requirements are identified from request/work orders or equivalent and clarified/confirmed with appropriate parties or by site inspection.</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1.2</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Occupational Health and Safety standards, statutory requirements, relevant Australian Standards, Codes of Practice, manufacturers' specifications, environmental requirements and enterprise procedures are identified, applied and monitored throughout the wor</w:t>
            </w:r>
            <w:r w:rsidRPr="00B17C17">
              <w:t>k procedure.</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1.3</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Resources required to satisfy the work plan are identified, obtained and inspected for compliance with the job specifications.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1.4</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Relevant plans, drawings and text are selected and interpreted in accordance with the work plan.</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1.5</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Correct size, type and quantity of materials/components are determined, obtained and inspected for compliance with the job specifications.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1.6</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Work is planned in detail including sequencing, prioritising and considerations made where appropriate for</w:t>
            </w:r>
            <w:r w:rsidRPr="00B17C17">
              <w:t xml:space="preserve"> the maintenance of plant security and capacity in accordance with system/site requirements.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1.7</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Coordination requirements, including requests for isolations where appropriate, are resolved with others involved, affected or required by the work.</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1.8</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Potential hazards are identified and prevention and/or control measures are selected in accordance with the work plan and site procedures.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1.9</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Work area is prepared in accordance with work requirements and site procedures.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1.10</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 xml:space="preserve">Where appropriate the </w:t>
            </w:r>
            <w:r w:rsidRPr="00B17C17">
              <w:t>teams and individuals roles and responsibilities within the team are identified, and where required, assist in the provision of the on-the-job training</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w:t>
            </w:r>
          </w:p>
        </w:tc>
        <w:tc>
          <w:tcPr>
            <w:tcW w:w="2296" w:type="dxa"/>
            <w:vMerge w:val="restart"/>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Operate heating and/or thermal cutting and gouging equipment</w:t>
            </w: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2.1</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Equipment start-up procedures are fo</w:t>
            </w:r>
            <w:r w:rsidRPr="00B17C17">
              <w:t>llowed in accordance with manufacturer's specifications and job requirements.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2.2</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Materials are heated, cut or gouged to work requirements with due regard to appropriate cutting allowances.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2.3</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Defects to either materi</w:t>
            </w:r>
            <w:r w:rsidRPr="00B17C17">
              <w:t>als or equipment are identified and corrective action taken in accordance with operating instructions or work requirements.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3</w:t>
            </w:r>
          </w:p>
        </w:tc>
        <w:tc>
          <w:tcPr>
            <w:tcW w:w="2296" w:type="dxa"/>
            <w:vMerge w:val="restart"/>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Complete the Work</w:t>
            </w: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3.1</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Work is completed and appropriate personnel notified in accordance with site/enterprise requirements.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3.2</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 xml:space="preserve">Work area is cleared of waste, cleaned, restored and secured in accordance with site/enterprise </w:t>
            </w:r>
            <w:r w:rsidRPr="00B17C17">
              <w:t>procedures.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3.3</w:t>
            </w:r>
          </w:p>
        </w:tc>
        <w:tc>
          <w:tcPr>
            <w:tcW w:w="48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Plant, tools and equipment are maintained and stored in accordance with site/enterprise procedures.</w:t>
            </w:r>
          </w:p>
        </w:tc>
      </w:tr>
      <w:tr w:rsidTr="00CA58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3.4</w:t>
            </w:r>
          </w:p>
        </w:tc>
        <w:tc>
          <w:tcPr>
            <w:tcW w:w="48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Work completion details are finalised in accordance with site/enterprise procedures.</w:t>
            </w:r>
          </w:p>
        </w:tc>
      </w:tr>
    </w:tbl>
    <w:p w:rsidR="00CA58E8" w:rsidP="00B17C17">
      <w:pPr>
        <w:pStyle w:val="BodyText"/>
      </w:pPr>
    </w:p>
    <w:p w:rsidR="00CA58E8" w:rsidP="00B17C17">
      <w:pPr>
        <w:pStyle w:val="BodyText"/>
      </w:pPr>
    </w:p>
    <w:p w:rsidR="00000000" w:rsidRPr="00B17C17" w:rsidP="00B17C17">
      <w:pPr>
        <w:pStyle w:val="Heading1"/>
      </w:pPr>
      <w:bookmarkStart w:id="9" w:name="O_263788"/>
      <w:bookmarkEnd w:id="9"/>
      <w:r w:rsidRPr="00B17C17">
        <w:t>Required Skills and Knowledge</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17C17">
            <w:pPr>
              <w:pStyle w:val="ListBullet"/>
              <w:rPr>
                <w:lang w:val="en-NZ"/>
              </w:rPr>
            </w:pPr>
            <w:r w:rsidRPr="00B17C17">
              <w:rPr>
                <w:rStyle w:val="SpecialBold"/>
              </w:rPr>
              <w:t>REQUIRED SKILLS AND KNOWLEDGE</w:t>
            </w:r>
          </w:p>
        </w:tc>
      </w:tr>
      <w:tr w:rsidTr="00CA58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6</w:t>
            </w:r>
            <w:r w:rsidRPr="00B17C17">
              <w:t>) This describes the essential skills and knowledge and their level, required for this unit.</w:t>
            </w:r>
          </w:p>
        </w:tc>
      </w:tr>
      <w:tr w:rsidTr="00CA58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Evidence shall show that knowledge has been acquired of performing manual heating, thermal cutting and gouging.</w:t>
            </w:r>
          </w:p>
          <w:p w:rsidR="00000000" w:rsidP="00B17C17">
            <w:pPr>
              <w:pStyle w:val="BodyText"/>
              <w:rPr>
                <w:lang w:val="en-NZ"/>
              </w:rPr>
            </w:pPr>
            <w:r w:rsidRPr="00B17C17">
              <w:t>The extent of the Essential Knowledge and Associa</w:t>
            </w:r>
            <w:r w:rsidRPr="00B17C17">
              <w:t>ted Skills required follows:</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Evidence shall show that knowledge has been acquired for safe working practices of:</w:t>
            </w:r>
          </w:p>
          <w:p w:rsidR="00000000" w:rsidRPr="00B17C17" w:rsidP="00B17C17">
            <w:pPr>
              <w:pStyle w:val="ListBullet3"/>
            </w:pPr>
            <w:r w:rsidRPr="00B17C17">
              <w:t>Occupational Health and Safety standards</w:t>
            </w:r>
          </w:p>
          <w:p w:rsidR="00000000" w:rsidRPr="00B17C17" w:rsidP="00B17C17">
            <w:pPr>
              <w:pStyle w:val="ListBullet3"/>
            </w:pPr>
            <w:r w:rsidRPr="00B17C17">
              <w:t>Relevant Australian standards</w:t>
            </w:r>
          </w:p>
          <w:p w:rsidR="00000000" w:rsidRPr="00B17C17" w:rsidP="00B17C17">
            <w:pPr>
              <w:pStyle w:val="ListBullet3"/>
            </w:pPr>
            <w:r w:rsidRPr="00B17C17">
              <w:t>Hand and portable power tools</w:t>
            </w:r>
          </w:p>
          <w:p w:rsidR="00000000" w:rsidRPr="00B17C17" w:rsidP="00B17C17">
            <w:pPr>
              <w:pStyle w:val="ListBullet3"/>
            </w:pPr>
            <w:r w:rsidRPr="00B17C17">
              <w:t>Heating, cutting and gouging techniques</w:t>
            </w:r>
          </w:p>
          <w:p w:rsidR="00000000" w:rsidRPr="00B17C17" w:rsidP="00B17C17">
            <w:pPr>
              <w:pStyle w:val="ListBullet3"/>
            </w:pPr>
            <w:r w:rsidRPr="00B17C17">
              <w:t>Distortion control techniques</w:t>
            </w:r>
          </w:p>
          <w:p w:rsidR="00000000" w:rsidRPr="00B17C17" w:rsidP="00B17C17">
            <w:pPr>
              <w:pStyle w:val="ListBullet3"/>
            </w:pPr>
            <w:r w:rsidRPr="00B17C17">
              <w:t>Hazardous fumes and gases</w:t>
            </w:r>
          </w:p>
          <w:p w:rsidR="00000000" w:rsidRPr="00B17C17" w:rsidP="00B17C17">
            <w:pPr>
              <w:pStyle w:val="ListBullet3"/>
            </w:pPr>
            <w:r w:rsidRPr="00B17C17">
              <w:t>Materials and their various profiles</w:t>
            </w:r>
          </w:p>
          <w:p w:rsidR="00000000" w:rsidRPr="00B17C17" w:rsidP="00B17C17">
            <w:pPr>
              <w:pStyle w:val="ListBullet3"/>
            </w:pPr>
            <w:r w:rsidRPr="00B17C17">
              <w:t>Heating, cutting and gouging equipment and its basic maintenance</w:t>
            </w:r>
          </w:p>
          <w:p w:rsidR="00000000" w:rsidRPr="00B17C17" w:rsidP="00B17C17">
            <w:pPr>
              <w:pStyle w:val="ListBullet3"/>
            </w:pPr>
            <w:r w:rsidRPr="00B17C17">
              <w:t>Communication principles</w:t>
            </w:r>
          </w:p>
          <w:p w:rsidR="00000000" w:rsidP="00B17C17">
            <w:pPr>
              <w:pStyle w:val="ListBullet3"/>
              <w:rPr>
                <w:lang w:val="en-NZ"/>
              </w:rPr>
            </w:pPr>
            <w:r w:rsidRPr="00B17C17">
              <w:t>Engineering concepts and principles</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Specific skills needed to achieve the Performance Criteria:</w:t>
            </w:r>
          </w:p>
          <w:p w:rsidR="00000000" w:rsidRPr="00B17C17" w:rsidP="00B17C17">
            <w:pPr>
              <w:pStyle w:val="ListBullet3"/>
            </w:pPr>
            <w:r w:rsidRPr="00B17C17">
              <w:t>Apply Occupational Health and Safety standards</w:t>
            </w:r>
          </w:p>
          <w:p w:rsidR="00000000" w:rsidRPr="00B17C17" w:rsidP="00B17C17">
            <w:pPr>
              <w:pStyle w:val="ListBullet3"/>
            </w:pPr>
            <w:r w:rsidRPr="00B17C17">
              <w:t>Apply relevant Australian standards</w:t>
            </w:r>
          </w:p>
          <w:p w:rsidR="00000000" w:rsidRPr="00B17C17" w:rsidP="00B17C17">
            <w:pPr>
              <w:pStyle w:val="ListBullet3"/>
            </w:pPr>
            <w:r w:rsidRPr="00B17C17">
              <w:t>Use heating, cutting and gouging equipment</w:t>
            </w:r>
          </w:p>
          <w:p w:rsidR="00000000" w:rsidRPr="00B17C17" w:rsidP="00B17C17">
            <w:pPr>
              <w:pStyle w:val="ListBullet3"/>
            </w:pPr>
            <w:r w:rsidRPr="00B17C17">
              <w:t>Maintain heating, cutting and g</w:t>
            </w:r>
            <w:r w:rsidRPr="00B17C17">
              <w:t>ouging equipment</w:t>
            </w:r>
          </w:p>
          <w:p w:rsidR="00000000" w:rsidRPr="00B17C17" w:rsidP="00B17C17">
            <w:pPr>
              <w:pStyle w:val="ListBullet3"/>
            </w:pPr>
            <w:r w:rsidRPr="00B17C17">
              <w:t>Use hand and portable power tools</w:t>
            </w:r>
          </w:p>
          <w:p w:rsidR="00000000" w:rsidRPr="00B17C17" w:rsidP="00B17C17">
            <w:pPr>
              <w:pStyle w:val="ListBullet3"/>
            </w:pPr>
            <w:r w:rsidRPr="00B17C17">
              <w:t>Use sketch and update drawings, manuals and plans</w:t>
            </w:r>
          </w:p>
          <w:p w:rsidR="00000000" w:rsidRPr="00B17C17" w:rsidP="00B17C17">
            <w:pPr>
              <w:pStyle w:val="ListBullet3"/>
            </w:pPr>
            <w:r w:rsidRPr="00B17C17">
              <w:t>Select materials</w:t>
            </w:r>
          </w:p>
          <w:p w:rsidR="00000000" w:rsidRPr="00B17C17" w:rsidP="00B17C17">
            <w:pPr>
              <w:pStyle w:val="ListBullet3"/>
            </w:pPr>
            <w:r w:rsidRPr="00B17C17">
              <w:t>Control distortion</w:t>
            </w:r>
          </w:p>
          <w:p w:rsidR="00000000" w:rsidRPr="00B17C17" w:rsidP="00B17C17">
            <w:pPr>
              <w:pStyle w:val="ListBullet3"/>
            </w:pPr>
            <w:r w:rsidRPr="00B17C17">
              <w:t>Inspect and finalise job</w:t>
            </w:r>
          </w:p>
          <w:p w:rsidR="00000000" w:rsidRPr="00B17C17" w:rsidP="00B17C17">
            <w:pPr>
              <w:pStyle w:val="ListBullet3"/>
            </w:pPr>
            <w:r w:rsidRPr="00B17C17">
              <w:t>Communicate effectively.</w:t>
            </w:r>
          </w:p>
        </w:tc>
      </w:tr>
    </w:tbl>
    <w:p w:rsidR="00CA58E8" w:rsidP="00B17C17">
      <w:pPr>
        <w:pStyle w:val="BodyText"/>
      </w:pPr>
    </w:p>
    <w:p w:rsidR="00CA58E8" w:rsidP="00B17C17">
      <w:pPr>
        <w:pStyle w:val="BodyText"/>
      </w:pPr>
    </w:p>
    <w:p w:rsidR="00000000" w:rsidRPr="00B17C17" w:rsidP="00B17C17">
      <w:pPr>
        <w:pStyle w:val="Heading1"/>
      </w:pPr>
      <w:bookmarkStart w:id="10" w:name="O_247980"/>
      <w:bookmarkEnd w:id="10"/>
      <w:r w:rsidRPr="00B17C17">
        <w:t>Evidence Guide</w:t>
      </w:r>
    </w:p>
    <w:tbl>
      <w:tblPr>
        <w:tblW w:w="0" w:type="auto"/>
        <w:tblLayout w:type="fixed"/>
        <w:tblCellMar>
          <w:left w:w="62" w:type="dxa"/>
          <w:right w:w="62" w:type="dxa"/>
        </w:tblCellMar>
        <w:tblLook w:val="0000"/>
      </w:tblPr>
      <w:tblGrid>
        <w:gridCol w:w="2160"/>
        <w:gridCol w:w="1620"/>
        <w:gridCol w:w="4680"/>
      </w:tblGrid>
      <w:tr w:rsidTr="00CA58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17C17">
            <w:pPr>
              <w:pStyle w:val="ListBullet"/>
              <w:rPr>
                <w:lang w:val="en-NZ"/>
              </w:rPr>
            </w:pPr>
            <w:r w:rsidRPr="00B17C17">
              <w:rPr>
                <w:rStyle w:val="SpecialBold"/>
              </w:rPr>
              <w:t>EVIDENCE GUIDE</w:t>
            </w:r>
          </w:p>
        </w:tc>
      </w:tr>
      <w:tr w:rsidTr="00CA58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 Thi</w:t>
            </w:r>
            <w:r w:rsidRPr="00B17C17">
              <w:t>s provides essential advice for assessment of the competency standard unit and must be read in conjunction with the Performance Criteria and the Range Statement of the competency standard unit and the Training Package Assessment Guidelines.</w:t>
            </w:r>
          </w:p>
          <w:p w:rsidR="00000000" w:rsidP="00B17C17">
            <w:pPr>
              <w:pStyle w:val="BodyText"/>
              <w:rPr>
                <w:lang w:val="en-NZ"/>
              </w:rPr>
            </w:pPr>
            <w:r w:rsidRPr="00B17C17">
              <w:t>The Evidence Gu</w:t>
            </w:r>
            <w:r w:rsidRPr="00B17C17">
              <w:t>ide forms an integral part of this competency standard unit and shall be used in conjunction with all components parts of this unit and, performed in accordance with the Assessment Guidelines of this Training Package.</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1</w:t>
            </w:r>
            <w:r w:rsidRPr="00B17C17">
              <w:t xml:space="preserve">) </w:t>
            </w:r>
          </w:p>
          <w:p w:rsidR="00000000" w:rsidRPr="00B17C17" w:rsidP="00B17C17">
            <w:pPr>
              <w:pStyle w:val="BodyText"/>
            </w:pPr>
            <w:r w:rsidRPr="00B17C17">
              <w:t>Longit</w:t>
            </w:r>
            <w:r w:rsidRPr="00B17C17">
              <w:t>udinal competency development approaches to assessment, such as Profiling, require data to be reliably gathered in a form that can be consistently interpreted over time. This approach is best utilised in Apprenticeship programs and reduces assessment inter</w:t>
            </w:r>
            <w:r w:rsidRPr="00B17C17">
              <w:t xml:space="preserve">vention. It is the Industry's preferred model for apprenticeships. However, where summative (or final) assessment is used it is to include the application of the competency in the normal work environment or, at a minimum, the application of the competency </w:t>
            </w:r>
            <w:r w:rsidRPr="00B17C17">
              <w:t>in a realistically simulated work environment. It is recognised that, in some circumstances, assessment in part or full can occur outside the workplace. However, it must be in accord with Industry and, Regulatory policy in this regard.</w:t>
            </w:r>
          </w:p>
          <w:p w:rsidR="00000000" w:rsidRPr="00B17C17" w:rsidP="00B17C17">
            <w:pPr>
              <w:pStyle w:val="BodyText"/>
            </w:pPr>
            <w:r w:rsidRPr="00B17C17">
              <w:t>Methods chosen for a</w:t>
            </w:r>
            <w:r w:rsidRPr="00B17C17">
              <w:t xml:space="preserve"> particular assessment will be influenced by various factors. These include the extent of the assessment, the most effective locations for the assessment activities to take place, access to physical resources, additional safety measures that may be require</w:t>
            </w:r>
            <w:r w:rsidRPr="00B17C17">
              <w:t>d and the critical nature of the competencies being assessed.</w:t>
            </w:r>
          </w:p>
          <w:p w:rsidR="00000000" w:rsidRPr="00B17C17" w:rsidP="00B17C17">
            <w:pPr>
              <w:pStyle w:val="BodyText"/>
            </w:pPr>
            <w:r w:rsidRPr="00B17C17">
              <w:t>The critical safety nature of working with electricity, electrical equipment, gas or any other hazardous substance/material carries risk in deeming a person competent. Hence, sources of evidence</w:t>
            </w:r>
            <w:r w:rsidRPr="00B17C17">
              <w:t xml:space="preserve"> need to be 'rich' in nature so as to minimise error in judgment.</w:t>
            </w:r>
          </w:p>
          <w:p w:rsidR="00000000" w:rsidP="00B17C17">
            <w:pPr>
              <w:pStyle w:val="BodyText"/>
              <w:rPr>
                <w:lang w:val="en-NZ"/>
              </w:rPr>
            </w:pPr>
            <w:r w:rsidRPr="00B17C17">
              <w:t>Activities associated with normal every day work have a bearing on the decision as to how much and how detailed the data gathered will contribute to its 'richness'. Some skills are more crit</w:t>
            </w:r>
            <w:r w:rsidRPr="00B17C17">
              <w:t>ical to safety and operational requirements while the same skills may be more or less frequently practised. These points are raised for the assessors to consider when choosing an assessment method and developing assessment instruments. Sample assessment in</w:t>
            </w:r>
            <w:r w:rsidRPr="00B17C17">
              <w:t>struments are included for Assessors in the Assessment Guidelines of this Training Package.</w:t>
            </w:r>
          </w:p>
        </w:tc>
      </w:tr>
      <w:tr w:rsidTr="00CA58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2</w:t>
            </w:r>
            <w:r w:rsidRPr="00B17C17">
              <w:t xml:space="preserve">) </w:t>
            </w:r>
          </w:p>
          <w:p w:rsidR="00000000" w:rsidP="00B17C17">
            <w:pPr>
              <w:pStyle w:val="BodyText"/>
              <w:rPr>
                <w:lang w:val="en-NZ"/>
              </w:rPr>
            </w:pPr>
            <w:r w:rsidRPr="00B17C17">
              <w:t>Before the critical aspects of evidence are considered all prerequisites shall be met.</w:t>
            </w:r>
          </w:p>
        </w:tc>
      </w:tr>
      <w:tr w:rsidTr="00CA58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Evidence for competence in this unit shall be considered holistically.  Each Element and associated Performance Criteria shall be demonstrated on at least two occasio</w:t>
            </w:r>
            <w:r w:rsidRPr="00B17C17">
              <w:t>ns in accordance with the "Assessment Guidelines - UEP06".  Evidence shall also comprise:</w:t>
            </w:r>
          </w:p>
          <w:p w:rsidR="00000000" w:rsidP="00B17C17">
            <w:pPr>
              <w:pStyle w:val="ListBullet"/>
              <w:rPr>
                <w:lang w:val="en-NZ"/>
              </w:rPr>
            </w:pPr>
            <w:r w:rsidRPr="00B17C17">
              <w:t>A representative body of Performance Criteria demonstrated within the timeframes typically expected of the discipline, work function and industrial environment. In p</w:t>
            </w:r>
            <w:r w:rsidRPr="00B17C17">
              <w:t>articular this shall incorporate evidence that shows a candidate is able to:</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ListBullet3"/>
            </w:pPr>
            <w:r w:rsidRPr="00B17C17">
              <w:t xml:space="preserve">Implement Occupational Health and Safety workplace procedures and practices including </w:t>
            </w:r>
            <w:r w:rsidRPr="00B17C17">
              <w:t>the use of risk control measures as specified in the Performance Criteria and Range Statement</w:t>
            </w:r>
          </w:p>
          <w:p w:rsidR="00000000" w:rsidRPr="00B17C17" w:rsidP="00B17C17">
            <w:pPr>
              <w:pStyle w:val="ListBullet3"/>
            </w:pPr>
            <w:r w:rsidRPr="00B17C17">
              <w:t>Apply sustainable energy principles and practices as specified in the Performance Criteria and Range Statement</w:t>
            </w:r>
          </w:p>
          <w:p w:rsidR="00000000" w:rsidRPr="00B17C17" w:rsidP="00B17C17">
            <w:pPr>
              <w:pStyle w:val="ListBullet3"/>
            </w:pPr>
            <w:r w:rsidRPr="00B17C17">
              <w:t>Demonstrate an understanding of the Essential Knowledge and Associated Skills as described in 6) Essential Knowledge and Associated Skills of this unit</w:t>
            </w:r>
          </w:p>
          <w:p w:rsidR="00000000" w:rsidRPr="00B17C17" w:rsidP="00B17C17">
            <w:pPr>
              <w:pStyle w:val="ListBullet3"/>
            </w:pPr>
            <w:r w:rsidRPr="00B17C17">
              <w:t>Demonstrate an appropriate level of skills enabling employment</w:t>
            </w:r>
          </w:p>
          <w:p w:rsidR="00000000" w:rsidP="00B17C17">
            <w:pPr>
              <w:pStyle w:val="ListBullet3"/>
              <w:rPr>
                <w:lang w:val="en-NZ"/>
              </w:rPr>
            </w:pPr>
            <w:r w:rsidRPr="00B17C17">
              <w:t xml:space="preserve">Conduct work observing the relevant Anti </w:t>
            </w:r>
            <w:r w:rsidRPr="00B17C17">
              <w:t>Discrimination legislation, regulations, polices and workplace procedures</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7C17">
            <w:pPr>
              <w:pStyle w:val="ListBullet"/>
              <w:rPr>
                <w:lang w:val="en-NZ"/>
              </w:rPr>
            </w:pPr>
            <w:r w:rsidRPr="00B17C17">
              <w:t>Demonstrated performance across a representative range of contexts from the prescribed items below:</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ListBullet3"/>
            </w:pPr>
            <w:r w:rsidRPr="00B17C17">
              <w:t>Knowledge and application of relevant sections of: Occupational, health and safety legislation; Statutory legislation; Enterprise/site safety procedures; Enterprise/site emergency procedures</w:t>
            </w:r>
          </w:p>
          <w:p w:rsidR="00000000" w:rsidRPr="00B17C17" w:rsidP="00B17C17">
            <w:pPr>
              <w:pStyle w:val="ListBullet3"/>
            </w:pPr>
            <w:r w:rsidRPr="00B17C17">
              <w:t>Preparation and planning of work</w:t>
            </w:r>
          </w:p>
          <w:p w:rsidR="00000000" w:rsidRPr="00B17C17" w:rsidP="00B17C17">
            <w:pPr>
              <w:pStyle w:val="ListBullet3"/>
            </w:pPr>
            <w:r w:rsidRPr="00B17C17">
              <w:t>Heating, cutting and gouging procedures</w:t>
            </w:r>
          </w:p>
          <w:p w:rsidR="00000000" w:rsidRPr="00B17C17" w:rsidP="00B17C17">
            <w:pPr>
              <w:pStyle w:val="ListBullet3"/>
            </w:pPr>
            <w:r w:rsidRPr="00B17C17">
              <w:t>Relevant standards and procedures</w:t>
            </w:r>
          </w:p>
          <w:p w:rsidR="00000000" w:rsidRPr="00B17C17" w:rsidP="00B17C17">
            <w:pPr>
              <w:pStyle w:val="ListBullet3"/>
            </w:pPr>
            <w:r w:rsidRPr="00B17C17">
              <w:t>Completion of work procedures</w:t>
            </w:r>
          </w:p>
          <w:p w:rsidR="00000000" w:rsidP="00B17C17">
            <w:pPr>
              <w:pStyle w:val="ListBullet3"/>
              <w:rPr>
                <w:lang w:val="en-NZ"/>
              </w:rPr>
            </w:pPr>
            <w:r w:rsidRPr="00B17C17">
              <w:t>Dealing with an unplanned event by drawing on Essential Knowledge and Skills to provide appropriate solutions incorporated in the holistic assessment wi</w:t>
            </w:r>
            <w:r w:rsidRPr="00B17C17">
              <w:t>th the above listed items.</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3</w:t>
            </w:r>
            <w:r w:rsidRPr="00B17C17">
              <w:t xml:space="preserve">) </w:t>
            </w:r>
          </w:p>
          <w:p w:rsidR="00000000" w:rsidRPr="00B17C17" w:rsidP="00B17C17">
            <w:pPr>
              <w:pStyle w:val="BodyText"/>
            </w:pPr>
            <w:r w:rsidRPr="00B17C17">
              <w:t>This unit should be assessed as it relates to normal work practice using procedures, information and resources typical of a workplace. This should include:</w:t>
            </w:r>
          </w:p>
          <w:p w:rsidR="00000000" w:rsidRPr="00B17C17" w:rsidP="00B17C17">
            <w:pPr>
              <w:pStyle w:val="ListBullet"/>
            </w:pPr>
            <w:r w:rsidRPr="00B17C17">
              <w:t xml:space="preserve">OHS policy and </w:t>
            </w:r>
            <w:r w:rsidRPr="00B17C17">
              <w:t>work procedures and instructions.</w:t>
            </w:r>
          </w:p>
          <w:p w:rsidR="00000000" w:rsidRPr="00B17C17" w:rsidP="00B17C17">
            <w:pPr>
              <w:pStyle w:val="ListBullet"/>
            </w:pPr>
            <w:r w:rsidRPr="00B17C17">
              <w:t>Suitable work environment, facilities, equipment and materials to undertake actual work as prescribed by this competency standard unit.</w:t>
            </w:r>
          </w:p>
          <w:p w:rsidR="00000000" w:rsidRPr="00B17C17" w:rsidP="00B17C17">
            <w:pPr>
              <w:pStyle w:val="BodyText"/>
            </w:pPr>
            <w:r w:rsidRPr="00B17C17">
              <w:t>Competency Standards should be assessed in the workplace or simulated workplace and under the normal range of workplace conditions.</w:t>
            </w:r>
          </w:p>
          <w:p w:rsidR="00000000" w:rsidP="00B17C17">
            <w:pPr>
              <w:pStyle w:val="BodyText"/>
              <w:rPr>
                <w:lang w:val="en-NZ"/>
              </w:rPr>
            </w:pPr>
            <w:r w:rsidRPr="00B17C17">
              <w:t>Assessment of this unit will be supported with documentary evidence, by means of endorsement stating type and application of</w:t>
            </w:r>
            <w:r w:rsidRPr="00B17C17">
              <w:t xml:space="preserve"> work.</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In addition to the resources listed above in Context of assessment', evidence should show competency working, in limited spaces, with different types of plant and equipment as well as different structural/construction types and method and in a va</w:t>
            </w:r>
            <w:r w:rsidRPr="00B17C17">
              <w:t>riety of environments.</w:t>
            </w:r>
          </w:p>
        </w:tc>
      </w:tr>
      <w:tr w:rsidTr="00CA58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4</w:t>
            </w:r>
            <w:r w:rsidRPr="00B17C17">
              <w:t xml:space="preserve">) </w:t>
            </w:r>
          </w:p>
          <w:p w:rsidR="00000000" w:rsidRPr="00B17C17" w:rsidP="00B17C17">
            <w:pPr>
              <w:pStyle w:val="BodyText"/>
            </w:pPr>
            <w:r w:rsidRPr="00B17C17">
              <w:t>This unit shall be assessed by methods given in Volume 1, Part 3 Assessment Guidelines.</w:t>
            </w:r>
          </w:p>
          <w:p w:rsidR="00000000" w:rsidP="00B17C17">
            <w:pPr>
              <w:pStyle w:val="BodyText"/>
              <w:rPr>
                <w:lang w:val="en-NZ"/>
              </w:rPr>
            </w:pPr>
            <w:r w:rsidRPr="00B17C17">
              <w:t>Note:</w:t>
            </w:r>
            <w:r w:rsidRPr="00B17C17">
              <w:br/>
              <w:t>Competent performance with inherent safe working practices is expected in the Industry to which this competenc</w:t>
            </w:r>
            <w:r w:rsidRPr="00B17C17">
              <w:t>y standard unit applies. This requires that the specified Essential Knowledge and Associated Skills are assessed in a structured environment which is primarily intended for learning/assessment and incorporates all necessary equipment and facilities for lea</w:t>
            </w:r>
            <w:r w:rsidRPr="00B17C17">
              <w:t>rners to develop and demonstrate the Essential Knowledge and Skills described in this unit.</w:t>
            </w:r>
          </w:p>
        </w:tc>
      </w:tr>
      <w:tr w:rsidTr="00CA58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8</w:t>
            </w:r>
            <w:r w:rsidRPr="00B17C17">
              <w:t>.</w:t>
            </w:r>
            <w:r w:rsidRPr="00B17C17">
              <w:rPr>
                <w:rStyle w:val="SpecialBold"/>
              </w:rPr>
              <w:t>5</w:t>
            </w:r>
            <w:r w:rsidRPr="00B17C17">
              <w:t xml:space="preserve">) </w:t>
            </w:r>
          </w:p>
        </w:tc>
      </w:tr>
      <w:tr w:rsidTr="00CA58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There are no recommended concurrent assessments with this unit, however in some cases efficiencies may be gained in terms of learning and assessment effort being concurrently managed with allied competency standard units where listed.</w:t>
            </w:r>
          </w:p>
        </w:tc>
      </w:tr>
      <w:tr w:rsidTr="00CA58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Nil</w:t>
            </w:r>
          </w:p>
        </w:tc>
        <w:tc>
          <w:tcPr>
            <w:tcW w:w="4680" w:type="dxa"/>
            <w:tcBorders>
              <w:top w:val="nil"/>
              <w:left w:val="nil"/>
              <w:bottom w:val="nil"/>
              <w:right w:val="nil"/>
            </w:tcBorders>
            <w:tcMar>
              <w:top w:w="0" w:type="dxa"/>
              <w:left w:w="62" w:type="dxa"/>
              <w:bottom w:w="0" w:type="dxa"/>
              <w:right w:w="62" w:type="dxa"/>
            </w:tcMar>
          </w:tcPr>
          <w:p w:rsidR="00000000" w:rsidRPr="00B17C17" w:rsidP="00B17C17">
            <w:pPr>
              <w:pStyle w:val="BodyText"/>
            </w:pPr>
          </w:p>
        </w:tc>
      </w:tr>
    </w:tbl>
    <w:p w:rsidR="00000000" w:rsidRPr="00B17C17" w:rsidP="00B17C17">
      <w:pPr>
        <w:pStyle w:val="BodyText"/>
      </w:pPr>
    </w:p>
    <w:tbl>
      <w:tblPr>
        <w:tblW w:w="0" w:type="auto"/>
        <w:tblLayout w:type="fixed"/>
        <w:tblCellMar>
          <w:left w:w="62" w:type="dxa"/>
          <w:right w:w="62" w:type="dxa"/>
        </w:tblCellMar>
        <w:tblLook w:val="0000"/>
      </w:tblPr>
      <w:tblGrid>
        <w:gridCol w:w="326"/>
        <w:gridCol w:w="1834"/>
        <w:gridCol w:w="4737"/>
        <w:gridCol w:w="1563"/>
      </w:tblGrid>
      <w:tr w:rsidTr="00CA58E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17C17" w:rsidP="00B17C17">
            <w:pPr>
              <w:pStyle w:val="BodyText"/>
            </w:pPr>
            <w:r w:rsidRPr="00B17C1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6</w:t>
            </w:r>
            <w:r w:rsidRPr="00B17C17">
              <w:t xml:space="preserve">) </w:t>
            </w:r>
          </w:p>
          <w:p w:rsidR="00000000" w:rsidP="00B17C17">
            <w:pPr>
              <w:pStyle w:val="BodyText"/>
              <w:rPr>
                <w:lang w:val="en-NZ"/>
              </w:rPr>
            </w:pPr>
            <w:r w:rsidRPr="00B17C17">
              <w:t>Evidence that particular key competencies have been achieved within this competency standard unit is in the context of the following Performance Criteria of evidence. See Volume 2, Part 4 for an explanation of Key competencies and l</w:t>
            </w:r>
            <w:r w:rsidRPr="00B17C17">
              <w:t>evels of this Training Package.</w:t>
            </w:r>
          </w:p>
        </w:tc>
      </w:tr>
      <w:tr w:rsidTr="00CA58E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r w:rsidRPr="00B17C1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r w:rsidRPr="00B17C1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rPr>
                <w:rStyle w:val="SpecialBold"/>
              </w:rPr>
              <w:t>Performance Level</w:t>
            </w: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p>
          <w:p w:rsidR="00000000" w:rsidP="00B17C17">
            <w:pPr>
              <w:pStyle w:val="BodyText"/>
              <w:rPr>
                <w:lang w:val="en-NZ"/>
              </w:rPr>
            </w:pPr>
            <w:r w:rsidRPr="00B17C17">
              <w:t>1</w:t>
            </w:r>
          </w:p>
        </w:tc>
      </w:tr>
      <w:tr w:rsidTr="00CA58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7C17">
            <w:pPr>
              <w:pStyle w:val="BodyText"/>
              <w:rPr>
                <w:lang w:val="en-NZ"/>
              </w:rPr>
            </w:pPr>
          </w:p>
        </w:tc>
      </w:tr>
      <w:tr w:rsidTr="00CA58E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17C17" w:rsidP="00B17C17">
            <w:pPr>
              <w:pStyle w:val="BodyText"/>
            </w:pPr>
            <w:r w:rsidRPr="00B17C1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17C17" w:rsidP="00B17C17">
            <w:pPr>
              <w:pStyle w:val="BodyText"/>
            </w:pPr>
            <w:r w:rsidRPr="00B17C17">
              <w:rPr>
                <w:rStyle w:val="SpecialBold"/>
              </w:rPr>
              <w:t>8</w:t>
            </w:r>
            <w:r w:rsidRPr="00B17C17">
              <w:t>.</w:t>
            </w:r>
            <w:r w:rsidRPr="00B17C17">
              <w:rPr>
                <w:rStyle w:val="SpecialBold"/>
              </w:rPr>
              <w:t>7</w:t>
            </w:r>
            <w:r w:rsidRPr="00B17C17">
              <w:t xml:space="preserve">) </w:t>
            </w:r>
          </w:p>
          <w:p w:rsidR="00000000" w:rsidP="00B17C17">
            <w:pPr>
              <w:pStyle w:val="BodyText"/>
              <w:rPr>
                <w:lang w:val="en-NZ"/>
              </w:rPr>
            </w:pPr>
            <w:r w:rsidRPr="00B17C17">
              <w:t xml:space="preserve">Evidence that competency in this unit incorporates skills enabling employment is in the context of the following performance. See Volume 2, Part 5 for definitions and an explanation of skills enabling employment. </w:t>
            </w:r>
          </w:p>
        </w:tc>
      </w:tr>
      <w:tr w:rsidTr="00CA58E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r w:rsidRPr="00B17C1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rPr>
                <w:rStyle w:val="SpecialBold"/>
              </w:rPr>
              <w:t>Example of Application</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Completion of tasks within an acceptable timeframe and performance under supervision.</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Recalling of knowledge and development of practical skills.</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Recognition that performance of a work task meets the accepted standard.</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Completion of work tasks to meet the team's goals.</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Achievement of work tasks in a timely manner which contributes to the team's objectives.</w:t>
            </w:r>
          </w:p>
        </w:tc>
      </w:tr>
      <w:tr w:rsidTr="00CA58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7">
            <w:pPr>
              <w:pStyle w:val="BodyText"/>
              <w:rPr>
                <w:lang w:val="en-NZ"/>
              </w:rPr>
            </w:pPr>
            <w:r w:rsidRPr="00B17C17">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C17">
            <w:pPr>
              <w:pStyle w:val="BodyText"/>
              <w:rPr>
                <w:lang w:val="en-NZ"/>
              </w:rPr>
            </w:pPr>
            <w:r w:rsidRPr="00B17C17">
              <w:t>Refer to the following example of application:</w:t>
            </w:r>
          </w:p>
        </w:tc>
      </w:tr>
      <w:tr w:rsidTr="00CA58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17C17" w:rsidP="00B17C17">
            <w:pPr>
              <w:pStyle w:val="BodyText"/>
            </w:pPr>
            <w:r w:rsidRPr="00B17C17">
              <w:t>Complete the assigned work task to meet timelines and to seek supervisor assistance as required.</w:t>
            </w:r>
          </w:p>
        </w:tc>
      </w:tr>
    </w:tbl>
    <w:p w:rsidR="00CA58E8" w:rsidP="00B17C17">
      <w:pPr>
        <w:pStyle w:val="BodyText"/>
      </w:pPr>
    </w:p>
    <w:p w:rsidR="00CA58E8" w:rsidP="00B17C17">
      <w:pPr>
        <w:pStyle w:val="BodyText"/>
      </w:pPr>
    </w:p>
    <w:p w:rsidR="00000000" w:rsidRPr="00B17C17" w:rsidP="00B17C17">
      <w:pPr>
        <w:pStyle w:val="Heading1"/>
      </w:pPr>
      <w:bookmarkStart w:id="11" w:name="O_255964"/>
      <w:bookmarkEnd w:id="11"/>
      <w:r w:rsidRPr="00B17C17">
        <w:t>Range Statement</w:t>
      </w:r>
    </w:p>
    <w:tbl>
      <w:tblPr>
        <w:tblW w:w="0" w:type="auto"/>
        <w:tblLayout w:type="fixed"/>
        <w:tblCellMar>
          <w:left w:w="62" w:type="dxa"/>
          <w:right w:w="62" w:type="dxa"/>
        </w:tblCellMar>
        <w:tblLook w:val="0000"/>
      </w:tblPr>
      <w:tblGrid>
        <w:gridCol w:w="8460"/>
      </w:tblGrid>
      <w:tr w:rsidTr="00CA58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7C17">
            <w:pPr>
              <w:pStyle w:val="ListBullet"/>
              <w:rPr>
                <w:lang w:val="en-NZ"/>
              </w:rPr>
            </w:pPr>
            <w:r w:rsidRPr="00B17C17">
              <w:rPr>
                <w:rStyle w:val="SpecialBold"/>
              </w:rPr>
              <w:t>RANGE STATEMENT</w:t>
            </w:r>
          </w:p>
        </w:tc>
      </w:tr>
      <w:tr w:rsidTr="00CA58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7</w:t>
            </w:r>
            <w:r w:rsidRPr="00B17C17">
              <w:t>) This relates to the competency standard unit as a whole providing the range of contexts and conditions to which the Performance Criteria apply. It allows for different work environments and situations that will affect performance.</w:t>
            </w:r>
          </w:p>
        </w:tc>
      </w:tr>
      <w:tr w:rsidTr="00CA58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Heating, cutting or gouging equipment may include, oxy acetylene, plasma, carbon arc, thermal lance.</w:t>
            </w:r>
          </w:p>
          <w:p w:rsidR="00000000" w:rsidRPr="00B17C17" w:rsidP="00B17C17">
            <w:pPr>
              <w:pStyle w:val="BodyText"/>
            </w:pPr>
            <w:r w:rsidRPr="00B17C17">
              <w:t>Materials may include, ferrous, non ferrous and non metallic of various thicknesses and types.</w:t>
            </w:r>
          </w:p>
          <w:p w:rsidR="00000000" w:rsidRPr="00B17C17" w:rsidP="00B17C17">
            <w:pPr>
              <w:pStyle w:val="BodyText"/>
            </w:pPr>
            <w:r w:rsidRPr="00B17C17">
              <w:t>Methods may include, manual or automatic methods for cutting</w:t>
            </w:r>
            <w:r w:rsidRPr="00B17C17">
              <w:t xml:space="preserve"> and heating, and may include hand held or self propelled straight line cutters. Heating methods may be by oxy-acetylene, oxy fuel gas, oxy-hydrogen etc.</w:t>
            </w:r>
          </w:p>
          <w:p w:rsidR="00000000" w:rsidRPr="00B17C17" w:rsidP="00B17C17">
            <w:pPr>
              <w:pStyle w:val="BodyText"/>
            </w:pPr>
            <w:r w:rsidRPr="00B17C17">
              <w:t>Maintenance may refer to repairing damaged leads, hand and earth pieces; cleaning and checks on portab</w:t>
            </w:r>
            <w:r w:rsidRPr="00B17C17">
              <w:t>le welders.</w:t>
            </w:r>
          </w:p>
          <w:p w:rsidR="00000000" w:rsidRPr="00B17C17" w:rsidP="00B17C17">
            <w:pPr>
              <w:pStyle w:val="BodyText"/>
            </w:pPr>
            <w:r w:rsidRPr="00B17C17">
              <w:t>Work completion details may include plant and maintenance records, job cards, check sheets, on device labelling updates, reporting and/or documenting equipment defects.</w:t>
            </w:r>
          </w:p>
          <w:p w:rsidR="00000000" w:rsidRPr="00B17C17" w:rsidP="00B17C17">
            <w:pPr>
              <w:pStyle w:val="BodyText"/>
            </w:pPr>
            <w:r w:rsidRPr="00B17C17">
              <w:t>Work site environment may be affected by nearby plant or processes, eg chem</w:t>
            </w:r>
            <w:r w:rsidRPr="00B17C17">
              <w:t>ical, heat, dust, noise, gas and oil.</w:t>
            </w:r>
          </w:p>
          <w:p w:rsidR="00000000" w:rsidRPr="00B17C17" w:rsidP="00B17C17">
            <w:pPr>
              <w:pStyle w:val="BodyText"/>
            </w:pPr>
            <w:r w:rsidRPr="00B17C17">
              <w:t>Generic terms are used throughout this Training Package for vocational standard shall be regarded as part of the Range Statement in which competency is demonstrated. The definition of these and other terms are given in</w:t>
            </w:r>
            <w:r w:rsidRPr="00B17C17">
              <w:t xml:space="preserve"> Volume 2, Part 1.</w:t>
            </w:r>
          </w:p>
        </w:tc>
      </w:tr>
    </w:tbl>
    <w:p w:rsidR="00CA58E8" w:rsidP="00B17C17">
      <w:pPr>
        <w:pStyle w:val="BodyText"/>
      </w:pPr>
    </w:p>
    <w:p w:rsidR="00CA58E8" w:rsidP="00B17C17">
      <w:pPr>
        <w:pStyle w:val="BodyText"/>
      </w:pPr>
    </w:p>
    <w:p w:rsidR="00000000" w:rsidRPr="00B17C17" w:rsidP="00B17C17">
      <w:pPr>
        <w:pStyle w:val="Heading1"/>
      </w:pPr>
      <w:bookmarkStart w:id="12" w:name="O_296977"/>
      <w:bookmarkEnd w:id="12"/>
      <w:r w:rsidRPr="00B17C17">
        <w:t>Unit Sector(s)</w:t>
      </w:r>
    </w:p>
    <w:p w:rsidR="00000000" w:rsidRPr="00B17C17" w:rsidP="00B17C17">
      <w:pPr>
        <w:pStyle w:val="BodyText"/>
      </w:pPr>
      <w:r w:rsidRPr="00B17C17">
        <w:t>Not Applicable</w:t>
      </w:r>
    </w:p>
    <w:p w:rsidR="00000000" w:rsidRPr="00B17C17" w:rsidP="00B17C17">
      <w:pPr>
        <w:pStyle w:val="AllowPageBreak"/>
      </w:pPr>
    </w:p>
    <w:p w:rsidR="00000000" w:rsidRPr="00B17C17" w:rsidP="00B17C17">
      <w:pPr>
        <w:pStyle w:val="Heading1"/>
      </w:pPr>
      <w:bookmarkStart w:id="13" w:name="O_230390"/>
      <w:bookmarkEnd w:id="13"/>
      <w:r w:rsidRPr="00B17C1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A58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2</w:t>
            </w:r>
            <w:r w:rsidRPr="00B17C17">
              <w:t>.</w:t>
            </w:r>
            <w:r w:rsidRPr="00B17C17">
              <w:rPr>
                <w:rStyle w:val="SpecialBold"/>
              </w:rPr>
              <w:t>2</w:t>
            </w:r>
            <w:r w:rsidRPr="00B17C17">
              <w:t xml:space="preserve">) </w:t>
            </w:r>
          </w:p>
          <w:p w:rsidR="00000000" w:rsidP="00B17C17">
            <w:pPr>
              <w:pStyle w:val="BodyText"/>
              <w:rPr>
                <w:lang w:val="en-NZ"/>
              </w:rPr>
            </w:pPr>
            <w:r w:rsidRPr="00B17C17">
              <w:t>Participants are best equipped to achieve this unit if they have reading, writing and numeracy skills indicated by the following scales. Description of each scale is given in Volume 2, Part 3 Literacy and Numeracy</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Reading</w:t>
            </w:r>
          </w:p>
        </w:tc>
        <w:tc>
          <w:tcPr>
            <w:tcW w:w="805"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w:t>
            </w:r>
          </w:p>
        </w:tc>
        <w:tc>
          <w:tcPr>
            <w:tcW w:w="1184"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Writing</w:t>
            </w:r>
          </w:p>
        </w:tc>
        <w:tc>
          <w:tcPr>
            <w:tcW w:w="805"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2</w:t>
            </w:r>
          </w:p>
        </w:tc>
        <w:tc>
          <w:tcPr>
            <w:tcW w:w="1172"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t>Numeracy</w:t>
            </w:r>
          </w:p>
        </w:tc>
        <w:tc>
          <w:tcPr>
            <w:tcW w:w="805"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2</w:t>
            </w:r>
          </w:p>
        </w:tc>
      </w:tr>
    </w:tbl>
    <w:p w:rsidR="00CA58E8" w:rsidP="00B17C17">
      <w:pPr>
        <w:pStyle w:val="BodyText"/>
      </w:pPr>
    </w:p>
    <w:p w:rsidR="00CA58E8" w:rsidP="00B17C17">
      <w:pPr>
        <w:pStyle w:val="BodyText"/>
      </w:pPr>
    </w:p>
    <w:p w:rsidR="00000000" w:rsidRPr="00B17C17" w:rsidP="00B17C17">
      <w:pPr>
        <w:pStyle w:val="Heading1"/>
      </w:pPr>
      <w:bookmarkStart w:id="14" w:name="O_230392"/>
      <w:bookmarkEnd w:id="14"/>
      <w:r w:rsidRPr="00B17C17">
        <w:t>Competency Field</w:t>
      </w:r>
    </w:p>
    <w:tbl>
      <w:tblPr>
        <w:tblW w:w="0" w:type="auto"/>
        <w:tblLayout w:type="fixed"/>
        <w:tblCellMar>
          <w:left w:w="62" w:type="dxa"/>
          <w:right w:w="62" w:type="dxa"/>
        </w:tblCellMar>
        <w:tblLook w:val="0000"/>
      </w:tblPr>
      <w:tblGrid>
        <w:gridCol w:w="2700"/>
        <w:gridCol w:w="5760"/>
      </w:tblGrid>
      <w:tr w:rsidTr="00CA58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7C17">
            <w:pPr>
              <w:pStyle w:val="BodyText"/>
              <w:rPr>
                <w:lang w:val="en-NZ"/>
              </w:rPr>
            </w:pPr>
            <w:r w:rsidRPr="00B17C17">
              <w:rPr>
                <w:rStyle w:val="SpecialBold"/>
              </w:rPr>
              <w:t>4</w:t>
            </w:r>
            <w:r w:rsidRPr="00B17C17">
              <w:t xml:space="preserve">) </w:t>
            </w:r>
          </w:p>
        </w:tc>
      </w:tr>
      <w:tr w:rsidTr="00CA58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7C17" w:rsidP="00B17C17">
            <w:pPr>
              <w:pStyle w:val="BodyText"/>
            </w:pPr>
            <w:r w:rsidRPr="00B17C17">
              <w:t>Operations.</w:t>
            </w:r>
          </w:p>
        </w:tc>
      </w:tr>
    </w:tbl>
    <w:p w:rsidR="00CA58E8" w:rsidP="00B17C17">
      <w:pPr>
        <w:pStyle w:val="BodyText"/>
      </w:pPr>
    </w:p>
    <w:p w:rsidR="00CA58E8" w:rsidP="00B17C17">
      <w:pPr>
        <w:pStyle w:val="BodyText"/>
      </w:pPr>
    </w:p>
    <w:p w:rsidR="00000000" w:rsidRPr="00B17C17" w:rsidP="00B17C17"/>
    <w:sectPr w:rsidSect="00B17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8E8" w:rsidP="00CA5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E8" w:rsidP="00B1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58E8" w:rsidP="00B17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58E8" w:rsidP="00B17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8E8" w:rsidP="00CA58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E8" w:rsidP="00B17C17">
    <w:pPr>
      <w:pStyle w:val="Header"/>
      <w:framePr w:wrap="around"/>
    </w:pPr>
    <w:r>
      <w:fldChar w:fldCharType="begin"/>
    </w:r>
    <w:r>
      <w:instrText xml:space="preserve"> TITLE   \* MERGEFORMAT </w:instrText>
    </w:r>
    <w:r>
      <w:fldChar w:fldCharType="separate"/>
    </w:r>
    <w:r>
      <w:t>UEPOPS236A Perform Manual Heating, Thermal Cutting and Gouging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8E8" w:rsidP="00B17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A6D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76A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C17"/>
    <w:pPr>
      <w:spacing w:before="360" w:after="60"/>
      <w:outlineLvl w:val="0"/>
    </w:pPr>
    <w:rPr>
      <w:sz w:val="32"/>
    </w:rPr>
  </w:style>
  <w:style w:type="paragraph" w:styleId="Heading2">
    <w:name w:val="heading 2"/>
    <w:basedOn w:val="HeadingBase"/>
    <w:next w:val="BodyText"/>
    <w:link w:val="Heading2Char"/>
    <w:qFormat/>
    <w:rsid w:val="00B17C17"/>
    <w:pPr>
      <w:keepLines/>
      <w:spacing w:before="240" w:after="120"/>
      <w:outlineLvl w:val="1"/>
    </w:pPr>
    <w:rPr>
      <w:sz w:val="28"/>
      <w:szCs w:val="40"/>
    </w:rPr>
  </w:style>
  <w:style w:type="paragraph" w:styleId="Heading3">
    <w:name w:val="heading 3"/>
    <w:basedOn w:val="HeadingBase"/>
    <w:next w:val="BodyText"/>
    <w:link w:val="Heading3Char"/>
    <w:qFormat/>
    <w:rsid w:val="00B17C17"/>
    <w:pPr>
      <w:spacing w:before="180" w:after="120"/>
      <w:outlineLvl w:val="2"/>
    </w:pPr>
    <w:rPr>
      <w:spacing w:val="-10"/>
      <w:kern w:val="32"/>
    </w:rPr>
  </w:style>
  <w:style w:type="paragraph" w:styleId="Heading4">
    <w:name w:val="heading 4"/>
    <w:basedOn w:val="HeadingBase"/>
    <w:next w:val="BodyText"/>
    <w:link w:val="Heading4Char"/>
    <w:qFormat/>
    <w:rsid w:val="00B17C17"/>
    <w:pPr>
      <w:spacing w:before="160" w:after="120"/>
      <w:outlineLvl w:val="3"/>
    </w:pPr>
    <w:rPr>
      <w:sz w:val="22"/>
    </w:rPr>
  </w:style>
  <w:style w:type="paragraph" w:styleId="Heading5">
    <w:name w:val="heading 5"/>
    <w:basedOn w:val="HeadingBase"/>
    <w:next w:val="Normal"/>
    <w:link w:val="Heading5Char"/>
    <w:qFormat/>
    <w:rsid w:val="00B17C17"/>
    <w:pPr>
      <w:spacing w:before="80"/>
      <w:outlineLvl w:val="4"/>
    </w:pPr>
    <w:rPr>
      <w:color w:val="918585"/>
      <w:sz w:val="20"/>
    </w:rPr>
  </w:style>
  <w:style w:type="paragraph" w:styleId="Heading6">
    <w:name w:val="heading 6"/>
    <w:basedOn w:val="HeadingBase"/>
    <w:next w:val="Normal"/>
    <w:link w:val="Heading6Char"/>
    <w:qFormat/>
    <w:rsid w:val="00B17C17"/>
    <w:pPr>
      <w:spacing w:before="60"/>
      <w:outlineLvl w:val="5"/>
    </w:pPr>
    <w:rPr>
      <w:color w:val="918585"/>
      <w:sz w:val="20"/>
    </w:rPr>
  </w:style>
  <w:style w:type="paragraph" w:styleId="Heading7">
    <w:name w:val="heading 7"/>
    <w:basedOn w:val="Normal"/>
    <w:next w:val="Normal"/>
    <w:link w:val="Heading7Char"/>
    <w:qFormat/>
    <w:rsid w:val="00B17C17"/>
    <w:pPr>
      <w:ind w:left="720"/>
      <w:outlineLvl w:val="6"/>
    </w:pPr>
    <w:rPr>
      <w:i/>
    </w:rPr>
  </w:style>
  <w:style w:type="paragraph" w:styleId="Heading8">
    <w:name w:val="heading 8"/>
    <w:basedOn w:val="Normal"/>
    <w:next w:val="Normal"/>
    <w:link w:val="Heading8Char"/>
    <w:qFormat/>
    <w:rsid w:val="00B17C17"/>
    <w:pPr>
      <w:ind w:left="720"/>
      <w:outlineLvl w:val="7"/>
    </w:pPr>
    <w:rPr>
      <w:i/>
    </w:rPr>
  </w:style>
  <w:style w:type="paragraph" w:styleId="Heading9">
    <w:name w:val="heading 9"/>
    <w:basedOn w:val="Normal"/>
    <w:next w:val="Normal"/>
    <w:link w:val="Heading9Char"/>
    <w:qFormat/>
    <w:rsid w:val="00B17C17"/>
    <w:pPr>
      <w:ind w:left="720"/>
      <w:outlineLvl w:val="8"/>
    </w:pPr>
    <w:rPr>
      <w:i/>
    </w:rPr>
  </w:style>
  <w:style w:type="character" w:default="1" w:styleId="DefaultParagraphFont">
    <w:name w:val="Default Paragraph Font"/>
    <w:uiPriority w:val="1"/>
    <w:unhideWhenUsed/>
    <w:rsid w:val="00B1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C17"/>
  </w:style>
  <w:style w:type="character" w:customStyle="1" w:styleId="Heading1Char">
    <w:name w:val="Heading 1 Char"/>
    <w:basedOn w:val="DefaultParagraphFont"/>
    <w:link w:val="Heading1"/>
    <w:rsid w:val="00B17C17"/>
    <w:rPr>
      <w:rFonts w:ascii="Times New Roman" w:eastAsia="Times New Roman" w:hAnsi="Times New Roman" w:cs="Times New Roman"/>
      <w:b/>
      <w:sz w:val="32"/>
      <w:szCs w:val="20"/>
      <w:lang w:eastAsia="en-US"/>
    </w:rPr>
  </w:style>
  <w:style w:type="paragraph" w:styleId="BodyText">
    <w:name w:val="Body Text"/>
    <w:basedOn w:val="Normal"/>
    <w:link w:val="BodyTextChar"/>
    <w:rsid w:val="00B17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C17"/>
    <w:rPr>
      <w:rFonts w:ascii="Times New Roman" w:eastAsia="Times New Roman" w:hAnsi="Times New Roman" w:cs="Times New Roman"/>
      <w:sz w:val="24"/>
      <w:lang w:val="en-US" w:eastAsia="en-US"/>
    </w:rPr>
  </w:style>
  <w:style w:type="paragraph" w:styleId="Footer">
    <w:name w:val="footer"/>
    <w:basedOn w:val="Normal"/>
    <w:link w:val="FooterChar"/>
    <w:rsid w:val="00B1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C17"/>
    <w:rPr>
      <w:rFonts w:ascii="Times New Roman" w:eastAsia="Times New Roman" w:hAnsi="Times New Roman" w:cs="Times New Roman"/>
      <w:sz w:val="16"/>
      <w:lang w:val="en-US" w:eastAsia="en-US"/>
    </w:rPr>
  </w:style>
  <w:style w:type="paragraph" w:styleId="ListBullet">
    <w:name w:val="List Bullet"/>
    <w:basedOn w:val="List"/>
    <w:rsid w:val="00B17C17"/>
    <w:pPr>
      <w:numPr>
        <w:numId w:val="13"/>
      </w:numPr>
      <w:tabs>
        <w:tab w:val="clear" w:pos="340"/>
      </w:tabs>
      <w:spacing w:before="40" w:after="40"/>
    </w:pPr>
  </w:style>
  <w:style w:type="character" w:customStyle="1" w:styleId="SpecialBold">
    <w:name w:val="Special Bold"/>
    <w:basedOn w:val="DefaultParagraphFont"/>
    <w:rsid w:val="00B17C17"/>
    <w:rPr>
      <w:b/>
      <w:spacing w:val="0"/>
    </w:rPr>
  </w:style>
  <w:style w:type="paragraph" w:styleId="Header">
    <w:name w:val="header"/>
    <w:basedOn w:val="Normal"/>
    <w:link w:val="HeaderChar"/>
    <w:rsid w:val="00B1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C17"/>
    <w:pPr>
      <w:spacing w:before="240" w:after="120"/>
      <w:outlineLvl w:val="0"/>
    </w:pPr>
    <w:rPr>
      <w:rFonts w:ascii="Times New Roman" w:hAnsi="Times New Roman"/>
      <w:b/>
      <w:sz w:val="28"/>
    </w:rPr>
  </w:style>
  <w:style w:type="paragraph" w:customStyle="1" w:styleId="AllowPageBreak">
    <w:name w:val="AllowPageBreak"/>
    <w:rsid w:val="00B17C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7C17"/>
    <w:pPr>
      <w:numPr>
        <w:numId w:val="2"/>
      </w:numPr>
      <w:tabs>
        <w:tab w:val="clear" w:pos="1021"/>
      </w:tabs>
      <w:ind w:left="1037" w:hanging="357"/>
    </w:pPr>
  </w:style>
  <w:style w:type="character" w:customStyle="1" w:styleId="Heading2Char">
    <w:name w:val="Heading 2 Char"/>
    <w:basedOn w:val="DefaultParagraphFont"/>
    <w:link w:val="Heading2"/>
    <w:rsid w:val="00B1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C17"/>
    <w:rPr>
      <w:rFonts w:ascii="Courier New" w:eastAsia="Times New Roman" w:hAnsi="Courier New" w:cs="Times New Roman"/>
      <w:i/>
      <w:szCs w:val="20"/>
      <w:lang w:val="en-US" w:eastAsia="en-US"/>
    </w:rPr>
  </w:style>
  <w:style w:type="paragraph" w:customStyle="1" w:styleId="HeadingBase">
    <w:name w:val="Heading Base"/>
    <w:rsid w:val="00B1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C17"/>
    <w:pPr>
      <w:tabs>
        <w:tab w:val="right" w:leader="dot" w:pos="9072"/>
      </w:tabs>
      <w:ind w:left="567"/>
    </w:pPr>
    <w:rPr>
      <w:szCs w:val="22"/>
    </w:rPr>
  </w:style>
  <w:style w:type="paragraph" w:customStyle="1" w:styleId="TOCBase">
    <w:name w:val="TOC Base"/>
    <w:rsid w:val="00B1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C17"/>
    <w:pPr>
      <w:tabs>
        <w:tab w:val="right" w:leader="dot" w:pos="9072"/>
      </w:tabs>
      <w:spacing w:before="40" w:after="40"/>
      <w:ind w:left="284"/>
    </w:pPr>
    <w:rPr>
      <w:rFonts w:ascii="Times New Roman" w:hAnsi="Times New Roman"/>
    </w:rPr>
  </w:style>
  <w:style w:type="paragraph" w:styleId="TOC1">
    <w:name w:val="toc 1"/>
    <w:basedOn w:val="TOCBase"/>
    <w:next w:val="Normal"/>
    <w:rsid w:val="00B17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C17"/>
    <w:pPr>
      <w:spacing w:before="5040"/>
      <w:jc w:val="center"/>
    </w:pPr>
    <w:rPr>
      <w:sz w:val="48"/>
      <w:szCs w:val="72"/>
      <w:lang w:val="en-US"/>
    </w:rPr>
  </w:style>
  <w:style w:type="character" w:customStyle="1" w:styleId="TitleChar">
    <w:name w:val="Title Char"/>
    <w:basedOn w:val="DefaultParagraphFont"/>
    <w:link w:val="Title"/>
    <w:rsid w:val="00B1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C17"/>
    <w:pPr>
      <w:tabs>
        <w:tab w:val="left" w:pos="3600"/>
        <w:tab w:val="left" w:pos="3958"/>
      </w:tabs>
    </w:pPr>
  </w:style>
  <w:style w:type="paragraph" w:styleId="List">
    <w:name w:val="List"/>
    <w:basedOn w:val="BodyText"/>
    <w:next w:val="BodyText"/>
    <w:rsid w:val="00B17C17"/>
    <w:pPr>
      <w:tabs>
        <w:tab w:val="left" w:pos="340"/>
      </w:tabs>
      <w:spacing w:before="60" w:after="60"/>
      <w:ind w:left="340" w:hanging="340"/>
    </w:pPr>
  </w:style>
  <w:style w:type="paragraph" w:customStyle="1" w:styleId="Note">
    <w:name w:val="Note"/>
    <w:basedOn w:val="BodyText"/>
    <w:rsid w:val="00B1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C17"/>
    <w:pPr>
      <w:framePr w:wrap="auto" w:hAnchor="text" w:y="6049"/>
    </w:pPr>
    <w:rPr>
      <w:color w:val="000000"/>
      <w:sz w:val="40"/>
    </w:rPr>
  </w:style>
  <w:style w:type="paragraph" w:customStyle="1" w:styleId="TOCTitle">
    <w:name w:val="TOCTitle"/>
    <w:basedOn w:val="Heading1"/>
    <w:rsid w:val="00B17C17"/>
    <w:pPr>
      <w:spacing w:after="240"/>
      <w:jc w:val="center"/>
      <w:outlineLvl w:val="9"/>
    </w:pPr>
    <w:rPr>
      <w:caps/>
    </w:rPr>
  </w:style>
  <w:style w:type="paragraph" w:customStyle="1" w:styleId="Version">
    <w:name w:val="Version"/>
    <w:rsid w:val="00B17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C17"/>
    <w:pPr>
      <w:numPr>
        <w:numId w:val="14"/>
      </w:numPr>
      <w:tabs>
        <w:tab w:val="clear" w:pos="680"/>
      </w:tabs>
    </w:pPr>
  </w:style>
  <w:style w:type="paragraph" w:styleId="Index1">
    <w:name w:val="index 1"/>
    <w:basedOn w:val="Normal"/>
    <w:next w:val="Normal"/>
    <w:semiHidden/>
    <w:rsid w:val="00B17C17"/>
    <w:pPr>
      <w:keepNext w:val="0"/>
      <w:tabs>
        <w:tab w:val="right" w:pos="4176"/>
      </w:tabs>
      <w:ind w:left="198" w:hanging="198"/>
    </w:pPr>
    <w:rPr>
      <w:rFonts w:ascii="Garamond" w:hAnsi="Garamond"/>
    </w:rPr>
  </w:style>
  <w:style w:type="paragraph" w:styleId="IndexHeading">
    <w:name w:val="index heading"/>
    <w:basedOn w:val="Normal"/>
    <w:next w:val="Index1"/>
    <w:semiHidden/>
    <w:rsid w:val="00B17C17"/>
    <w:pPr>
      <w:spacing w:before="120" w:after="120"/>
    </w:pPr>
    <w:rPr>
      <w:rFonts w:ascii="Arial" w:hAnsi="Arial"/>
      <w:b/>
      <w:color w:val="918585"/>
      <w:sz w:val="24"/>
    </w:rPr>
  </w:style>
  <w:style w:type="paragraph" w:customStyle="1" w:styleId="Chapter">
    <w:name w:val="Chapter"/>
    <w:basedOn w:val="Normal"/>
    <w:rsid w:val="00B17C17"/>
    <w:pPr>
      <w:spacing w:before="240"/>
    </w:pPr>
    <w:rPr>
      <w:rFonts w:ascii="Times New Roman" w:hAnsi="Times New Roman"/>
      <w:smallCaps/>
      <w:spacing w:val="80"/>
      <w:sz w:val="28"/>
    </w:rPr>
  </w:style>
  <w:style w:type="paragraph" w:customStyle="1" w:styleId="InChapter">
    <w:name w:val="InChapter"/>
    <w:basedOn w:val="Heading3"/>
    <w:rsid w:val="00B17C17"/>
    <w:pPr>
      <w:spacing w:after="240"/>
      <w:outlineLvl w:val="9"/>
    </w:pPr>
    <w:rPr>
      <w:noProof/>
    </w:rPr>
  </w:style>
  <w:style w:type="paragraph" w:styleId="Index2">
    <w:name w:val="index 2"/>
    <w:basedOn w:val="Normal"/>
    <w:next w:val="Normal"/>
    <w:semiHidden/>
    <w:rsid w:val="00B17C17"/>
    <w:pPr>
      <w:tabs>
        <w:tab w:val="right" w:pos="4176"/>
      </w:tabs>
      <w:ind w:left="568" w:hanging="284"/>
    </w:pPr>
    <w:rPr>
      <w:rFonts w:ascii="Garamond" w:hAnsi="Garamond"/>
    </w:rPr>
  </w:style>
  <w:style w:type="paragraph" w:customStyle="1" w:styleId="Byline">
    <w:name w:val="Byline"/>
    <w:rsid w:val="00B1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C17"/>
    <w:pPr>
      <w:tabs>
        <w:tab w:val="clear" w:pos="3600"/>
        <w:tab w:val="clear" w:pos="3958"/>
      </w:tabs>
      <w:jc w:val="right"/>
    </w:pPr>
  </w:style>
  <w:style w:type="character" w:styleId="Emphasis">
    <w:name w:val="Emphasis"/>
    <w:basedOn w:val="DefaultParagraphFont"/>
    <w:qFormat/>
    <w:rsid w:val="00B17C17"/>
    <w:rPr>
      <w:i/>
    </w:rPr>
  </w:style>
  <w:style w:type="paragraph" w:styleId="Caption">
    <w:name w:val="caption"/>
    <w:basedOn w:val="BodyText"/>
    <w:next w:val="Normal"/>
    <w:qFormat/>
    <w:rsid w:val="00B17C17"/>
    <w:pPr>
      <w:framePr w:w="2268" w:hSpace="181" w:vSpace="181" w:wrap="around" w:vAnchor="text" w:hAnchor="page" w:x="1135" w:y="285" w:anchorLock="1"/>
    </w:pPr>
    <w:rPr>
      <w:i/>
    </w:rPr>
  </w:style>
  <w:style w:type="paragraph" w:customStyle="1" w:styleId="MiniTOCTitle">
    <w:name w:val="MiniTOCTitle"/>
    <w:basedOn w:val="Heading4"/>
    <w:rsid w:val="00B17C17"/>
    <w:pPr>
      <w:spacing w:before="240"/>
      <w:outlineLvl w:val="9"/>
    </w:pPr>
    <w:rPr>
      <w:noProof/>
      <w:sz w:val="24"/>
    </w:rPr>
  </w:style>
  <w:style w:type="paragraph" w:customStyle="1" w:styleId="MiniTOCItem">
    <w:name w:val="MiniTOCItem"/>
    <w:basedOn w:val="ListBullet"/>
    <w:rsid w:val="00B17C17"/>
    <w:pPr>
      <w:numPr>
        <w:numId w:val="0"/>
      </w:numPr>
      <w:tabs>
        <w:tab w:val="right" w:leader="dot" w:pos="6521"/>
      </w:tabs>
      <w:spacing w:before="0" w:after="0"/>
    </w:pPr>
  </w:style>
  <w:style w:type="paragraph" w:customStyle="1" w:styleId="TOFTitle">
    <w:name w:val="TOFTitle"/>
    <w:basedOn w:val="TOCTitle"/>
    <w:rsid w:val="00B17C17"/>
  </w:style>
  <w:style w:type="paragraph" w:styleId="TableofFigures">
    <w:name w:val="table of figures"/>
    <w:basedOn w:val="Normal"/>
    <w:next w:val="Normal"/>
    <w:semiHidden/>
    <w:rsid w:val="00B17C17"/>
    <w:pPr>
      <w:tabs>
        <w:tab w:val="right" w:leader="dot" w:pos="9072"/>
      </w:tabs>
      <w:ind w:left="970" w:hanging="403"/>
    </w:pPr>
    <w:rPr>
      <w:rFonts w:ascii="Times New Roman" w:hAnsi="Times New Roman"/>
      <w:b/>
    </w:rPr>
  </w:style>
  <w:style w:type="paragraph" w:styleId="ListNumber">
    <w:name w:val="List Number"/>
    <w:basedOn w:val="List"/>
    <w:rsid w:val="00B17C17"/>
    <w:pPr>
      <w:numPr>
        <w:numId w:val="11"/>
      </w:numPr>
    </w:pPr>
  </w:style>
  <w:style w:type="character" w:customStyle="1" w:styleId="WingdingSymbols">
    <w:name w:val="Wingding Symbols"/>
    <w:rsid w:val="00B17C17"/>
    <w:rPr>
      <w:rFonts w:ascii="Wingdings" w:hAnsi="Wingdings"/>
    </w:rPr>
  </w:style>
  <w:style w:type="paragraph" w:customStyle="1" w:styleId="TableHeading">
    <w:name w:val="Table Heading"/>
    <w:basedOn w:val="HeadingBase"/>
    <w:rsid w:val="00B17C17"/>
    <w:pPr>
      <w:keepLines/>
      <w:pBdr>
        <w:bottom w:val="single" w:sz="6" w:space="1" w:color="918585"/>
      </w:pBdr>
      <w:spacing w:before="240"/>
    </w:pPr>
  </w:style>
  <w:style w:type="character" w:customStyle="1" w:styleId="HotSpot">
    <w:name w:val="HotSpot"/>
    <w:rsid w:val="00B17C17"/>
    <w:rPr>
      <w:color w:val="0033CC"/>
      <w:u w:val="none"/>
    </w:rPr>
  </w:style>
  <w:style w:type="paragraph" w:customStyle="1" w:styleId="BodyTextRight">
    <w:name w:val="Body Text Right"/>
    <w:basedOn w:val="BodyText"/>
    <w:rsid w:val="00B17C17"/>
    <w:pPr>
      <w:spacing w:before="0" w:after="0"/>
      <w:jc w:val="right"/>
    </w:pPr>
  </w:style>
  <w:style w:type="paragraph" w:styleId="Index3">
    <w:name w:val="index 3"/>
    <w:basedOn w:val="ListNumber2"/>
    <w:next w:val="Normal"/>
    <w:semiHidden/>
    <w:rsid w:val="00B17C17"/>
    <w:pPr>
      <w:numPr>
        <w:numId w:val="0"/>
      </w:numPr>
      <w:tabs>
        <w:tab w:val="right" w:leader="dot" w:pos="4176"/>
      </w:tabs>
    </w:pPr>
  </w:style>
  <w:style w:type="paragraph" w:styleId="ListNumber2">
    <w:name w:val="List Number 2"/>
    <w:basedOn w:val="List2"/>
    <w:rsid w:val="00B17C17"/>
    <w:pPr>
      <w:numPr>
        <w:numId w:val="10"/>
      </w:numPr>
      <w:tabs>
        <w:tab w:val="clear" w:pos="1060"/>
      </w:tabs>
    </w:pPr>
  </w:style>
  <w:style w:type="paragraph" w:customStyle="1" w:styleId="MarginNote">
    <w:name w:val="Margin Note"/>
    <w:basedOn w:val="BodyText"/>
    <w:rsid w:val="00B1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C17"/>
    <w:rPr>
      <w:sz w:val="32"/>
    </w:rPr>
  </w:style>
  <w:style w:type="paragraph" w:customStyle="1" w:styleId="HeadingProcedure">
    <w:name w:val="Heading Procedure"/>
    <w:basedOn w:val="HeadingBase"/>
    <w:next w:val="Normal"/>
    <w:rsid w:val="00B17C17"/>
    <w:pPr>
      <w:tabs>
        <w:tab w:val="left" w:pos="0"/>
      </w:tabs>
      <w:spacing w:before="120" w:after="60"/>
    </w:pPr>
    <w:rPr>
      <w:i/>
      <w:color w:val="918585"/>
      <w:sz w:val="22"/>
    </w:rPr>
  </w:style>
  <w:style w:type="paragraph" w:customStyle="1" w:styleId="TableBodyText">
    <w:name w:val="Table Body Text"/>
    <w:basedOn w:val="BodyText"/>
    <w:rsid w:val="00B17C17"/>
    <w:pPr>
      <w:spacing w:before="60" w:after="60"/>
    </w:pPr>
  </w:style>
  <w:style w:type="paragraph" w:styleId="ListContinue">
    <w:name w:val="List Continue"/>
    <w:basedOn w:val="List"/>
    <w:rsid w:val="00B17C17"/>
    <w:pPr>
      <w:ind w:firstLine="0"/>
    </w:pPr>
  </w:style>
  <w:style w:type="paragraph" w:customStyle="1" w:styleId="ListNote">
    <w:name w:val="List Note"/>
    <w:basedOn w:val="List"/>
    <w:rsid w:val="00B17C17"/>
    <w:pPr>
      <w:pBdr>
        <w:top w:val="single" w:sz="6" w:space="2" w:color="918585"/>
        <w:bottom w:val="single" w:sz="6" w:space="2" w:color="918585"/>
      </w:pBdr>
      <w:tabs>
        <w:tab w:val="left" w:pos="1021"/>
      </w:tabs>
      <w:ind w:firstLine="0"/>
    </w:pPr>
  </w:style>
  <w:style w:type="paragraph" w:customStyle="1" w:styleId="Warning">
    <w:name w:val="Warning"/>
    <w:basedOn w:val="BodyText"/>
    <w:rsid w:val="00B17C17"/>
    <w:pPr>
      <w:shd w:val="clear" w:color="auto" w:fill="D9D9D9"/>
      <w:tabs>
        <w:tab w:val="left" w:pos="992"/>
      </w:tabs>
      <w:ind w:left="119" w:right="119"/>
    </w:pPr>
    <w:rPr>
      <w:sz w:val="20"/>
    </w:rPr>
  </w:style>
  <w:style w:type="paragraph" w:customStyle="1" w:styleId="MarginIcons">
    <w:name w:val="Margin Icons"/>
    <w:basedOn w:val="BodyText"/>
    <w:rsid w:val="00B1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C17"/>
    <w:rPr>
      <w:rFonts w:ascii="Courier New" w:hAnsi="Courier New"/>
    </w:rPr>
  </w:style>
  <w:style w:type="paragraph" w:customStyle="1" w:styleId="NoteBullet">
    <w:name w:val="Note Bullet"/>
    <w:basedOn w:val="Note"/>
    <w:rsid w:val="00B17C17"/>
    <w:pPr>
      <w:tabs>
        <w:tab w:val="clear" w:pos="680"/>
      </w:tabs>
      <w:spacing w:before="60" w:after="60"/>
    </w:pPr>
  </w:style>
  <w:style w:type="paragraph" w:customStyle="1" w:styleId="SubHeading2">
    <w:name w:val="SubHeading2"/>
    <w:basedOn w:val="HeadingBase"/>
    <w:rsid w:val="00B17C17"/>
    <w:pPr>
      <w:spacing w:before="240" w:after="60"/>
    </w:pPr>
    <w:rPr>
      <w:sz w:val="20"/>
    </w:rPr>
  </w:style>
  <w:style w:type="paragraph" w:customStyle="1" w:styleId="SubHeading1">
    <w:name w:val="SubHeading1"/>
    <w:basedOn w:val="HeadingBase"/>
    <w:rsid w:val="00B17C17"/>
    <w:pPr>
      <w:spacing w:before="240" w:after="60"/>
    </w:pPr>
    <w:rPr>
      <w:color w:val="918585"/>
      <w:sz w:val="22"/>
    </w:rPr>
  </w:style>
  <w:style w:type="paragraph" w:customStyle="1" w:styleId="SideHeading">
    <w:name w:val="Side Heading"/>
    <w:basedOn w:val="HeadingBase"/>
    <w:rsid w:val="00B1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C17"/>
    <w:pPr>
      <w:numPr>
        <w:numId w:val="12"/>
      </w:numPr>
    </w:pPr>
  </w:style>
  <w:style w:type="paragraph" w:styleId="PlainText">
    <w:name w:val="Plain Text"/>
    <w:basedOn w:val="Normal"/>
    <w:link w:val="PlainTextChar"/>
    <w:rsid w:val="00B17C17"/>
    <w:rPr>
      <w:sz w:val="20"/>
    </w:rPr>
  </w:style>
  <w:style w:type="character" w:customStyle="1" w:styleId="PlainTextChar">
    <w:name w:val="Plain Text Char"/>
    <w:basedOn w:val="DefaultParagraphFont"/>
    <w:link w:val="PlainText"/>
    <w:rsid w:val="00B17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C17"/>
    <w:rPr>
      <w:b/>
      <w:smallCaps/>
    </w:rPr>
  </w:style>
  <w:style w:type="paragraph" w:customStyle="1" w:styleId="TableListNumber">
    <w:name w:val="Table List Number"/>
    <w:basedOn w:val="ListNumber"/>
    <w:rsid w:val="00B17C17"/>
    <w:pPr>
      <w:numPr>
        <w:numId w:val="0"/>
      </w:numPr>
    </w:pPr>
  </w:style>
  <w:style w:type="paragraph" w:styleId="TOC4">
    <w:name w:val="toc 4"/>
    <w:basedOn w:val="TOCBase"/>
    <w:next w:val="Normal"/>
    <w:semiHidden/>
    <w:rsid w:val="00B17C17"/>
    <w:pPr>
      <w:tabs>
        <w:tab w:val="right" w:leader="dot" w:pos="9071"/>
      </w:tabs>
      <w:ind w:left="1701"/>
    </w:pPr>
  </w:style>
  <w:style w:type="paragraph" w:customStyle="1" w:styleId="ListAlpha">
    <w:name w:val="List Alpha"/>
    <w:basedOn w:val="List"/>
    <w:rsid w:val="00B17C17"/>
    <w:pPr>
      <w:numPr>
        <w:numId w:val="9"/>
      </w:numPr>
    </w:pPr>
  </w:style>
  <w:style w:type="paragraph" w:customStyle="1" w:styleId="ListAlpha2">
    <w:name w:val="List Alpha 2"/>
    <w:basedOn w:val="List2"/>
    <w:rsid w:val="00B17C17"/>
    <w:pPr>
      <w:numPr>
        <w:numId w:val="8"/>
      </w:numPr>
    </w:pPr>
  </w:style>
  <w:style w:type="paragraph" w:styleId="List2">
    <w:name w:val="List 2"/>
    <w:basedOn w:val="BodyText"/>
    <w:rsid w:val="00B17C17"/>
    <w:pPr>
      <w:tabs>
        <w:tab w:val="left" w:pos="680"/>
      </w:tabs>
      <w:spacing w:before="60" w:after="60"/>
      <w:ind w:left="680" w:hanging="340"/>
    </w:pPr>
  </w:style>
  <w:style w:type="paragraph" w:styleId="List3">
    <w:name w:val="List 3"/>
    <w:basedOn w:val="BodyText"/>
    <w:rsid w:val="00B17C17"/>
    <w:pPr>
      <w:tabs>
        <w:tab w:val="left" w:pos="1021"/>
      </w:tabs>
      <w:spacing w:before="60" w:after="60"/>
      <w:ind w:left="1020" w:hanging="340"/>
    </w:pPr>
  </w:style>
  <w:style w:type="paragraph" w:styleId="List4">
    <w:name w:val="List 4"/>
    <w:basedOn w:val="BodyText"/>
    <w:rsid w:val="00B17C17"/>
    <w:pPr>
      <w:tabs>
        <w:tab w:val="left" w:pos="1361"/>
      </w:tabs>
      <w:spacing w:before="60" w:after="60"/>
      <w:ind w:left="1361" w:hanging="340"/>
    </w:pPr>
  </w:style>
  <w:style w:type="paragraph" w:styleId="List5">
    <w:name w:val="List 5"/>
    <w:basedOn w:val="BodyText"/>
    <w:rsid w:val="00B17C17"/>
    <w:pPr>
      <w:tabs>
        <w:tab w:val="left" w:pos="1701"/>
      </w:tabs>
      <w:spacing w:before="60" w:after="60"/>
      <w:ind w:left="1701" w:hanging="340"/>
    </w:pPr>
  </w:style>
  <w:style w:type="paragraph" w:styleId="ListBullet4">
    <w:name w:val="List Bullet 4"/>
    <w:basedOn w:val="List4"/>
    <w:rsid w:val="00B17C17"/>
    <w:pPr>
      <w:numPr>
        <w:numId w:val="3"/>
      </w:numPr>
    </w:pPr>
  </w:style>
  <w:style w:type="paragraph" w:styleId="ListBullet5">
    <w:name w:val="List Bullet 5"/>
    <w:basedOn w:val="List5"/>
    <w:rsid w:val="00B17C17"/>
    <w:pPr>
      <w:numPr>
        <w:numId w:val="4"/>
      </w:numPr>
    </w:pPr>
  </w:style>
  <w:style w:type="paragraph" w:styleId="ListContinue2">
    <w:name w:val="List Continue 2"/>
    <w:basedOn w:val="List2"/>
    <w:rsid w:val="00B17C17"/>
    <w:pPr>
      <w:ind w:firstLine="0"/>
    </w:pPr>
  </w:style>
  <w:style w:type="paragraph" w:styleId="ListContinue3">
    <w:name w:val="List Continue 3"/>
    <w:basedOn w:val="List3"/>
    <w:rsid w:val="00B17C17"/>
    <w:pPr>
      <w:ind w:left="1021" w:firstLine="0"/>
    </w:pPr>
  </w:style>
  <w:style w:type="paragraph" w:styleId="ListContinue4">
    <w:name w:val="List Continue 4"/>
    <w:basedOn w:val="List4"/>
    <w:rsid w:val="00B17C17"/>
    <w:pPr>
      <w:ind w:firstLine="0"/>
    </w:pPr>
  </w:style>
  <w:style w:type="paragraph" w:styleId="ListContinue5">
    <w:name w:val="List Continue 5"/>
    <w:basedOn w:val="List5"/>
    <w:rsid w:val="00B17C17"/>
    <w:pPr>
      <w:ind w:firstLine="0"/>
    </w:pPr>
  </w:style>
  <w:style w:type="paragraph" w:styleId="ListNumber3">
    <w:name w:val="List Number 3"/>
    <w:basedOn w:val="List3"/>
    <w:rsid w:val="00B17C17"/>
    <w:pPr>
      <w:numPr>
        <w:numId w:val="5"/>
      </w:numPr>
    </w:pPr>
  </w:style>
  <w:style w:type="paragraph" w:styleId="ListNumber4">
    <w:name w:val="List Number 4"/>
    <w:basedOn w:val="List4"/>
    <w:rsid w:val="00B17C17"/>
    <w:pPr>
      <w:numPr>
        <w:numId w:val="6"/>
      </w:numPr>
    </w:pPr>
  </w:style>
  <w:style w:type="paragraph" w:styleId="ListNumber5">
    <w:name w:val="List Number 5"/>
    <w:basedOn w:val="List5"/>
    <w:rsid w:val="00B17C17"/>
    <w:pPr>
      <w:numPr>
        <w:numId w:val="7"/>
      </w:numPr>
    </w:pPr>
  </w:style>
  <w:style w:type="paragraph" w:styleId="BlockText">
    <w:name w:val="Block Text"/>
    <w:basedOn w:val="Normal"/>
    <w:rsid w:val="00B17C17"/>
    <w:pPr>
      <w:spacing w:after="120"/>
      <w:ind w:left="1440" w:right="1440"/>
    </w:pPr>
  </w:style>
  <w:style w:type="character" w:customStyle="1" w:styleId="Subscript">
    <w:name w:val="Subscript"/>
    <w:basedOn w:val="DefaultParagraphFont"/>
    <w:rsid w:val="00B17C17"/>
    <w:rPr>
      <w:sz w:val="16"/>
      <w:vertAlign w:val="subscript"/>
    </w:rPr>
  </w:style>
  <w:style w:type="character" w:customStyle="1" w:styleId="Superscript">
    <w:name w:val="Superscript"/>
    <w:basedOn w:val="DefaultParagraphFont"/>
    <w:rsid w:val="00B17C17"/>
    <w:rPr>
      <w:sz w:val="16"/>
      <w:vertAlign w:val="superscript"/>
    </w:rPr>
  </w:style>
  <w:style w:type="character" w:customStyle="1" w:styleId="Symbols">
    <w:name w:val="Symbols"/>
    <w:basedOn w:val="DefaultParagraphFont"/>
    <w:rsid w:val="00B17C17"/>
    <w:rPr>
      <w:rFonts w:ascii="Symbol" w:hAnsi="Symbol"/>
    </w:rPr>
  </w:style>
  <w:style w:type="character" w:customStyle="1" w:styleId="MenuOptions">
    <w:name w:val="Menu Options"/>
    <w:basedOn w:val="DefaultParagraphFont"/>
    <w:rsid w:val="00B17C17"/>
    <w:rPr>
      <w:rFonts w:ascii="Arial Narrow" w:hAnsi="Arial Narrow"/>
      <w:smallCaps/>
    </w:rPr>
  </w:style>
  <w:style w:type="character" w:customStyle="1" w:styleId="Buttons">
    <w:name w:val="Buttons"/>
    <w:basedOn w:val="DefaultParagraphFont"/>
    <w:rsid w:val="00B17C17"/>
    <w:rPr>
      <w:b/>
    </w:rPr>
  </w:style>
  <w:style w:type="character" w:customStyle="1" w:styleId="Underlined">
    <w:name w:val="Underlined"/>
    <w:basedOn w:val="DefaultParagraphFont"/>
    <w:rsid w:val="00B17C17"/>
    <w:rPr>
      <w:u w:val="single"/>
    </w:rPr>
  </w:style>
  <w:style w:type="paragraph" w:customStyle="1" w:styleId="TableBodyTextRight">
    <w:name w:val="Table Body Text Right"/>
    <w:basedOn w:val="TableBodyText"/>
    <w:rsid w:val="00B17C17"/>
    <w:pPr>
      <w:widowControl w:val="0"/>
      <w:autoSpaceDE w:val="0"/>
      <w:autoSpaceDN w:val="0"/>
      <w:adjustRightInd w:val="0"/>
      <w:jc w:val="right"/>
    </w:pPr>
    <w:rPr>
      <w:rFonts w:cs="Arial"/>
      <w:szCs w:val="18"/>
    </w:rPr>
  </w:style>
  <w:style w:type="paragraph" w:customStyle="1" w:styleId="CopyrightText">
    <w:name w:val="Copyright Text"/>
    <w:basedOn w:val="BodyText"/>
    <w:rsid w:val="00B17C17"/>
    <w:rPr>
      <w:sz w:val="18"/>
    </w:rPr>
  </w:style>
  <w:style w:type="paragraph" w:customStyle="1" w:styleId="BodySmallRight">
    <w:name w:val="Body Small Right"/>
    <w:basedOn w:val="BodyTextRight"/>
    <w:rsid w:val="00B17C17"/>
    <w:rPr>
      <w:sz w:val="18"/>
      <w:szCs w:val="18"/>
    </w:rPr>
  </w:style>
  <w:style w:type="paragraph" w:customStyle="1" w:styleId="MarginEdition">
    <w:name w:val="Margin Edition"/>
    <w:basedOn w:val="MarginNote"/>
    <w:rsid w:val="00B17C17"/>
    <w:pPr>
      <w:spacing w:before="0" w:after="0"/>
    </w:pPr>
    <w:rPr>
      <w:rFonts w:ascii="Times New Roman" w:hAnsi="Times New Roman"/>
      <w:color w:val="999999"/>
    </w:rPr>
  </w:style>
  <w:style w:type="paragraph" w:customStyle="1" w:styleId="Spacer">
    <w:name w:val="Spacer"/>
    <w:basedOn w:val="Normal"/>
    <w:rsid w:val="00B17C17"/>
    <w:rPr>
      <w:sz w:val="2"/>
      <w:szCs w:val="2"/>
    </w:rPr>
  </w:style>
  <w:style w:type="character" w:customStyle="1" w:styleId="Small">
    <w:name w:val="Small"/>
    <w:basedOn w:val="DefaultParagraphFont"/>
    <w:rsid w:val="00B17C17"/>
    <w:rPr>
      <w:sz w:val="16"/>
    </w:rPr>
  </w:style>
  <w:style w:type="paragraph" w:customStyle="1" w:styleId="WideTable">
    <w:name w:val="Wide Table"/>
    <w:basedOn w:val="Normal"/>
    <w:rsid w:val="00B17C17"/>
    <w:pPr>
      <w:ind w:left="-1418"/>
    </w:pPr>
    <w:rPr>
      <w:sz w:val="2"/>
      <w:szCs w:val="2"/>
    </w:rPr>
  </w:style>
  <w:style w:type="character" w:styleId="PageNumber">
    <w:name w:val="page number"/>
    <w:basedOn w:val="DefaultParagraphFont"/>
    <w:rsid w:val="00B17C17"/>
  </w:style>
  <w:style w:type="paragraph" w:styleId="Quote">
    <w:name w:val="Quote"/>
    <w:basedOn w:val="Heading1"/>
    <w:link w:val="QuoteChar"/>
    <w:qFormat/>
    <w:rsid w:val="00B17C17"/>
    <w:rPr>
      <w:b w:val="0"/>
      <w:sz w:val="72"/>
      <w:szCs w:val="72"/>
      <w:lang w:val="en-NZ"/>
    </w:rPr>
  </w:style>
  <w:style w:type="character" w:customStyle="1" w:styleId="QuoteChar">
    <w:name w:val="Quote Char"/>
    <w:basedOn w:val="DefaultParagraphFont"/>
    <w:link w:val="Quote"/>
    <w:rsid w:val="00B1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C17"/>
    <w:pPr>
      <w:pageBreakBefore/>
    </w:pPr>
  </w:style>
  <w:style w:type="paragraph" w:customStyle="1" w:styleId="Border">
    <w:name w:val="Border"/>
    <w:basedOn w:val="Normal"/>
    <w:qFormat/>
    <w:rsid w:val="00B1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C17"/>
    <w:rPr>
      <w:b/>
      <w:bCs/>
      <w:i/>
      <w:iCs/>
      <w:color w:val="auto"/>
    </w:rPr>
  </w:style>
  <w:style w:type="paragraph" w:styleId="IntenseQuote">
    <w:name w:val="Intense Quote"/>
    <w:basedOn w:val="Normal"/>
    <w:next w:val="Normal"/>
    <w:link w:val="IntenseQuoteChar"/>
    <w:uiPriority w:val="30"/>
    <w:qFormat/>
    <w:rsid w:val="00B1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C17"/>
    <w:rPr>
      <w:smallCaps/>
      <w:color w:val="auto"/>
      <w:u w:val="single"/>
    </w:rPr>
  </w:style>
  <w:style w:type="character" w:styleId="IntenseReference">
    <w:name w:val="Intense Reference"/>
    <w:basedOn w:val="DefaultParagraphFont"/>
    <w:uiPriority w:val="32"/>
    <w:qFormat/>
    <w:rsid w:val="00B17C17"/>
    <w:rPr>
      <w:b/>
      <w:bCs/>
      <w:smallCaps/>
      <w:color w:val="auto"/>
      <w:spacing w:val="5"/>
      <w:u w:val="single"/>
    </w:rPr>
  </w:style>
  <w:style w:type="paragraph" w:customStyle="1" w:styleId="2ColumnHeading">
    <w:name w:val="2Column Heading"/>
    <w:basedOn w:val="BodyText"/>
    <w:qFormat/>
    <w:rsid w:val="00B17C17"/>
    <w:pPr>
      <w:spacing w:after="60"/>
      <w:ind w:left="-2268"/>
    </w:pPr>
    <w:rPr>
      <w:b/>
    </w:rPr>
  </w:style>
  <w:style w:type="paragraph" w:customStyle="1" w:styleId="Heading1TOC">
    <w:name w:val="Heading1 TOC"/>
    <w:basedOn w:val="Normal"/>
    <w:qFormat/>
    <w:rsid w:val="00B17C17"/>
    <w:pPr>
      <w:spacing w:before="240" w:after="120"/>
    </w:pPr>
    <w:rPr>
      <w:rFonts w:ascii="Times New Roman" w:hAnsi="Times New Roman"/>
      <w:b/>
      <w:sz w:val="32"/>
    </w:rPr>
  </w:style>
  <w:style w:type="paragraph" w:customStyle="1" w:styleId="Heading2TOC">
    <w:name w:val="Heading2 TOC"/>
    <w:basedOn w:val="Normal"/>
    <w:qFormat/>
    <w:rsid w:val="00B17C17"/>
    <w:pPr>
      <w:spacing w:before="240" w:after="60"/>
    </w:pPr>
    <w:rPr>
      <w:rFonts w:ascii="Times New Roman" w:hAnsi="Times New Roman"/>
      <w:b/>
      <w:sz w:val="28"/>
    </w:rPr>
  </w:style>
  <w:style w:type="character" w:customStyle="1" w:styleId="Underline">
    <w:name w:val="Underline"/>
    <w:basedOn w:val="DefaultParagraphFont"/>
    <w:qFormat/>
    <w:rsid w:val="00B17C17"/>
    <w:rPr>
      <w:u w:val="single"/>
    </w:rPr>
  </w:style>
  <w:style w:type="character" w:customStyle="1" w:styleId="BoldandItalics">
    <w:name w:val="Bold and Italics"/>
    <w:qFormat/>
    <w:rsid w:val="00B17C17"/>
    <w:rPr>
      <w:b/>
      <w:i/>
      <w:u w:val="none"/>
    </w:rPr>
  </w:style>
  <w:style w:type="paragraph" w:styleId="BalloonText">
    <w:name w:val="Balloon Text"/>
    <w:basedOn w:val="Normal"/>
    <w:link w:val="BalloonTextChar"/>
    <w:rsid w:val="00B17C17"/>
    <w:rPr>
      <w:rFonts w:ascii="Tahoma" w:hAnsi="Tahoma" w:cs="Tahoma"/>
      <w:sz w:val="16"/>
      <w:szCs w:val="16"/>
    </w:rPr>
  </w:style>
  <w:style w:type="character" w:customStyle="1" w:styleId="BalloonTextChar">
    <w:name w:val="Balloon Text Char"/>
    <w:basedOn w:val="DefaultParagraphFont"/>
    <w:link w:val="BalloonText"/>
    <w:rsid w:val="00B17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2319</Words>
  <Characters>13831</Characters>
  <Application>Microsoft Office Word</Application>
  <DocSecurity>0</DocSecurity>
  <Lines>576</Lines>
  <Paragraphs>231</Paragraphs>
  <ScaleCrop>false</ScaleCrop>
  <Company>Author-it Software Corporation Ltd.</Company>
  <LinksUpToDate>false</LinksUpToDate>
  <CharactersWithSpaces>15978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UEPOPS236A Perform Manual Heating, Thermal Cutting and Gouging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