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BE1" w:rsidP="00604BE1">
      <w:pPr>
        <w:pStyle w:val="Title"/>
      </w:pPr>
      <w:r>
        <w:fldChar w:fldCharType="begin"/>
      </w:r>
      <w:r>
        <w:instrText xml:space="preserve"> TITLE   \* MERGEFORMAT </w:instrText>
      </w:r>
      <w:r>
        <w:fldChar w:fldCharType="separate"/>
      </w:r>
      <w:r>
        <w:t>UEPMNT417A Inspect Electrical Generators and Diagnose Faults</w:t>
      </w:r>
      <w:r>
        <w:fldChar w:fldCharType="end"/>
      </w:r>
    </w:p>
    <w:p w:rsidR="00604BE1" w:rsidP="00604BE1">
      <w:pPr>
        <w:pStyle w:val="Version"/>
        <w:sectPr w:rsidSect="00235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3EC" w:rsidP="002353EC">
      <w:pPr>
        <w:pStyle w:val="SuperHeading"/>
      </w:pPr>
      <w:r w:rsidRPr="002353EC">
        <w:t>UEPMNT417A Inspect Electrical Generators and Diagnose Faults</w:t>
      </w:r>
    </w:p>
    <w:p w:rsidR="00000000" w:rsidRPr="002353EC" w:rsidP="002353EC">
      <w:pPr>
        <w:pStyle w:val="Heading1"/>
      </w:pPr>
      <w:bookmarkStart w:id="1" w:name="O_275227"/>
      <w:bookmarkEnd w:id="1"/>
      <w:r w:rsidRPr="002353EC">
        <w:t>Modification History</w:t>
      </w:r>
    </w:p>
    <w:p w:rsidR="00000000" w:rsidRPr="002353EC" w:rsidP="002353EC">
      <w:pPr>
        <w:pStyle w:val="BodyText"/>
      </w:pPr>
      <w:r w:rsidRPr="002353EC">
        <w:t>Not Applicable</w:t>
      </w:r>
    </w:p>
    <w:p w:rsidR="00000000" w:rsidRPr="002353EC" w:rsidP="002353EC">
      <w:pPr>
        <w:pStyle w:val="AllowPageBreak"/>
      </w:pPr>
    </w:p>
    <w:p w:rsidR="00000000" w:rsidRPr="002353EC" w:rsidP="002353EC">
      <w:pPr>
        <w:pStyle w:val="Heading1"/>
      </w:pPr>
      <w:bookmarkStart w:id="2" w:name="O_230106"/>
      <w:bookmarkEnd w:id="2"/>
      <w:r w:rsidRPr="002353EC">
        <w:t>Unit Descriptor</w:t>
      </w: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1</w:t>
            </w:r>
            <w:r w:rsidRPr="002353EC">
              <w:t xml:space="preserve">) </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This unit deals with the skills and knowledge required to conduct inspections and diagnose faults in electrical generating sets.</w:t>
            </w:r>
          </w:p>
        </w:tc>
      </w:tr>
    </w:tbl>
    <w:p w:rsidR="00604BE1" w:rsidP="002353EC">
      <w:pPr>
        <w:pStyle w:val="BodyText"/>
      </w:pPr>
    </w:p>
    <w:p w:rsidR="00604BE1" w:rsidP="002353EC">
      <w:pPr>
        <w:pStyle w:val="BodyText"/>
      </w:pPr>
    </w:p>
    <w:p w:rsidR="00000000" w:rsidRPr="002353EC" w:rsidP="002353EC">
      <w:pPr>
        <w:pStyle w:val="Heading1"/>
      </w:pPr>
      <w:bookmarkStart w:id="3" w:name="O_230109"/>
      <w:bookmarkEnd w:id="3"/>
      <w:r w:rsidRPr="002353EC">
        <w:t>Application of the Unit</w:t>
      </w: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3</w:t>
            </w:r>
            <w:r w:rsidRPr="002353EC">
              <w:t xml:space="preserve">) </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This unit is intended to augment formally acquired co</w:t>
            </w:r>
            <w:r w:rsidRPr="002353EC">
              <w:t>mpetencies.</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3</w:t>
            </w:r>
            <w:r w:rsidRPr="002353EC">
              <w:t>.</w:t>
            </w:r>
            <w:r w:rsidRPr="002353EC">
              <w:rPr>
                <w:rStyle w:val="SpecialBold"/>
              </w:rPr>
              <w:t>1</w:t>
            </w:r>
            <w:r w:rsidRPr="002353EC">
              <w:t xml:space="preserve">) </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The skills and knowledge described in this unit do not require a licence to practise in the workplace. However, practice in this unit is subject to regulations directly related to occupational health and safety.</w:t>
            </w:r>
          </w:p>
        </w:tc>
      </w:tr>
    </w:tbl>
    <w:p w:rsidR="00604BE1" w:rsidP="002353EC">
      <w:pPr>
        <w:pStyle w:val="BodyText"/>
      </w:pPr>
    </w:p>
    <w:p w:rsidR="00604BE1" w:rsidP="002353EC">
      <w:pPr>
        <w:pStyle w:val="BodyText"/>
      </w:pPr>
    </w:p>
    <w:p w:rsidR="00000000" w:rsidRPr="002353EC" w:rsidP="002353EC">
      <w:pPr>
        <w:pStyle w:val="Heading1"/>
      </w:pPr>
      <w:bookmarkStart w:id="4" w:name="O_282765"/>
      <w:bookmarkEnd w:id="4"/>
      <w:r w:rsidRPr="002353EC">
        <w:t>Licensing/Regulatory Information</w:t>
      </w:r>
    </w:p>
    <w:p w:rsidR="00000000" w:rsidRPr="002353EC" w:rsidP="002353EC">
      <w:pPr>
        <w:pStyle w:val="BodyText"/>
      </w:pPr>
      <w:r w:rsidRPr="002353EC">
        <w:t>Not Applicable</w:t>
      </w:r>
    </w:p>
    <w:p w:rsidR="00000000" w:rsidRPr="002353EC" w:rsidP="002353EC">
      <w:pPr>
        <w:pStyle w:val="AllowPageBreak"/>
      </w:pPr>
    </w:p>
    <w:p w:rsidR="00000000" w:rsidRPr="002353EC" w:rsidP="002353EC">
      <w:pPr>
        <w:pStyle w:val="Heading1"/>
      </w:pPr>
      <w:bookmarkStart w:id="5" w:name="O_230107"/>
      <w:bookmarkEnd w:id="5"/>
      <w:r w:rsidRPr="002353EC">
        <w:t>Pre-Requisites</w:t>
      </w: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Prerequisite Unit</w:t>
            </w:r>
            <w:r w:rsidRPr="002353EC">
              <w:t>(</w:t>
            </w:r>
            <w:r w:rsidRPr="002353EC">
              <w:rPr>
                <w:rStyle w:val="SpecialBold"/>
              </w:rPr>
              <w:t>s</w:t>
            </w:r>
            <w:r w:rsidRPr="002353EC">
              <w:t>)</w:t>
            </w: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2</w:t>
            </w:r>
            <w:r w:rsidRPr="002353EC">
              <w:t xml:space="preserve">) </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2</w:t>
            </w:r>
            <w:r w:rsidRPr="002353EC">
              <w:t>.</w:t>
            </w:r>
            <w:r w:rsidRPr="002353EC">
              <w:rPr>
                <w:rStyle w:val="SpecialBold"/>
              </w:rPr>
              <w:t>1</w:t>
            </w:r>
            <w:r w:rsidRPr="002353EC">
              <w:t xml:space="preserve">) </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There are no prerequisite units.</w:t>
            </w:r>
          </w:p>
        </w:tc>
      </w:tr>
    </w:tbl>
    <w:p w:rsidR="00604BE1" w:rsidP="002353EC">
      <w:pPr>
        <w:pStyle w:val="BodyText"/>
      </w:pPr>
    </w:p>
    <w:p w:rsidR="00604BE1" w:rsidP="002353EC">
      <w:pPr>
        <w:pStyle w:val="BodyText"/>
      </w:pPr>
    </w:p>
    <w:p w:rsidR="00000000" w:rsidRPr="002353EC" w:rsidP="002353EC">
      <w:pPr>
        <w:pStyle w:val="Heading1"/>
      </w:pPr>
      <w:bookmarkStart w:id="6" w:name="O_285476"/>
      <w:bookmarkEnd w:id="6"/>
      <w:r w:rsidRPr="002353EC">
        <w:t>Employability Skills Information</w:t>
      </w:r>
    </w:p>
    <w:p w:rsidR="00000000" w:rsidRPr="002353EC" w:rsidP="002353EC">
      <w:pPr>
        <w:pStyle w:val="BodyText"/>
      </w:pPr>
      <w:r w:rsidRPr="002353EC">
        <w:t>Refer to the Evidence Guide</w:t>
      </w:r>
    </w:p>
    <w:p w:rsidR="00000000" w:rsidRPr="002353EC" w:rsidP="002353EC">
      <w:pPr>
        <w:pStyle w:val="AllowPageBreak"/>
      </w:pPr>
    </w:p>
    <w:p w:rsidR="00000000" w:rsidRPr="002353EC" w:rsidP="002353EC">
      <w:pPr>
        <w:pStyle w:val="Heading1"/>
      </w:pPr>
      <w:bookmarkStart w:id="7" w:name="O_293273"/>
      <w:bookmarkEnd w:id="7"/>
      <w:r w:rsidRPr="002353EC">
        <w:t>Elements and Performance Criteria Pre-Content</w:t>
      </w: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5</w:t>
            </w:r>
            <w:r w:rsidRPr="002353E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Performance Criteria describe the required performance needed to demonstrate achievement o</w:t>
            </w:r>
            <w:r w:rsidRPr="002353EC">
              <w:t>f the element. Assessment of performance is to be consistent with the Evidence Guide.</w:t>
            </w:r>
          </w:p>
        </w:tc>
      </w:tr>
    </w:tbl>
    <w:p w:rsidR="00000000" w:rsidRPr="002353EC" w:rsidP="002353EC">
      <w:pPr>
        <w:pStyle w:val="BodyText"/>
      </w:pPr>
    </w:p>
    <w:p w:rsidR="00000000" w:rsidRPr="002353EC" w:rsidP="002353EC">
      <w:pPr>
        <w:pStyle w:val="AllowPageBreak"/>
      </w:pPr>
    </w:p>
    <w:p w:rsidR="00000000" w:rsidRPr="002353EC" w:rsidP="002353EC">
      <w:pPr>
        <w:pStyle w:val="Heading1"/>
      </w:pPr>
      <w:bookmarkStart w:id="8" w:name="O_239941"/>
      <w:bookmarkEnd w:id="8"/>
      <w:r w:rsidRPr="002353E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04B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PERFORMANCE CRITERIA</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w:t>
            </w:r>
          </w:p>
        </w:tc>
        <w:tc>
          <w:tcPr>
            <w:tcW w:w="2296" w:type="dxa"/>
            <w:vMerge w:val="restart"/>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1.1</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Maintenance and operating history is obtained</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1.2</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Occupational Health and Safety standards, statutory requirements, relevant Australian standards, codes of practice, manufacturers' specifications and enterprise procedures are identified, applied and monitored throughout the inspection procedure</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1.3</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The inspection is planned in detail including sequencing, prioritising and considerations are made where appropriate of relevant technical and engineering procedures.</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1.4</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Resources required to satisfy the plan are identified, obtained and inspected for</w:t>
            </w:r>
            <w:r w:rsidRPr="002353EC">
              <w:t xml:space="preserve"> compliance with the job specifications</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1.5</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Relevant plans, drawings and texts are selected and interpreted in accordance with the plan</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1.6</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Co-ordination requirements, including requests for isolations where appropriate, are resolved with others invo</w:t>
            </w:r>
            <w:r w:rsidRPr="002353EC">
              <w:t>lved, affected or required by the work</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1.7</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 xml:space="preserve">Potential hazards are identified and prevention and/or control measures are selected in </w:t>
            </w:r>
            <w:r w:rsidRPr="002353EC">
              <w:t>accordance with the inspection plan and site procedures</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1.8</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 xml:space="preserve">Where appropriate, the teams and individuals roles and responsibilities within the team are identified and, where required, assist in the provision of the on-the-job training </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2</w:t>
            </w:r>
          </w:p>
        </w:tc>
        <w:tc>
          <w:tcPr>
            <w:tcW w:w="2296" w:type="dxa"/>
            <w:vMerge w:val="restart"/>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Carry out generator inspection</w:t>
            </w: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2.1</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Required isolations are confirmed where ap</w:t>
            </w:r>
            <w:r w:rsidRPr="002353EC">
              <w:t>propriate in accordance with site requirements</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2.2</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Generator is inspected using appropriate manuals, drawings and texts in accordance with the plan</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2.3</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Generator is inspected in conjunction with others involved in, or affected by, the inspection plan</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2.4</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Any needs for additional tests/inspections required are defined</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2.5</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Inspection is carried out and permits relinquished in accordance with the plan</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3</w:t>
            </w:r>
          </w:p>
        </w:tc>
        <w:tc>
          <w:tcPr>
            <w:tcW w:w="2296" w:type="dxa"/>
            <w:vMerge w:val="restart"/>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Evaluate/analyse inspection results</w:t>
            </w: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3.1</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Test/inspection results and data are analysed</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3.2</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Conclusions drawn with reference to potential options</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3.3</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Specialist assistance is sought when required</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4</w:t>
            </w:r>
          </w:p>
        </w:tc>
        <w:tc>
          <w:tcPr>
            <w:tcW w:w="2296" w:type="dxa"/>
            <w:vMerge w:val="restart"/>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Prepare remedial action plan</w:t>
            </w: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4.1</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Action plan is prepared for any required remedial action</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4.2</w:t>
            </w:r>
          </w:p>
        </w:tc>
        <w:tc>
          <w:tcPr>
            <w:tcW w:w="48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Remedial action is followed up and checked for effectiveness</w:t>
            </w:r>
          </w:p>
        </w:tc>
      </w:tr>
      <w:tr w:rsidTr="00604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5</w:t>
            </w:r>
          </w:p>
        </w:tc>
        <w:tc>
          <w:tcPr>
            <w:tcW w:w="2296"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Update documentation</w:t>
            </w:r>
          </w:p>
        </w:tc>
        <w:tc>
          <w:tcPr>
            <w:tcW w:w="90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5.1</w:t>
            </w:r>
          </w:p>
        </w:tc>
        <w:tc>
          <w:tcPr>
            <w:tcW w:w="48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All relevant records and documentation are updated in accordance with statutory, industry and enterprise requirements</w:t>
            </w:r>
          </w:p>
        </w:tc>
      </w:tr>
    </w:tbl>
    <w:p w:rsidR="00604BE1" w:rsidP="002353EC">
      <w:pPr>
        <w:pStyle w:val="BodyText"/>
      </w:pPr>
    </w:p>
    <w:p w:rsidR="00604BE1" w:rsidP="002353EC">
      <w:pPr>
        <w:pStyle w:val="BodyText"/>
      </w:pPr>
    </w:p>
    <w:p w:rsidR="00000000" w:rsidRPr="002353EC" w:rsidP="002353EC">
      <w:pPr>
        <w:pStyle w:val="Heading1"/>
      </w:pPr>
      <w:bookmarkStart w:id="9" w:name="O_263732"/>
      <w:bookmarkEnd w:id="9"/>
      <w:r w:rsidRPr="002353EC">
        <w:t>Required Skills and Knowledge</w:t>
      </w: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REQUIRED SKILLS AND KNOWLEDGE</w:t>
            </w:r>
          </w:p>
        </w:tc>
      </w:tr>
      <w:tr w:rsidTr="00604B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6</w:t>
            </w:r>
            <w:r w:rsidRPr="002353EC">
              <w:t>) This describes the Essential Skills and Knowledge and their level, required for this unit.</w:t>
            </w:r>
          </w:p>
        </w:tc>
      </w:tr>
      <w:tr w:rsidTr="00604B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Evidence shall show that knowledge has been acquired inspecting electrical generators and diagnosing faults.</w:t>
            </w:r>
          </w:p>
          <w:p w:rsidR="00000000" w:rsidP="002353EC">
            <w:pPr>
              <w:pStyle w:val="BodyText"/>
              <w:rPr>
                <w:lang w:val="en-NZ"/>
              </w:rPr>
            </w:pPr>
            <w:r w:rsidRPr="002353EC">
              <w:t>The extent of the Essential Knowledge and Associated Skills required follows:</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Evidence shall show that knowledge has been acquired for safe working practices of:</w:t>
            </w:r>
          </w:p>
          <w:p w:rsidR="00000000" w:rsidRPr="002353EC" w:rsidP="002353EC">
            <w:pPr>
              <w:pStyle w:val="ListBullet3"/>
            </w:pPr>
            <w:r w:rsidRPr="002353EC">
              <w:t>Occupational Health and Safety standards</w:t>
            </w:r>
          </w:p>
          <w:p w:rsidR="00000000" w:rsidRPr="002353EC" w:rsidP="002353EC">
            <w:pPr>
              <w:pStyle w:val="ListBullet3"/>
            </w:pPr>
            <w:r w:rsidRPr="002353EC">
              <w:t>Relevant statutory requirements and codes of prac</w:t>
            </w:r>
            <w:r w:rsidRPr="002353EC">
              <w:t>tice</w:t>
            </w:r>
          </w:p>
          <w:p w:rsidR="00000000" w:rsidRPr="002353EC" w:rsidP="002353EC">
            <w:pPr>
              <w:pStyle w:val="ListBullet3"/>
            </w:pPr>
            <w:r w:rsidRPr="002353EC">
              <w:t>Relevant Australian standards</w:t>
            </w:r>
          </w:p>
          <w:p w:rsidR="00000000" w:rsidRPr="002353EC" w:rsidP="002353EC">
            <w:pPr>
              <w:pStyle w:val="ListBullet3"/>
            </w:pPr>
            <w:r w:rsidRPr="002353EC">
              <w:t>Isolation procedures</w:t>
            </w:r>
          </w:p>
          <w:p w:rsidR="00000000" w:rsidRPr="002353EC" w:rsidP="002353EC">
            <w:pPr>
              <w:pStyle w:val="ListBullet3"/>
            </w:pPr>
            <w:r w:rsidRPr="002353EC">
              <w:t>Layout of plant/work site and operation of its equipment</w:t>
            </w:r>
          </w:p>
          <w:p w:rsidR="00000000" w:rsidRPr="002353EC" w:rsidP="002353EC">
            <w:pPr>
              <w:pStyle w:val="ListBullet3"/>
            </w:pPr>
            <w:r w:rsidRPr="002353EC">
              <w:t>Inspection techniques</w:t>
            </w:r>
          </w:p>
          <w:p w:rsidR="00000000" w:rsidRPr="002353EC" w:rsidP="002353EC">
            <w:pPr>
              <w:pStyle w:val="ListBullet3"/>
            </w:pPr>
            <w:r w:rsidRPr="002353EC">
              <w:t>Regulatory procedures</w:t>
            </w:r>
          </w:p>
          <w:p w:rsidR="00000000" w:rsidRPr="002353EC" w:rsidP="002353EC">
            <w:pPr>
              <w:pStyle w:val="ListBullet3"/>
            </w:pPr>
            <w:r w:rsidRPr="002353EC">
              <w:t>Engineering and workshop practice</w:t>
            </w:r>
          </w:p>
          <w:p w:rsidR="00000000" w:rsidRPr="002353EC" w:rsidP="002353EC">
            <w:pPr>
              <w:pStyle w:val="ListBullet3"/>
            </w:pPr>
            <w:r w:rsidRPr="002353EC">
              <w:t>Communication principles</w:t>
            </w:r>
          </w:p>
          <w:p w:rsidR="00000000" w:rsidP="002353EC">
            <w:pPr>
              <w:pStyle w:val="ListBullet3"/>
              <w:rPr>
                <w:lang w:val="en-NZ"/>
              </w:rPr>
            </w:pPr>
            <w:r w:rsidRPr="002353EC">
              <w:t>Teamwork</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Specific skills needed to achieve the Performance Criteria:</w:t>
            </w:r>
          </w:p>
          <w:p w:rsidR="00000000" w:rsidRPr="002353EC" w:rsidP="002353EC">
            <w:pPr>
              <w:pStyle w:val="ListBullet3"/>
            </w:pPr>
            <w:r w:rsidRPr="002353EC">
              <w:t>Apply Occupational Health and Safety standards</w:t>
            </w:r>
          </w:p>
          <w:p w:rsidR="00000000" w:rsidRPr="002353EC" w:rsidP="002353EC">
            <w:pPr>
              <w:pStyle w:val="ListBullet3"/>
            </w:pPr>
            <w:r w:rsidRPr="002353EC">
              <w:t>Follow relevant statutory regulations and codes of practice</w:t>
            </w:r>
          </w:p>
          <w:p w:rsidR="00000000" w:rsidRPr="002353EC" w:rsidP="002353EC">
            <w:pPr>
              <w:pStyle w:val="ListBullet3"/>
            </w:pPr>
            <w:r w:rsidRPr="002353EC">
              <w:t>Apply relevant Australian standards</w:t>
            </w:r>
          </w:p>
          <w:p w:rsidR="00000000" w:rsidRPr="002353EC" w:rsidP="002353EC">
            <w:pPr>
              <w:pStyle w:val="ListBullet3"/>
            </w:pPr>
            <w:r w:rsidRPr="002353EC">
              <w:t>Use plans, drawings and text</w:t>
            </w:r>
          </w:p>
          <w:p w:rsidR="00000000" w:rsidRPr="002353EC" w:rsidP="002353EC">
            <w:pPr>
              <w:pStyle w:val="ListBullet3"/>
            </w:pPr>
            <w:r w:rsidRPr="002353EC">
              <w:t>Use inspection procedur</w:t>
            </w:r>
            <w:r w:rsidRPr="002353EC">
              <w:t>es</w:t>
            </w:r>
          </w:p>
          <w:p w:rsidR="00000000" w:rsidRPr="002353EC" w:rsidP="002353EC">
            <w:pPr>
              <w:pStyle w:val="ListBullet3"/>
            </w:pPr>
            <w:r w:rsidRPr="002353EC">
              <w:t>Apply data analysis techniques and tools</w:t>
            </w:r>
          </w:p>
          <w:p w:rsidR="00000000" w:rsidRPr="002353EC" w:rsidP="002353EC">
            <w:pPr>
              <w:pStyle w:val="ListBullet3"/>
            </w:pPr>
            <w:r w:rsidRPr="002353EC">
              <w:t>Communicate effectively</w:t>
            </w:r>
          </w:p>
          <w:p w:rsidR="00000000" w:rsidRPr="002353EC" w:rsidP="002353EC">
            <w:pPr>
              <w:pStyle w:val="ListBullet3"/>
            </w:pPr>
            <w:r w:rsidRPr="002353EC">
              <w:t>Work as part of a team.</w:t>
            </w:r>
          </w:p>
        </w:tc>
      </w:tr>
    </w:tbl>
    <w:p w:rsidR="00604BE1" w:rsidP="002353EC">
      <w:pPr>
        <w:pStyle w:val="BodyText"/>
      </w:pPr>
    </w:p>
    <w:p w:rsidR="00604BE1" w:rsidP="002353EC">
      <w:pPr>
        <w:pStyle w:val="BodyText"/>
      </w:pPr>
    </w:p>
    <w:p w:rsidR="00000000" w:rsidRPr="002353EC" w:rsidP="002353EC">
      <w:pPr>
        <w:pStyle w:val="Heading1"/>
      </w:pPr>
      <w:bookmarkStart w:id="10" w:name="O_247924"/>
      <w:bookmarkEnd w:id="10"/>
      <w:r w:rsidRPr="002353EC">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604BE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EVIDENCE GUIDE</w:t>
            </w:r>
          </w:p>
        </w:tc>
      </w:tr>
      <w:tr w:rsidTr="00604BE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 xml:space="preserve">) This provides essential advice for assessment of the competency standard unit and must be read </w:t>
            </w:r>
            <w:r w:rsidRPr="002353EC">
              <w:t>in conjunction with the Performance Criteria and the Range Statement of unit and the Training Package Assessment Guidelines.</w:t>
            </w:r>
          </w:p>
          <w:p w:rsidR="00000000" w:rsidP="002353EC">
            <w:pPr>
              <w:pStyle w:val="BodyText"/>
              <w:rPr>
                <w:lang w:val="en-NZ"/>
              </w:rPr>
            </w:pPr>
            <w:r w:rsidRPr="002353EC">
              <w:t>The Evidence Guide forms an integral part of this competency standard unit and shall be used in conjunction with all components par</w:t>
            </w:r>
            <w:r w:rsidRPr="002353EC">
              <w:t>ts of this unit and, performed in accordance with the Assessment Guidelines of this Training Package.</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w:t>
            </w:r>
            <w:r w:rsidRPr="002353EC">
              <w:rPr>
                <w:rStyle w:val="SpecialBold"/>
              </w:rPr>
              <w:t>1</w:t>
            </w:r>
            <w:r w:rsidRPr="002353EC">
              <w:t xml:space="preserve">) </w:t>
            </w:r>
          </w:p>
          <w:p w:rsidR="00000000" w:rsidRPr="002353EC" w:rsidP="002353EC">
            <w:pPr>
              <w:pStyle w:val="BodyText"/>
            </w:pPr>
            <w:r w:rsidRPr="002353EC">
              <w:t>Longitude competency development approaches to assessment, such as Profiling, require data to be reliably gathered in a</w:t>
            </w:r>
            <w:r w:rsidRPr="002353EC">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2353EC">
              <w:t xml:space="preserve"> used it is to include the application of the competency in the normal work environment or in a realistically simulated work environment. It is recognised that, in some circumstances, assessment in part or full can occur outside the workplace. However, it </w:t>
            </w:r>
            <w:r w:rsidRPr="002353EC">
              <w:t>must be in accord with Industry and regulatory policy.</w:t>
            </w:r>
          </w:p>
          <w:p w:rsidR="00000000" w:rsidRPr="002353EC" w:rsidP="002353EC">
            <w:pPr>
              <w:pStyle w:val="BodyText"/>
            </w:pPr>
            <w:r w:rsidRPr="002353EC">
              <w:t>Methods chosen for a particular assessment will be influenced by various factors. These include the extent of the assessment, the most effective locations for the assessment activities to take place, a</w:t>
            </w:r>
            <w:r w:rsidRPr="002353EC">
              <w:t>ccess to physical resources, additional safety measures that may be required and the critical nature of the competencies being assessed.</w:t>
            </w:r>
          </w:p>
          <w:p w:rsidR="00000000" w:rsidRPr="002353EC" w:rsidP="002353EC">
            <w:pPr>
              <w:pStyle w:val="BodyText"/>
            </w:pPr>
            <w:r w:rsidRPr="002353EC">
              <w:t>The critical safety nature of working with electricity, electrical equipment, gas or any other hazardous substance/mate</w:t>
            </w:r>
            <w:r w:rsidRPr="002353EC">
              <w:t>rial carries risk in deeming a person competent. Hence, sources of evidence need to be 'rich' in nature so as to minimise error in judgment.</w:t>
            </w:r>
          </w:p>
          <w:p w:rsidR="00000000" w:rsidP="002353EC">
            <w:pPr>
              <w:pStyle w:val="BodyText"/>
              <w:rPr>
                <w:lang w:val="en-NZ"/>
              </w:rPr>
            </w:pPr>
            <w:r w:rsidRPr="002353EC">
              <w:t>Activities associated with normal every day work have a bearing on the decision as to how much and how detailed the</w:t>
            </w:r>
            <w:r w:rsidRPr="002353EC">
              <w:t xml:space="preserve"> data gathered will contribute to its 'richness'. Some skills are more critical to safety and operational requirements while the same skills may be more or less frequently practiced. These points are raised for the assessors to consider when choosing an as</w:t>
            </w:r>
            <w:r w:rsidRPr="002353EC">
              <w:t>sessment method and developing assessment instruments. Sample assessment instruments are included  in the Assessment Guidelines of this Training Package.</w:t>
            </w:r>
          </w:p>
        </w:tc>
      </w:tr>
      <w:tr w:rsidTr="00604BE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w:t>
            </w:r>
            <w:r w:rsidRPr="002353EC">
              <w:rPr>
                <w:rStyle w:val="SpecialBold"/>
              </w:rPr>
              <w:t>2</w:t>
            </w:r>
            <w:r w:rsidRPr="002353EC">
              <w:t xml:space="preserve">) </w:t>
            </w:r>
          </w:p>
          <w:p w:rsidR="00000000" w:rsidP="002353EC">
            <w:pPr>
              <w:pStyle w:val="BodyText"/>
              <w:rPr>
                <w:lang w:val="en-NZ"/>
              </w:rPr>
            </w:pPr>
            <w:r w:rsidRPr="002353EC">
              <w:t>Before the critical aspects of evidence are considered all prerequisites shall be met.</w:t>
            </w:r>
          </w:p>
        </w:tc>
      </w:tr>
      <w:tr w:rsidTr="00604B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Evidence for competence in this unit shall be considered holistically.  Each element and associated Performance Criteria shall be demonstrated on at least two occas</w:t>
            </w:r>
            <w:r w:rsidRPr="002353EC">
              <w:t>ions in accordance with the "Assessment Guidelines - UEP06".  Evidence shall also comprise:</w:t>
            </w:r>
          </w:p>
          <w:p w:rsidR="00000000" w:rsidP="002353EC">
            <w:pPr>
              <w:pStyle w:val="ListBullet"/>
              <w:rPr>
                <w:lang w:val="en-NZ"/>
              </w:rPr>
            </w:pPr>
            <w:r w:rsidRPr="002353EC">
              <w:t>A representative body of Performance Criteria demonstrated within the timeframes typically expected of the discipline, work function and industrial environment. In</w:t>
            </w:r>
            <w:r w:rsidRPr="002353EC">
              <w:t xml:space="preserve"> particular this shall incorporate evidence that shows a candidate is able to:</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ListBullet3"/>
            </w:pPr>
            <w:r w:rsidRPr="002353EC">
              <w:t xml:space="preserve">Implement Occupational Health and Safety workplace procedures and practices including </w:t>
            </w:r>
            <w:r w:rsidRPr="002353EC">
              <w:t>the use of risk control measures as specified in the Performance Criteria and Range Statement</w:t>
            </w:r>
          </w:p>
          <w:p w:rsidR="00000000" w:rsidRPr="002353EC" w:rsidP="002353EC">
            <w:pPr>
              <w:pStyle w:val="ListBullet3"/>
            </w:pPr>
            <w:r w:rsidRPr="002353EC">
              <w:t>Apply sustainable energy principles and practices as specified in the Performance Criteria and Range Statement</w:t>
            </w:r>
          </w:p>
          <w:p w:rsidR="00000000" w:rsidRPr="002353EC" w:rsidP="002353EC">
            <w:pPr>
              <w:pStyle w:val="ListBullet3"/>
            </w:pPr>
            <w:r w:rsidRPr="002353EC">
              <w:t>Demonstrate an understanding of the essential knowledge and associated skills as described in 6) of this unit</w:t>
            </w:r>
          </w:p>
          <w:p w:rsidR="00000000" w:rsidRPr="002353EC" w:rsidP="002353EC">
            <w:pPr>
              <w:pStyle w:val="ListBullet3"/>
            </w:pPr>
            <w:r w:rsidRPr="002353EC">
              <w:t>Demonstrate an appropriate level of skills enabling employment</w:t>
            </w:r>
          </w:p>
          <w:p w:rsidR="00000000" w:rsidP="002353EC">
            <w:pPr>
              <w:pStyle w:val="ListBullet3"/>
              <w:rPr>
                <w:lang w:val="en-NZ"/>
              </w:rPr>
            </w:pPr>
            <w:r w:rsidRPr="002353EC">
              <w:t>Conduct work observing the relevant Anti Discrimination legislation, regulations, p</w:t>
            </w:r>
            <w:r w:rsidRPr="002353EC">
              <w:t>olices and workplace procedures</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53EC">
            <w:pPr>
              <w:pStyle w:val="ListBullet"/>
              <w:rPr>
                <w:lang w:val="en-NZ"/>
              </w:rPr>
            </w:pPr>
            <w:r w:rsidRPr="002353EC">
              <w:t>Demonstrated performance across a representative range of contexts from the prescribed items below:</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ListBullet3"/>
            </w:pPr>
            <w:r w:rsidRPr="002353EC">
              <w:t>Preparation and planning of work</w:t>
            </w:r>
          </w:p>
          <w:p w:rsidR="00000000" w:rsidRPr="002353EC" w:rsidP="002353EC">
            <w:pPr>
              <w:pStyle w:val="ListBullet3"/>
            </w:pPr>
            <w:r w:rsidRPr="002353EC">
              <w:t>Inspection techniques and procedures</w:t>
            </w:r>
          </w:p>
          <w:p w:rsidR="00000000" w:rsidRPr="002353EC" w:rsidP="002353EC">
            <w:pPr>
              <w:pStyle w:val="ListBullet3"/>
            </w:pPr>
            <w:r w:rsidRPr="002353EC">
              <w:t>Working in a confined space</w:t>
            </w:r>
          </w:p>
          <w:p w:rsidR="00000000" w:rsidP="002353EC">
            <w:pPr>
              <w:pStyle w:val="ListBullet3"/>
              <w:rPr>
                <w:lang w:val="en-NZ"/>
              </w:rPr>
            </w:pPr>
            <w:r w:rsidRPr="002353EC">
              <w:t>Analyse inspection results and make recommendations</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w:t>
            </w:r>
            <w:r w:rsidRPr="002353EC">
              <w:rPr>
                <w:rStyle w:val="SpecialBold"/>
              </w:rPr>
              <w:t>3</w:t>
            </w:r>
            <w:r w:rsidRPr="002353EC">
              <w:t xml:space="preserve">) </w:t>
            </w:r>
          </w:p>
          <w:p w:rsidR="00000000" w:rsidRPr="002353EC" w:rsidP="002353EC">
            <w:pPr>
              <w:pStyle w:val="BodyText"/>
            </w:pPr>
            <w:r w:rsidRPr="002353EC">
              <w:t>This unit should be assessed as it relates to normal work practice using procedures, information and resources typical of a workplac</w:t>
            </w:r>
            <w:r w:rsidRPr="002353EC">
              <w:t>e. This should include:</w:t>
            </w:r>
          </w:p>
          <w:p w:rsidR="00000000" w:rsidRPr="002353EC" w:rsidP="002353EC">
            <w:pPr>
              <w:pStyle w:val="ListBullet"/>
            </w:pPr>
            <w:r w:rsidRPr="002353EC">
              <w:t>OHS policy and work procedures and instructions</w:t>
            </w:r>
          </w:p>
          <w:p w:rsidR="00000000" w:rsidRPr="002353EC" w:rsidP="002353EC">
            <w:pPr>
              <w:pStyle w:val="ListBullet"/>
            </w:pPr>
            <w:r w:rsidRPr="002353EC">
              <w:t>Suitable work environment, facilities, equipment and materials to undertake actual work as prescribed by this unit.</w:t>
            </w:r>
          </w:p>
          <w:p w:rsidR="00000000" w:rsidRPr="002353EC" w:rsidP="002353EC">
            <w:pPr>
              <w:pStyle w:val="BodyText"/>
            </w:pPr>
            <w:r w:rsidRPr="002353EC">
              <w:t>Competency Standards shoul</w:t>
            </w:r>
            <w:r w:rsidRPr="002353EC">
              <w:t>d be assessed in the workplace or simulated workplace and under the normal range of workplace conditions.</w:t>
            </w:r>
          </w:p>
          <w:p w:rsidR="00000000" w:rsidP="002353EC">
            <w:pPr>
              <w:pStyle w:val="BodyText"/>
              <w:rPr>
                <w:lang w:val="en-NZ"/>
              </w:rPr>
            </w:pPr>
            <w:r w:rsidRPr="002353EC">
              <w:t>Assessment of this unit will be supported with documentary evidence, by means of endorsement stating type and application of work.</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In addition to</w:t>
            </w:r>
            <w:r w:rsidRPr="002353EC">
              <w:t xml:space="preserve"> the resources listed above in Context of assessment', evidence should show competency working, in limited spaces, with different types of plant and equipment as well as different structural/construction types and methods and in a variety of environments.</w:t>
            </w:r>
          </w:p>
        </w:tc>
      </w:tr>
      <w:tr w:rsidTr="00604B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w:t>
            </w:r>
            <w:r w:rsidRPr="002353EC">
              <w:rPr>
                <w:rStyle w:val="SpecialBold"/>
              </w:rPr>
              <w:t>4</w:t>
            </w:r>
            <w:r w:rsidRPr="002353EC">
              <w:t xml:space="preserve">) </w:t>
            </w:r>
          </w:p>
          <w:p w:rsidR="00000000" w:rsidRPr="002353EC" w:rsidP="002353EC">
            <w:pPr>
              <w:pStyle w:val="BodyText"/>
            </w:pPr>
            <w:r w:rsidRPr="002353EC">
              <w:t>This unit shall be assessed by methods given in Volume 1, Part 3 Assessment Guidelines.</w:t>
            </w:r>
          </w:p>
          <w:p w:rsidR="00000000" w:rsidP="002353EC">
            <w:pPr>
              <w:pStyle w:val="BodyText"/>
              <w:rPr>
                <w:lang w:val="en-NZ"/>
              </w:rPr>
            </w:pPr>
            <w:r w:rsidRPr="002353EC">
              <w:t>Note:</w:t>
            </w:r>
            <w:r w:rsidRPr="002353EC">
              <w:br/>
            </w:r>
            <w:r w:rsidRPr="002353EC">
              <w:t>Competent performance with inherent safe working practices is expected in the Industry to which this unit applies. This requires that the specified essential knowledge and associated skills are assessed in a structured environment which is primarily intend</w:t>
            </w:r>
            <w:r w:rsidRPr="002353EC">
              <w:t>ed for learning/assessment and incorporates all necessary equipment and facilities for learners to develop and demonstrate the essential knowledge and skills described in this unit.</w:t>
            </w:r>
          </w:p>
        </w:tc>
      </w:tr>
      <w:tr w:rsidTr="00604BE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8</w:t>
            </w:r>
            <w:r w:rsidRPr="002353EC">
              <w:t>.</w:t>
            </w:r>
            <w:r w:rsidRPr="002353EC">
              <w:rPr>
                <w:rStyle w:val="SpecialBold"/>
              </w:rPr>
              <w:t>5</w:t>
            </w:r>
            <w:r w:rsidRPr="002353EC">
              <w:t xml:space="preserve">) </w:t>
            </w:r>
          </w:p>
        </w:tc>
      </w:tr>
      <w:tr w:rsidTr="00604B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There are no recommended concurrent assessments with this unit, however in some cases efficiencies may be gained in terms of learning and assessment effort being concurrently managed with allied competency standard units where listed.</w:t>
            </w:r>
          </w:p>
        </w:tc>
      </w:tr>
      <w:tr w:rsidTr="00604B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 xml:space="preserve">UEPMNT421A </w:t>
            </w:r>
          </w:p>
        </w:tc>
        <w:tc>
          <w:tcPr>
            <w:tcW w:w="4680" w:type="dxa"/>
            <w:gridSpan w:val="2"/>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Cond</w:t>
            </w:r>
            <w:r w:rsidRPr="002353EC">
              <w:t>uct technical inspection of process plant and equipment.</w:t>
            </w:r>
          </w:p>
        </w:tc>
      </w:tr>
      <w:tr w:rsidTr="00604B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353EC" w:rsidP="002353EC">
            <w:pPr>
              <w:pStyle w:val="BodyText"/>
            </w:pPr>
            <w:r w:rsidRPr="002353EC">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w:t>
            </w:r>
            <w:r w:rsidRPr="002353EC">
              <w:rPr>
                <w:rStyle w:val="SpecialBold"/>
              </w:rPr>
              <w:t>6</w:t>
            </w:r>
            <w:r w:rsidRPr="002353EC">
              <w:t xml:space="preserve">) </w:t>
            </w:r>
          </w:p>
          <w:p w:rsidR="00000000" w:rsidP="002353EC">
            <w:pPr>
              <w:pStyle w:val="BodyText"/>
              <w:rPr>
                <w:lang w:val="en-NZ"/>
              </w:rPr>
            </w:pPr>
            <w:r w:rsidRPr="002353EC">
              <w:t>Evidence that particular key competencies have been achieved within this unit is in the context of the following Performance Criteria of evidence. See Volume 2, Part 4 for an explanation of Key competencies and levels of this Training Package.</w:t>
            </w:r>
          </w:p>
        </w:tc>
      </w:tr>
      <w:tr w:rsidTr="00604B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r w:rsidRPr="002353EC">
              <w:rPr>
                <w:rStyle w:val="SpecialBold"/>
              </w:rPr>
              <w:t>Key compe</w:t>
            </w:r>
            <w:r w:rsidRPr="002353EC">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r w:rsidRPr="002353E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rPr>
                <w:rStyle w:val="SpecialBold"/>
              </w:rPr>
              <w:t>Performance Level</w:t>
            </w: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 xml:space="preserve">How is use of </w:t>
            </w:r>
            <w:r w:rsidRPr="002353EC">
              <w:t>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p>
          <w:p w:rsidR="00000000" w:rsidP="002353EC">
            <w:pPr>
              <w:pStyle w:val="BodyText"/>
              <w:rPr>
                <w:lang w:val="en-NZ"/>
              </w:rPr>
            </w:pPr>
            <w:r w:rsidRPr="002353EC">
              <w:t>2</w:t>
            </w:r>
          </w:p>
        </w:tc>
      </w:tr>
      <w:tr w:rsidTr="00604B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p>
        </w:tc>
      </w:tr>
      <w:tr w:rsidTr="00604BE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04B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353EC" w:rsidP="002353EC">
            <w:pPr>
              <w:pStyle w:val="BodyText"/>
            </w:pPr>
            <w:r w:rsidRPr="002353EC">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2353EC" w:rsidP="002353EC">
            <w:pPr>
              <w:pStyle w:val="BodyText"/>
            </w:pPr>
            <w:r w:rsidRPr="002353EC">
              <w:rPr>
                <w:rStyle w:val="SpecialBold"/>
              </w:rPr>
              <w:t>8</w:t>
            </w:r>
            <w:r w:rsidRPr="002353EC">
              <w:t>.</w:t>
            </w:r>
            <w:r w:rsidRPr="002353EC">
              <w:rPr>
                <w:rStyle w:val="SpecialBold"/>
              </w:rPr>
              <w:t>7</w:t>
            </w:r>
            <w:r w:rsidRPr="002353EC">
              <w:t xml:space="preserve">) </w:t>
            </w:r>
          </w:p>
          <w:p w:rsidR="00000000" w:rsidP="002353EC">
            <w:pPr>
              <w:pStyle w:val="BodyText"/>
              <w:rPr>
                <w:lang w:val="en-NZ"/>
              </w:rPr>
            </w:pPr>
            <w:r w:rsidRPr="002353EC">
              <w:t>Eviden</w:t>
            </w:r>
            <w:r w:rsidRPr="002353EC">
              <w:t xml:space="preserve">ce that competency in this unit incorporates skills enabling employment is in the context of the following performance. See Volume 2, Part 5 for definitions and an explanation of skills enabling employment. </w:t>
            </w:r>
          </w:p>
        </w:tc>
      </w:tr>
      <w:tr w:rsidTr="00604B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r w:rsidRPr="002353EC">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rPr>
                <w:rStyle w:val="SpecialBold"/>
              </w:rPr>
              <w:t>Example of Application</w:t>
            </w:r>
          </w:p>
        </w:tc>
      </w:tr>
      <w:tr w:rsidTr="00604B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r>
      <w:tr w:rsidTr="00604B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Completion of tasks within an acceptable timeframe and performance with some supervision.</w:t>
            </w:r>
          </w:p>
        </w:tc>
      </w:tr>
      <w:tr w:rsidTr="00604B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r>
      <w:tr w:rsidTr="00604B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Comprehension and application of theoretical knowledge to well-developed skills.</w:t>
            </w:r>
          </w:p>
        </w:tc>
      </w:tr>
      <w:tr w:rsidTr="00604B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r>
      <w:tr w:rsidTr="00604B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Focused on improvement in own and other team member's performance in the workplace.</w:t>
            </w:r>
          </w:p>
        </w:tc>
      </w:tr>
      <w:tr w:rsidTr="00604B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r>
      <w:tr w:rsidTr="00604B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Working understanding of the processes and systems which apply to the workplace.</w:t>
            </w:r>
          </w:p>
        </w:tc>
      </w:tr>
      <w:tr w:rsidTr="00604B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r>
      <w:tr w:rsidTr="00604B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Achieving work tasks in a timely manner and ensuring that the work team achieves its stated work goals.</w:t>
            </w:r>
          </w:p>
        </w:tc>
      </w:tr>
      <w:tr w:rsidTr="00604B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EC">
            <w:pPr>
              <w:pStyle w:val="BodyText"/>
              <w:rPr>
                <w:lang w:val="en-NZ"/>
              </w:rPr>
            </w:pPr>
            <w:r w:rsidRPr="002353EC">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3EC">
            <w:pPr>
              <w:pStyle w:val="BodyText"/>
              <w:rPr>
                <w:lang w:val="en-NZ"/>
              </w:rPr>
            </w:pPr>
            <w:r w:rsidRPr="002353EC">
              <w:t>Refer to the following example of application:</w:t>
            </w:r>
          </w:p>
        </w:tc>
      </w:tr>
      <w:tr w:rsidTr="00604B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353EC" w:rsidP="002353EC">
            <w:pPr>
              <w:pStyle w:val="BodyText"/>
            </w:pPr>
            <w:r w:rsidRPr="002353EC">
              <w:t>Seek advice and apply solutions to problems relevant to the workplace environment.</w:t>
            </w:r>
          </w:p>
        </w:tc>
      </w:tr>
    </w:tbl>
    <w:p w:rsidR="00000000" w:rsidRPr="002353EC" w:rsidP="002353EC">
      <w:pPr>
        <w:pStyle w:val="BodyText"/>
      </w:pPr>
    </w:p>
    <w:p w:rsidR="00000000" w:rsidRPr="002353EC" w:rsidP="002353EC">
      <w:pPr>
        <w:pStyle w:val="BodyText"/>
      </w:pP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UEPMNT418A</w:t>
            </w: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Perform mechanical and fabrication drafting</w:t>
            </w:r>
          </w:p>
        </w:tc>
      </w:tr>
    </w:tbl>
    <w:p w:rsidR="00604BE1" w:rsidP="002353EC">
      <w:pPr>
        <w:pStyle w:val="BodyText"/>
      </w:pPr>
    </w:p>
    <w:p w:rsidR="00604BE1" w:rsidP="002353EC">
      <w:pPr>
        <w:pStyle w:val="BodyText"/>
      </w:pPr>
    </w:p>
    <w:p w:rsidR="00000000" w:rsidRPr="002353EC" w:rsidP="002353EC">
      <w:pPr>
        <w:pStyle w:val="Heading1"/>
      </w:pPr>
      <w:bookmarkStart w:id="11" w:name="O_255908"/>
      <w:bookmarkEnd w:id="11"/>
      <w:r w:rsidRPr="002353EC">
        <w:t>Range Statement</w:t>
      </w:r>
    </w:p>
    <w:tbl>
      <w:tblPr>
        <w:tblW w:w="0" w:type="auto"/>
        <w:tblLayout w:type="fixed"/>
        <w:tblCellMar>
          <w:left w:w="62" w:type="dxa"/>
          <w:right w:w="62" w:type="dxa"/>
        </w:tblCellMar>
        <w:tblLook w:val="0000"/>
      </w:tblPr>
      <w:tblGrid>
        <w:gridCol w:w="8460"/>
      </w:tblGrid>
      <w:tr w:rsidTr="00604B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RANGE STATEMENT</w:t>
            </w:r>
          </w:p>
        </w:tc>
      </w:tr>
      <w:tr w:rsidTr="00604B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7</w:t>
            </w:r>
            <w:r w:rsidRPr="002353EC">
              <w:t>) This relates to the competency standard unit as a whole providing the range of contexts and conditions to which the Performance Criteria apply. It allows for different work environments and situations that will affect performance.</w:t>
            </w:r>
          </w:p>
        </w:tc>
      </w:tr>
      <w:tr w:rsidTr="00604B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Details of inspection may be clarified by diagnosis of operational information.</w:t>
            </w:r>
          </w:p>
          <w:p w:rsidR="00000000" w:rsidRPr="002353EC" w:rsidP="002353EC">
            <w:pPr>
              <w:pStyle w:val="BodyText"/>
            </w:pPr>
            <w:r w:rsidRPr="002353EC">
              <w:t>Inspection may include windings, end windings and connections, slot wedges, insulation, end bell and coolers.</w:t>
            </w:r>
          </w:p>
          <w:p w:rsidR="00000000" w:rsidRPr="002353EC" w:rsidP="002353EC">
            <w:pPr>
              <w:pStyle w:val="BodyText"/>
            </w:pPr>
            <w:r w:rsidRPr="002353EC">
              <w:t>Inspection completion details may include plant and maintenance re</w:t>
            </w:r>
            <w:r w:rsidRPr="002353EC">
              <w:t>cords, job cards, check sheets and on device labelling updates.</w:t>
            </w:r>
          </w:p>
          <w:p w:rsidR="00000000" w:rsidRPr="002353EC" w:rsidP="002353EC">
            <w:pPr>
              <w:pStyle w:val="BodyText"/>
            </w:pPr>
            <w:r w:rsidRPr="002353EC">
              <w:t>Work site environment may be affected by nearby plant or processes, e.g. heat, noise, dust, oil, water and chemical.</w:t>
            </w:r>
          </w:p>
          <w:p w:rsidR="00000000" w:rsidRPr="002353EC" w:rsidP="002353EC">
            <w:pPr>
              <w:pStyle w:val="BodyText"/>
            </w:pPr>
            <w:r w:rsidRPr="002353EC">
              <w:t>Isolations can refer to electrical/mechanical or other associated processes</w:t>
            </w:r>
            <w:r w:rsidRPr="002353EC">
              <w:t>.</w:t>
            </w:r>
          </w:p>
          <w:p w:rsidR="00000000" w:rsidRPr="002353EC" w:rsidP="002353EC">
            <w:pPr>
              <w:pStyle w:val="BodyText"/>
            </w:pPr>
            <w:r w:rsidRPr="002353EC">
              <w:t>Tests may include visual and sensory, sampling, tensioning and leak testing.</w:t>
            </w:r>
          </w:p>
          <w:p w:rsidR="00000000" w:rsidRPr="002353EC" w:rsidP="002353EC">
            <w:pPr>
              <w:pStyle w:val="BodyText"/>
            </w:pPr>
            <w:r w:rsidRPr="002353EC">
              <w:t>Faults identified may include, movement of conductors, leaks in stator cooling systems, movement of connections and build up of foreign matter.</w:t>
            </w:r>
          </w:p>
          <w:p w:rsidR="00000000" w:rsidRPr="002353EC" w:rsidP="002353EC">
            <w:pPr>
              <w:pStyle w:val="BodyText"/>
            </w:pPr>
            <w:r w:rsidRPr="002353EC">
              <w:t>Appropriate personnel for consult</w:t>
            </w:r>
            <w:r w:rsidRPr="002353EC">
              <w:t>ation may include supervisor/team leader or equivalent, technical and engineering officers or equivalent, , maintenance staff, power plant operations personnel and external specialist personnel.</w:t>
            </w:r>
          </w:p>
          <w:p w:rsidR="00000000" w:rsidRPr="002353EC" w:rsidP="002353EC">
            <w:pPr>
              <w:pStyle w:val="BodyText"/>
            </w:pPr>
            <w:r w:rsidRPr="002353EC">
              <w:t>Generic terms are used throughout this Training Package for v</w:t>
            </w:r>
            <w:r w:rsidRPr="002353EC">
              <w:t>ocational standard shall be regarded as part of the Range Statement in which competency is demonstrated. The definition of these and other terms are given in Volume 2, Part 1.</w:t>
            </w:r>
          </w:p>
        </w:tc>
      </w:tr>
    </w:tbl>
    <w:p w:rsidR="00604BE1" w:rsidP="002353EC">
      <w:pPr>
        <w:pStyle w:val="BodyText"/>
      </w:pPr>
    </w:p>
    <w:p w:rsidR="00604BE1" w:rsidP="002353EC">
      <w:pPr>
        <w:pStyle w:val="BodyText"/>
      </w:pPr>
    </w:p>
    <w:p w:rsidR="00000000" w:rsidRPr="002353EC" w:rsidP="002353EC">
      <w:pPr>
        <w:pStyle w:val="Heading1"/>
      </w:pPr>
      <w:bookmarkStart w:id="12" w:name="O_296921"/>
      <w:bookmarkEnd w:id="12"/>
      <w:r w:rsidRPr="002353EC">
        <w:t>Unit Sector(s)</w:t>
      </w:r>
    </w:p>
    <w:p w:rsidR="00000000" w:rsidRPr="002353EC" w:rsidP="002353EC">
      <w:pPr>
        <w:pStyle w:val="BodyText"/>
      </w:pPr>
      <w:r w:rsidRPr="002353EC">
        <w:t>Not Applicable</w:t>
      </w:r>
    </w:p>
    <w:p w:rsidR="00000000" w:rsidRPr="002353EC" w:rsidP="002353EC">
      <w:pPr>
        <w:pStyle w:val="AllowPageBreak"/>
      </w:pPr>
    </w:p>
    <w:p w:rsidR="00000000" w:rsidRPr="002353EC" w:rsidP="002353EC">
      <w:pPr>
        <w:pStyle w:val="Heading1"/>
      </w:pPr>
      <w:bookmarkStart w:id="13" w:name="O_230108"/>
      <w:bookmarkEnd w:id="13"/>
      <w:r w:rsidRPr="002353EC">
        <w:t xml:space="preserve">Literacy and </w:t>
      </w:r>
      <w:r w:rsidRPr="002353EC">
        <w:t>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04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2</w:t>
            </w:r>
            <w:r w:rsidRPr="002353EC">
              <w:t>.</w:t>
            </w:r>
            <w:r w:rsidRPr="002353EC">
              <w:rPr>
                <w:rStyle w:val="SpecialBold"/>
              </w:rPr>
              <w:t>2</w:t>
            </w:r>
            <w:r w:rsidRPr="002353EC">
              <w:t xml:space="preserve">) </w:t>
            </w:r>
          </w:p>
          <w:p w:rsidR="00000000" w:rsidP="002353EC">
            <w:pPr>
              <w:pStyle w:val="BodyText"/>
              <w:rPr>
                <w:lang w:val="en-NZ"/>
              </w:rPr>
            </w:pPr>
            <w:r w:rsidRPr="002353EC">
              <w:t xml:space="preserve">Participants are best equipped to achieve this unit if they have reading, writing and numeracy skills indicated by the following scales. Description of each scale is given in Volume 2, Part 3 Literacy and </w:t>
            </w:r>
            <w:r w:rsidRPr="002353EC">
              <w:t>Numeracy.</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Reading</w:t>
            </w:r>
          </w:p>
        </w:tc>
        <w:tc>
          <w:tcPr>
            <w:tcW w:w="805"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4</w:t>
            </w:r>
          </w:p>
        </w:tc>
        <w:tc>
          <w:tcPr>
            <w:tcW w:w="1184"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Writing</w:t>
            </w:r>
          </w:p>
        </w:tc>
        <w:tc>
          <w:tcPr>
            <w:tcW w:w="805"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4</w:t>
            </w:r>
          </w:p>
        </w:tc>
        <w:tc>
          <w:tcPr>
            <w:tcW w:w="1172"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t>Numeracy</w:t>
            </w:r>
          </w:p>
        </w:tc>
        <w:tc>
          <w:tcPr>
            <w:tcW w:w="805"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4</w:t>
            </w:r>
          </w:p>
        </w:tc>
      </w:tr>
    </w:tbl>
    <w:p w:rsidR="00604BE1" w:rsidP="002353EC">
      <w:pPr>
        <w:pStyle w:val="BodyText"/>
      </w:pPr>
    </w:p>
    <w:p w:rsidR="00604BE1" w:rsidP="002353EC">
      <w:pPr>
        <w:pStyle w:val="BodyText"/>
      </w:pPr>
    </w:p>
    <w:p w:rsidR="00000000" w:rsidRPr="002353EC" w:rsidP="002353EC">
      <w:pPr>
        <w:pStyle w:val="Heading1"/>
      </w:pPr>
      <w:bookmarkStart w:id="14" w:name="O_230110"/>
      <w:bookmarkEnd w:id="14"/>
      <w:r w:rsidRPr="002353EC">
        <w:t>Competency Field</w:t>
      </w:r>
    </w:p>
    <w:tbl>
      <w:tblPr>
        <w:tblW w:w="0" w:type="auto"/>
        <w:tblLayout w:type="fixed"/>
        <w:tblCellMar>
          <w:left w:w="62" w:type="dxa"/>
          <w:right w:w="62" w:type="dxa"/>
        </w:tblCellMar>
        <w:tblLook w:val="0000"/>
      </w:tblPr>
      <w:tblGrid>
        <w:gridCol w:w="2700"/>
        <w:gridCol w:w="5760"/>
      </w:tblGrid>
      <w:tr w:rsidTr="00604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53EC">
            <w:pPr>
              <w:pStyle w:val="BodyText"/>
              <w:rPr>
                <w:lang w:val="en-NZ"/>
              </w:rPr>
            </w:pPr>
            <w:r w:rsidRPr="002353EC">
              <w:rPr>
                <w:rStyle w:val="SpecialBold"/>
              </w:rPr>
              <w:t>4</w:t>
            </w:r>
            <w:r w:rsidRPr="002353EC">
              <w:t xml:space="preserve">) </w:t>
            </w:r>
          </w:p>
        </w:tc>
      </w:tr>
      <w:tr w:rsidTr="00604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3EC" w:rsidP="002353EC">
            <w:pPr>
              <w:pStyle w:val="BodyText"/>
            </w:pPr>
            <w:r w:rsidRPr="002353EC">
              <w:t>Maintenance.</w:t>
            </w:r>
          </w:p>
        </w:tc>
      </w:tr>
    </w:tbl>
    <w:p w:rsidR="00604BE1" w:rsidP="002353EC">
      <w:pPr>
        <w:pStyle w:val="BodyText"/>
      </w:pPr>
    </w:p>
    <w:p w:rsidR="00604BE1" w:rsidP="002353EC">
      <w:pPr>
        <w:pStyle w:val="BodyText"/>
      </w:pPr>
    </w:p>
    <w:p w:rsidR="00000000" w:rsidRPr="002353EC" w:rsidP="002353EC"/>
    <w:sectPr w:rsidSect="00235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BE1" w:rsidP="00604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E1" w:rsidP="00235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4BE1" w:rsidP="002353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4BE1" w:rsidP="002353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BE1" w:rsidP="00604B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E1" w:rsidP="002353EC">
    <w:pPr>
      <w:pStyle w:val="Header"/>
      <w:framePr w:wrap="around"/>
    </w:pPr>
    <w:r>
      <w:fldChar w:fldCharType="begin"/>
    </w:r>
    <w:r>
      <w:instrText xml:space="preserve"> TITLE   \* MERGEFORMAT </w:instrText>
    </w:r>
    <w:r>
      <w:fldChar w:fldCharType="separate"/>
    </w:r>
    <w:r>
      <w:t>UEPMNT417A Inspect Electrical Generators and Diagnose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4BE1" w:rsidP="002353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10C2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63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3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3EC"/>
    <w:pPr>
      <w:spacing w:before="360" w:after="60"/>
      <w:outlineLvl w:val="0"/>
    </w:pPr>
    <w:rPr>
      <w:sz w:val="32"/>
    </w:rPr>
  </w:style>
  <w:style w:type="paragraph" w:styleId="Heading2">
    <w:name w:val="heading 2"/>
    <w:basedOn w:val="HeadingBase"/>
    <w:next w:val="BodyText"/>
    <w:link w:val="Heading2Char"/>
    <w:qFormat/>
    <w:rsid w:val="002353EC"/>
    <w:pPr>
      <w:keepLines/>
      <w:spacing w:before="240" w:after="120"/>
      <w:outlineLvl w:val="1"/>
    </w:pPr>
    <w:rPr>
      <w:sz w:val="28"/>
      <w:szCs w:val="40"/>
    </w:rPr>
  </w:style>
  <w:style w:type="paragraph" w:styleId="Heading3">
    <w:name w:val="heading 3"/>
    <w:basedOn w:val="HeadingBase"/>
    <w:next w:val="BodyText"/>
    <w:link w:val="Heading3Char"/>
    <w:qFormat/>
    <w:rsid w:val="002353EC"/>
    <w:pPr>
      <w:spacing w:before="180" w:after="120"/>
      <w:outlineLvl w:val="2"/>
    </w:pPr>
    <w:rPr>
      <w:spacing w:val="-10"/>
      <w:kern w:val="32"/>
    </w:rPr>
  </w:style>
  <w:style w:type="paragraph" w:styleId="Heading4">
    <w:name w:val="heading 4"/>
    <w:basedOn w:val="HeadingBase"/>
    <w:next w:val="BodyText"/>
    <w:link w:val="Heading4Char"/>
    <w:qFormat/>
    <w:rsid w:val="002353EC"/>
    <w:pPr>
      <w:spacing w:before="160" w:after="120"/>
      <w:outlineLvl w:val="3"/>
    </w:pPr>
    <w:rPr>
      <w:sz w:val="22"/>
    </w:rPr>
  </w:style>
  <w:style w:type="paragraph" w:styleId="Heading5">
    <w:name w:val="heading 5"/>
    <w:basedOn w:val="HeadingBase"/>
    <w:next w:val="Normal"/>
    <w:link w:val="Heading5Char"/>
    <w:qFormat/>
    <w:rsid w:val="002353EC"/>
    <w:pPr>
      <w:spacing w:before="80"/>
      <w:outlineLvl w:val="4"/>
    </w:pPr>
    <w:rPr>
      <w:color w:val="918585"/>
      <w:sz w:val="20"/>
    </w:rPr>
  </w:style>
  <w:style w:type="paragraph" w:styleId="Heading6">
    <w:name w:val="heading 6"/>
    <w:basedOn w:val="HeadingBase"/>
    <w:next w:val="Normal"/>
    <w:link w:val="Heading6Char"/>
    <w:qFormat/>
    <w:rsid w:val="002353EC"/>
    <w:pPr>
      <w:spacing w:before="60"/>
      <w:outlineLvl w:val="5"/>
    </w:pPr>
    <w:rPr>
      <w:color w:val="918585"/>
      <w:sz w:val="20"/>
    </w:rPr>
  </w:style>
  <w:style w:type="paragraph" w:styleId="Heading7">
    <w:name w:val="heading 7"/>
    <w:basedOn w:val="Normal"/>
    <w:next w:val="Normal"/>
    <w:link w:val="Heading7Char"/>
    <w:qFormat/>
    <w:rsid w:val="002353EC"/>
    <w:pPr>
      <w:ind w:left="720"/>
      <w:outlineLvl w:val="6"/>
    </w:pPr>
    <w:rPr>
      <w:i/>
    </w:rPr>
  </w:style>
  <w:style w:type="paragraph" w:styleId="Heading8">
    <w:name w:val="heading 8"/>
    <w:basedOn w:val="Normal"/>
    <w:next w:val="Normal"/>
    <w:link w:val="Heading8Char"/>
    <w:qFormat/>
    <w:rsid w:val="002353EC"/>
    <w:pPr>
      <w:ind w:left="720"/>
      <w:outlineLvl w:val="7"/>
    </w:pPr>
    <w:rPr>
      <w:i/>
    </w:rPr>
  </w:style>
  <w:style w:type="paragraph" w:styleId="Heading9">
    <w:name w:val="heading 9"/>
    <w:basedOn w:val="Normal"/>
    <w:next w:val="Normal"/>
    <w:link w:val="Heading9Char"/>
    <w:qFormat/>
    <w:rsid w:val="002353EC"/>
    <w:pPr>
      <w:ind w:left="720"/>
      <w:outlineLvl w:val="8"/>
    </w:pPr>
    <w:rPr>
      <w:i/>
    </w:rPr>
  </w:style>
  <w:style w:type="character" w:default="1" w:styleId="DefaultParagraphFont">
    <w:name w:val="Default Paragraph Font"/>
    <w:uiPriority w:val="1"/>
    <w:unhideWhenUsed/>
    <w:rsid w:val="00235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3EC"/>
  </w:style>
  <w:style w:type="character" w:customStyle="1" w:styleId="Heading1Char">
    <w:name w:val="Heading 1 Char"/>
    <w:basedOn w:val="DefaultParagraphFont"/>
    <w:link w:val="Heading1"/>
    <w:rsid w:val="002353EC"/>
    <w:rPr>
      <w:rFonts w:ascii="Times New Roman" w:eastAsia="Times New Roman" w:hAnsi="Times New Roman" w:cs="Times New Roman"/>
      <w:b/>
      <w:sz w:val="32"/>
      <w:szCs w:val="20"/>
      <w:lang w:eastAsia="en-US"/>
    </w:rPr>
  </w:style>
  <w:style w:type="paragraph" w:styleId="BodyText">
    <w:name w:val="Body Text"/>
    <w:basedOn w:val="Normal"/>
    <w:link w:val="BodyTextChar"/>
    <w:rsid w:val="002353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3EC"/>
    <w:rPr>
      <w:rFonts w:ascii="Times New Roman" w:eastAsia="Times New Roman" w:hAnsi="Times New Roman" w:cs="Times New Roman"/>
      <w:sz w:val="24"/>
      <w:lang w:val="en-US" w:eastAsia="en-US"/>
    </w:rPr>
  </w:style>
  <w:style w:type="paragraph" w:styleId="Footer">
    <w:name w:val="footer"/>
    <w:basedOn w:val="Normal"/>
    <w:link w:val="FooterChar"/>
    <w:rsid w:val="00235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3EC"/>
    <w:rPr>
      <w:rFonts w:ascii="Times New Roman" w:eastAsia="Times New Roman" w:hAnsi="Times New Roman" w:cs="Times New Roman"/>
      <w:sz w:val="16"/>
      <w:lang w:val="en-US" w:eastAsia="en-US"/>
    </w:rPr>
  </w:style>
  <w:style w:type="paragraph" w:styleId="ListBullet">
    <w:name w:val="List Bullet"/>
    <w:basedOn w:val="List"/>
    <w:rsid w:val="002353EC"/>
    <w:pPr>
      <w:numPr>
        <w:numId w:val="13"/>
      </w:numPr>
      <w:tabs>
        <w:tab w:val="clear" w:pos="340"/>
      </w:tabs>
      <w:spacing w:before="40" w:after="40"/>
    </w:pPr>
  </w:style>
  <w:style w:type="character" w:customStyle="1" w:styleId="SpecialBold">
    <w:name w:val="Special Bold"/>
    <w:basedOn w:val="DefaultParagraphFont"/>
    <w:rsid w:val="002353EC"/>
    <w:rPr>
      <w:b/>
      <w:spacing w:val="0"/>
    </w:rPr>
  </w:style>
  <w:style w:type="paragraph" w:styleId="Header">
    <w:name w:val="header"/>
    <w:basedOn w:val="Normal"/>
    <w:link w:val="HeaderChar"/>
    <w:rsid w:val="00235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3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3EC"/>
    <w:pPr>
      <w:spacing w:before="240" w:after="120"/>
      <w:outlineLvl w:val="0"/>
    </w:pPr>
    <w:rPr>
      <w:rFonts w:ascii="Times New Roman" w:hAnsi="Times New Roman"/>
      <w:b/>
      <w:sz w:val="28"/>
    </w:rPr>
  </w:style>
  <w:style w:type="paragraph" w:customStyle="1" w:styleId="AllowPageBreak">
    <w:name w:val="AllowPageBreak"/>
    <w:rsid w:val="002353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53EC"/>
    <w:pPr>
      <w:numPr>
        <w:numId w:val="2"/>
      </w:numPr>
      <w:tabs>
        <w:tab w:val="clear" w:pos="1021"/>
      </w:tabs>
      <w:ind w:left="1037" w:hanging="357"/>
    </w:pPr>
  </w:style>
  <w:style w:type="character" w:customStyle="1" w:styleId="Heading2Char">
    <w:name w:val="Heading 2 Char"/>
    <w:basedOn w:val="DefaultParagraphFont"/>
    <w:link w:val="Heading2"/>
    <w:rsid w:val="00235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3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3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3EC"/>
    <w:rPr>
      <w:rFonts w:ascii="Courier New" w:eastAsia="Times New Roman" w:hAnsi="Courier New" w:cs="Times New Roman"/>
      <w:i/>
      <w:szCs w:val="20"/>
      <w:lang w:val="en-US" w:eastAsia="en-US"/>
    </w:rPr>
  </w:style>
  <w:style w:type="paragraph" w:customStyle="1" w:styleId="HeadingBase">
    <w:name w:val="Heading Base"/>
    <w:rsid w:val="00235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3EC"/>
    <w:pPr>
      <w:tabs>
        <w:tab w:val="right" w:leader="dot" w:pos="9072"/>
      </w:tabs>
      <w:ind w:left="567"/>
    </w:pPr>
    <w:rPr>
      <w:szCs w:val="22"/>
    </w:rPr>
  </w:style>
  <w:style w:type="paragraph" w:customStyle="1" w:styleId="TOCBase">
    <w:name w:val="TOC Base"/>
    <w:rsid w:val="00235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3EC"/>
    <w:pPr>
      <w:tabs>
        <w:tab w:val="right" w:leader="dot" w:pos="9072"/>
      </w:tabs>
      <w:spacing w:before="40" w:after="40"/>
      <w:ind w:left="284"/>
    </w:pPr>
    <w:rPr>
      <w:rFonts w:ascii="Times New Roman" w:hAnsi="Times New Roman"/>
    </w:rPr>
  </w:style>
  <w:style w:type="paragraph" w:styleId="TOC1">
    <w:name w:val="toc 1"/>
    <w:basedOn w:val="TOCBase"/>
    <w:next w:val="Normal"/>
    <w:rsid w:val="002353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3EC"/>
    <w:pPr>
      <w:spacing w:before="5040"/>
      <w:jc w:val="center"/>
    </w:pPr>
    <w:rPr>
      <w:sz w:val="48"/>
      <w:szCs w:val="72"/>
      <w:lang w:val="en-US"/>
    </w:rPr>
  </w:style>
  <w:style w:type="character" w:customStyle="1" w:styleId="TitleChar">
    <w:name w:val="Title Char"/>
    <w:basedOn w:val="DefaultParagraphFont"/>
    <w:link w:val="Title"/>
    <w:rsid w:val="00235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3EC"/>
    <w:pPr>
      <w:tabs>
        <w:tab w:val="left" w:pos="3600"/>
        <w:tab w:val="left" w:pos="3958"/>
      </w:tabs>
    </w:pPr>
  </w:style>
  <w:style w:type="paragraph" w:styleId="List">
    <w:name w:val="List"/>
    <w:basedOn w:val="BodyText"/>
    <w:next w:val="BodyText"/>
    <w:rsid w:val="002353EC"/>
    <w:pPr>
      <w:tabs>
        <w:tab w:val="left" w:pos="340"/>
      </w:tabs>
      <w:spacing w:before="60" w:after="60"/>
      <w:ind w:left="340" w:hanging="340"/>
    </w:pPr>
  </w:style>
  <w:style w:type="paragraph" w:customStyle="1" w:styleId="Note">
    <w:name w:val="Note"/>
    <w:basedOn w:val="BodyText"/>
    <w:rsid w:val="00235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3EC"/>
    <w:pPr>
      <w:framePr w:wrap="auto" w:hAnchor="text" w:y="6049"/>
    </w:pPr>
    <w:rPr>
      <w:color w:val="000000"/>
      <w:sz w:val="40"/>
    </w:rPr>
  </w:style>
  <w:style w:type="paragraph" w:customStyle="1" w:styleId="TOCTitle">
    <w:name w:val="TOCTitle"/>
    <w:basedOn w:val="Heading1"/>
    <w:rsid w:val="002353EC"/>
    <w:pPr>
      <w:spacing w:after="240"/>
      <w:jc w:val="center"/>
      <w:outlineLvl w:val="9"/>
    </w:pPr>
    <w:rPr>
      <w:caps/>
    </w:rPr>
  </w:style>
  <w:style w:type="paragraph" w:customStyle="1" w:styleId="Version">
    <w:name w:val="Version"/>
    <w:rsid w:val="002353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3EC"/>
    <w:pPr>
      <w:numPr>
        <w:numId w:val="14"/>
      </w:numPr>
      <w:tabs>
        <w:tab w:val="clear" w:pos="680"/>
      </w:tabs>
    </w:pPr>
  </w:style>
  <w:style w:type="paragraph" w:styleId="Index1">
    <w:name w:val="index 1"/>
    <w:basedOn w:val="Normal"/>
    <w:next w:val="Normal"/>
    <w:semiHidden/>
    <w:rsid w:val="002353EC"/>
    <w:pPr>
      <w:keepNext w:val="0"/>
      <w:tabs>
        <w:tab w:val="right" w:pos="4176"/>
      </w:tabs>
      <w:ind w:left="198" w:hanging="198"/>
    </w:pPr>
    <w:rPr>
      <w:rFonts w:ascii="Garamond" w:hAnsi="Garamond"/>
    </w:rPr>
  </w:style>
  <w:style w:type="paragraph" w:styleId="IndexHeading">
    <w:name w:val="index heading"/>
    <w:basedOn w:val="Normal"/>
    <w:next w:val="Index1"/>
    <w:semiHidden/>
    <w:rsid w:val="002353EC"/>
    <w:pPr>
      <w:spacing w:before="120" w:after="120"/>
    </w:pPr>
    <w:rPr>
      <w:rFonts w:ascii="Arial" w:hAnsi="Arial"/>
      <w:b/>
      <w:color w:val="918585"/>
      <w:sz w:val="24"/>
    </w:rPr>
  </w:style>
  <w:style w:type="paragraph" w:customStyle="1" w:styleId="Chapter">
    <w:name w:val="Chapter"/>
    <w:basedOn w:val="Normal"/>
    <w:rsid w:val="002353EC"/>
    <w:pPr>
      <w:spacing w:before="240"/>
    </w:pPr>
    <w:rPr>
      <w:rFonts w:ascii="Times New Roman" w:hAnsi="Times New Roman"/>
      <w:smallCaps/>
      <w:spacing w:val="80"/>
      <w:sz w:val="28"/>
    </w:rPr>
  </w:style>
  <w:style w:type="paragraph" w:customStyle="1" w:styleId="InChapter">
    <w:name w:val="InChapter"/>
    <w:basedOn w:val="Heading3"/>
    <w:rsid w:val="002353EC"/>
    <w:pPr>
      <w:spacing w:after="240"/>
      <w:outlineLvl w:val="9"/>
    </w:pPr>
    <w:rPr>
      <w:noProof/>
    </w:rPr>
  </w:style>
  <w:style w:type="paragraph" w:styleId="Index2">
    <w:name w:val="index 2"/>
    <w:basedOn w:val="Normal"/>
    <w:next w:val="Normal"/>
    <w:semiHidden/>
    <w:rsid w:val="002353EC"/>
    <w:pPr>
      <w:tabs>
        <w:tab w:val="right" w:pos="4176"/>
      </w:tabs>
      <w:ind w:left="568" w:hanging="284"/>
    </w:pPr>
    <w:rPr>
      <w:rFonts w:ascii="Garamond" w:hAnsi="Garamond"/>
    </w:rPr>
  </w:style>
  <w:style w:type="paragraph" w:customStyle="1" w:styleId="Byline">
    <w:name w:val="Byline"/>
    <w:rsid w:val="00235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3EC"/>
    <w:pPr>
      <w:tabs>
        <w:tab w:val="clear" w:pos="3600"/>
        <w:tab w:val="clear" w:pos="3958"/>
      </w:tabs>
      <w:jc w:val="right"/>
    </w:pPr>
  </w:style>
  <w:style w:type="character" w:styleId="Emphasis">
    <w:name w:val="Emphasis"/>
    <w:basedOn w:val="DefaultParagraphFont"/>
    <w:qFormat/>
    <w:rsid w:val="002353EC"/>
    <w:rPr>
      <w:i/>
    </w:rPr>
  </w:style>
  <w:style w:type="paragraph" w:styleId="Caption">
    <w:name w:val="caption"/>
    <w:basedOn w:val="BodyText"/>
    <w:next w:val="Normal"/>
    <w:qFormat/>
    <w:rsid w:val="002353EC"/>
    <w:pPr>
      <w:framePr w:w="2268" w:hSpace="181" w:vSpace="181" w:wrap="around" w:vAnchor="text" w:hAnchor="page" w:x="1135" w:y="285" w:anchorLock="1"/>
    </w:pPr>
    <w:rPr>
      <w:i/>
    </w:rPr>
  </w:style>
  <w:style w:type="paragraph" w:customStyle="1" w:styleId="MiniTOCTitle">
    <w:name w:val="MiniTOCTitle"/>
    <w:basedOn w:val="Heading4"/>
    <w:rsid w:val="002353EC"/>
    <w:pPr>
      <w:spacing w:before="240"/>
      <w:outlineLvl w:val="9"/>
    </w:pPr>
    <w:rPr>
      <w:noProof/>
      <w:sz w:val="24"/>
    </w:rPr>
  </w:style>
  <w:style w:type="paragraph" w:customStyle="1" w:styleId="MiniTOCItem">
    <w:name w:val="MiniTOCItem"/>
    <w:basedOn w:val="ListBullet"/>
    <w:rsid w:val="002353EC"/>
    <w:pPr>
      <w:numPr>
        <w:numId w:val="0"/>
      </w:numPr>
      <w:tabs>
        <w:tab w:val="right" w:leader="dot" w:pos="6521"/>
      </w:tabs>
      <w:spacing w:before="0" w:after="0"/>
    </w:pPr>
  </w:style>
  <w:style w:type="paragraph" w:customStyle="1" w:styleId="TOFTitle">
    <w:name w:val="TOFTitle"/>
    <w:basedOn w:val="TOCTitle"/>
    <w:rsid w:val="002353EC"/>
  </w:style>
  <w:style w:type="paragraph" w:styleId="TableofFigures">
    <w:name w:val="table of figures"/>
    <w:basedOn w:val="Normal"/>
    <w:next w:val="Normal"/>
    <w:semiHidden/>
    <w:rsid w:val="002353EC"/>
    <w:pPr>
      <w:tabs>
        <w:tab w:val="right" w:leader="dot" w:pos="9072"/>
      </w:tabs>
      <w:ind w:left="970" w:hanging="403"/>
    </w:pPr>
    <w:rPr>
      <w:rFonts w:ascii="Times New Roman" w:hAnsi="Times New Roman"/>
      <w:b/>
    </w:rPr>
  </w:style>
  <w:style w:type="paragraph" w:styleId="ListNumber">
    <w:name w:val="List Number"/>
    <w:basedOn w:val="List"/>
    <w:rsid w:val="002353EC"/>
    <w:pPr>
      <w:numPr>
        <w:numId w:val="11"/>
      </w:numPr>
    </w:pPr>
  </w:style>
  <w:style w:type="character" w:customStyle="1" w:styleId="WingdingSymbols">
    <w:name w:val="Wingding Symbols"/>
    <w:rsid w:val="002353EC"/>
    <w:rPr>
      <w:rFonts w:ascii="Wingdings" w:hAnsi="Wingdings"/>
    </w:rPr>
  </w:style>
  <w:style w:type="paragraph" w:customStyle="1" w:styleId="TableHeading">
    <w:name w:val="Table Heading"/>
    <w:basedOn w:val="HeadingBase"/>
    <w:rsid w:val="002353EC"/>
    <w:pPr>
      <w:keepLines/>
      <w:pBdr>
        <w:bottom w:val="single" w:sz="6" w:space="1" w:color="918585"/>
      </w:pBdr>
      <w:spacing w:before="240"/>
    </w:pPr>
  </w:style>
  <w:style w:type="character" w:customStyle="1" w:styleId="HotSpot">
    <w:name w:val="HotSpot"/>
    <w:rsid w:val="002353EC"/>
    <w:rPr>
      <w:color w:val="0033CC"/>
      <w:u w:val="none"/>
    </w:rPr>
  </w:style>
  <w:style w:type="paragraph" w:customStyle="1" w:styleId="BodyTextRight">
    <w:name w:val="Body Text Right"/>
    <w:basedOn w:val="BodyText"/>
    <w:rsid w:val="002353EC"/>
    <w:pPr>
      <w:spacing w:before="0" w:after="0"/>
      <w:jc w:val="right"/>
    </w:pPr>
  </w:style>
  <w:style w:type="paragraph" w:styleId="Index3">
    <w:name w:val="index 3"/>
    <w:basedOn w:val="ListNumber2"/>
    <w:next w:val="Normal"/>
    <w:semiHidden/>
    <w:rsid w:val="002353EC"/>
    <w:pPr>
      <w:numPr>
        <w:numId w:val="0"/>
      </w:numPr>
      <w:tabs>
        <w:tab w:val="right" w:leader="dot" w:pos="4176"/>
      </w:tabs>
    </w:pPr>
  </w:style>
  <w:style w:type="paragraph" w:styleId="ListNumber2">
    <w:name w:val="List Number 2"/>
    <w:basedOn w:val="List2"/>
    <w:rsid w:val="002353EC"/>
    <w:pPr>
      <w:numPr>
        <w:numId w:val="10"/>
      </w:numPr>
      <w:tabs>
        <w:tab w:val="clear" w:pos="1060"/>
      </w:tabs>
    </w:pPr>
  </w:style>
  <w:style w:type="paragraph" w:customStyle="1" w:styleId="MarginNote">
    <w:name w:val="Margin Note"/>
    <w:basedOn w:val="BodyText"/>
    <w:rsid w:val="00235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3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3EC"/>
    <w:rPr>
      <w:sz w:val="32"/>
    </w:rPr>
  </w:style>
  <w:style w:type="paragraph" w:customStyle="1" w:styleId="HeadingProcedure">
    <w:name w:val="Heading Procedure"/>
    <w:basedOn w:val="HeadingBase"/>
    <w:next w:val="Normal"/>
    <w:rsid w:val="002353EC"/>
    <w:pPr>
      <w:tabs>
        <w:tab w:val="left" w:pos="0"/>
      </w:tabs>
      <w:spacing w:before="120" w:after="60"/>
    </w:pPr>
    <w:rPr>
      <w:i/>
      <w:color w:val="918585"/>
      <w:sz w:val="22"/>
    </w:rPr>
  </w:style>
  <w:style w:type="paragraph" w:customStyle="1" w:styleId="TableBodyText">
    <w:name w:val="Table Body Text"/>
    <w:basedOn w:val="BodyText"/>
    <w:rsid w:val="002353EC"/>
    <w:pPr>
      <w:spacing w:before="60" w:after="60"/>
    </w:pPr>
  </w:style>
  <w:style w:type="paragraph" w:styleId="ListContinue">
    <w:name w:val="List Continue"/>
    <w:basedOn w:val="List"/>
    <w:rsid w:val="002353EC"/>
    <w:pPr>
      <w:ind w:firstLine="0"/>
    </w:pPr>
  </w:style>
  <w:style w:type="paragraph" w:customStyle="1" w:styleId="ListNote">
    <w:name w:val="List Note"/>
    <w:basedOn w:val="List"/>
    <w:rsid w:val="002353EC"/>
    <w:pPr>
      <w:pBdr>
        <w:top w:val="single" w:sz="6" w:space="2" w:color="918585"/>
        <w:bottom w:val="single" w:sz="6" w:space="2" w:color="918585"/>
      </w:pBdr>
      <w:tabs>
        <w:tab w:val="left" w:pos="1021"/>
      </w:tabs>
      <w:ind w:firstLine="0"/>
    </w:pPr>
  </w:style>
  <w:style w:type="paragraph" w:customStyle="1" w:styleId="Warning">
    <w:name w:val="Warning"/>
    <w:basedOn w:val="BodyText"/>
    <w:rsid w:val="002353EC"/>
    <w:pPr>
      <w:shd w:val="clear" w:color="auto" w:fill="D9D9D9"/>
      <w:tabs>
        <w:tab w:val="left" w:pos="992"/>
      </w:tabs>
      <w:ind w:left="119" w:right="119"/>
    </w:pPr>
    <w:rPr>
      <w:sz w:val="20"/>
    </w:rPr>
  </w:style>
  <w:style w:type="paragraph" w:customStyle="1" w:styleId="MarginIcons">
    <w:name w:val="Margin Icons"/>
    <w:basedOn w:val="BodyText"/>
    <w:rsid w:val="00235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3EC"/>
    <w:rPr>
      <w:rFonts w:ascii="Courier New" w:hAnsi="Courier New"/>
    </w:rPr>
  </w:style>
  <w:style w:type="paragraph" w:customStyle="1" w:styleId="NoteBullet">
    <w:name w:val="Note Bullet"/>
    <w:basedOn w:val="Note"/>
    <w:rsid w:val="002353EC"/>
    <w:pPr>
      <w:tabs>
        <w:tab w:val="clear" w:pos="680"/>
      </w:tabs>
      <w:spacing w:before="60" w:after="60"/>
    </w:pPr>
  </w:style>
  <w:style w:type="paragraph" w:customStyle="1" w:styleId="SubHeading2">
    <w:name w:val="SubHeading2"/>
    <w:basedOn w:val="HeadingBase"/>
    <w:rsid w:val="002353EC"/>
    <w:pPr>
      <w:spacing w:before="240" w:after="60"/>
    </w:pPr>
    <w:rPr>
      <w:sz w:val="20"/>
    </w:rPr>
  </w:style>
  <w:style w:type="paragraph" w:customStyle="1" w:styleId="SubHeading1">
    <w:name w:val="SubHeading1"/>
    <w:basedOn w:val="HeadingBase"/>
    <w:rsid w:val="002353EC"/>
    <w:pPr>
      <w:spacing w:before="240" w:after="60"/>
    </w:pPr>
    <w:rPr>
      <w:color w:val="918585"/>
      <w:sz w:val="22"/>
    </w:rPr>
  </w:style>
  <w:style w:type="paragraph" w:customStyle="1" w:styleId="SideHeading">
    <w:name w:val="Side Heading"/>
    <w:basedOn w:val="HeadingBase"/>
    <w:rsid w:val="00235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3EC"/>
    <w:pPr>
      <w:numPr>
        <w:numId w:val="12"/>
      </w:numPr>
    </w:pPr>
  </w:style>
  <w:style w:type="paragraph" w:styleId="PlainText">
    <w:name w:val="Plain Text"/>
    <w:basedOn w:val="Normal"/>
    <w:link w:val="PlainTextChar"/>
    <w:rsid w:val="002353EC"/>
    <w:rPr>
      <w:sz w:val="20"/>
    </w:rPr>
  </w:style>
  <w:style w:type="character" w:customStyle="1" w:styleId="PlainTextChar">
    <w:name w:val="Plain Text Char"/>
    <w:basedOn w:val="DefaultParagraphFont"/>
    <w:link w:val="PlainText"/>
    <w:rsid w:val="002353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3EC"/>
    <w:rPr>
      <w:b/>
      <w:smallCaps/>
    </w:rPr>
  </w:style>
  <w:style w:type="paragraph" w:customStyle="1" w:styleId="TableListNumber">
    <w:name w:val="Table List Number"/>
    <w:basedOn w:val="ListNumber"/>
    <w:rsid w:val="002353EC"/>
    <w:pPr>
      <w:numPr>
        <w:numId w:val="0"/>
      </w:numPr>
    </w:pPr>
  </w:style>
  <w:style w:type="paragraph" w:styleId="TOC4">
    <w:name w:val="toc 4"/>
    <w:basedOn w:val="TOCBase"/>
    <w:next w:val="Normal"/>
    <w:semiHidden/>
    <w:rsid w:val="002353EC"/>
    <w:pPr>
      <w:tabs>
        <w:tab w:val="right" w:leader="dot" w:pos="9071"/>
      </w:tabs>
      <w:ind w:left="1701"/>
    </w:pPr>
  </w:style>
  <w:style w:type="paragraph" w:customStyle="1" w:styleId="ListAlpha">
    <w:name w:val="List Alpha"/>
    <w:basedOn w:val="List"/>
    <w:rsid w:val="002353EC"/>
    <w:pPr>
      <w:numPr>
        <w:numId w:val="9"/>
      </w:numPr>
    </w:pPr>
  </w:style>
  <w:style w:type="paragraph" w:customStyle="1" w:styleId="ListAlpha2">
    <w:name w:val="List Alpha 2"/>
    <w:basedOn w:val="List2"/>
    <w:rsid w:val="002353EC"/>
    <w:pPr>
      <w:numPr>
        <w:numId w:val="8"/>
      </w:numPr>
    </w:pPr>
  </w:style>
  <w:style w:type="paragraph" w:styleId="List2">
    <w:name w:val="List 2"/>
    <w:basedOn w:val="BodyText"/>
    <w:rsid w:val="002353EC"/>
    <w:pPr>
      <w:tabs>
        <w:tab w:val="left" w:pos="680"/>
      </w:tabs>
      <w:spacing w:before="60" w:after="60"/>
      <w:ind w:left="680" w:hanging="340"/>
    </w:pPr>
  </w:style>
  <w:style w:type="paragraph" w:styleId="List3">
    <w:name w:val="List 3"/>
    <w:basedOn w:val="BodyText"/>
    <w:rsid w:val="002353EC"/>
    <w:pPr>
      <w:tabs>
        <w:tab w:val="left" w:pos="1021"/>
      </w:tabs>
      <w:spacing w:before="60" w:after="60"/>
      <w:ind w:left="1020" w:hanging="340"/>
    </w:pPr>
  </w:style>
  <w:style w:type="paragraph" w:styleId="List4">
    <w:name w:val="List 4"/>
    <w:basedOn w:val="BodyText"/>
    <w:rsid w:val="002353EC"/>
    <w:pPr>
      <w:tabs>
        <w:tab w:val="left" w:pos="1361"/>
      </w:tabs>
      <w:spacing w:before="60" w:after="60"/>
      <w:ind w:left="1361" w:hanging="340"/>
    </w:pPr>
  </w:style>
  <w:style w:type="paragraph" w:styleId="List5">
    <w:name w:val="List 5"/>
    <w:basedOn w:val="BodyText"/>
    <w:rsid w:val="002353EC"/>
    <w:pPr>
      <w:tabs>
        <w:tab w:val="left" w:pos="1701"/>
      </w:tabs>
      <w:spacing w:before="60" w:after="60"/>
      <w:ind w:left="1701" w:hanging="340"/>
    </w:pPr>
  </w:style>
  <w:style w:type="paragraph" w:styleId="ListBullet4">
    <w:name w:val="List Bullet 4"/>
    <w:basedOn w:val="List4"/>
    <w:rsid w:val="002353EC"/>
    <w:pPr>
      <w:numPr>
        <w:numId w:val="3"/>
      </w:numPr>
    </w:pPr>
  </w:style>
  <w:style w:type="paragraph" w:styleId="ListBullet5">
    <w:name w:val="List Bullet 5"/>
    <w:basedOn w:val="List5"/>
    <w:rsid w:val="002353EC"/>
    <w:pPr>
      <w:numPr>
        <w:numId w:val="4"/>
      </w:numPr>
    </w:pPr>
  </w:style>
  <w:style w:type="paragraph" w:styleId="ListContinue2">
    <w:name w:val="List Continue 2"/>
    <w:basedOn w:val="List2"/>
    <w:rsid w:val="002353EC"/>
    <w:pPr>
      <w:ind w:firstLine="0"/>
    </w:pPr>
  </w:style>
  <w:style w:type="paragraph" w:styleId="ListContinue3">
    <w:name w:val="List Continue 3"/>
    <w:basedOn w:val="List3"/>
    <w:rsid w:val="002353EC"/>
    <w:pPr>
      <w:ind w:left="1021" w:firstLine="0"/>
    </w:pPr>
  </w:style>
  <w:style w:type="paragraph" w:styleId="ListContinue4">
    <w:name w:val="List Continue 4"/>
    <w:basedOn w:val="List4"/>
    <w:rsid w:val="002353EC"/>
    <w:pPr>
      <w:ind w:firstLine="0"/>
    </w:pPr>
  </w:style>
  <w:style w:type="paragraph" w:styleId="ListContinue5">
    <w:name w:val="List Continue 5"/>
    <w:basedOn w:val="List5"/>
    <w:rsid w:val="002353EC"/>
    <w:pPr>
      <w:ind w:firstLine="0"/>
    </w:pPr>
  </w:style>
  <w:style w:type="paragraph" w:styleId="ListNumber3">
    <w:name w:val="List Number 3"/>
    <w:basedOn w:val="List3"/>
    <w:rsid w:val="002353EC"/>
    <w:pPr>
      <w:numPr>
        <w:numId w:val="5"/>
      </w:numPr>
    </w:pPr>
  </w:style>
  <w:style w:type="paragraph" w:styleId="ListNumber4">
    <w:name w:val="List Number 4"/>
    <w:basedOn w:val="List4"/>
    <w:rsid w:val="002353EC"/>
    <w:pPr>
      <w:numPr>
        <w:numId w:val="6"/>
      </w:numPr>
    </w:pPr>
  </w:style>
  <w:style w:type="paragraph" w:styleId="ListNumber5">
    <w:name w:val="List Number 5"/>
    <w:basedOn w:val="List5"/>
    <w:rsid w:val="002353EC"/>
    <w:pPr>
      <w:numPr>
        <w:numId w:val="7"/>
      </w:numPr>
    </w:pPr>
  </w:style>
  <w:style w:type="paragraph" w:styleId="BlockText">
    <w:name w:val="Block Text"/>
    <w:basedOn w:val="Normal"/>
    <w:rsid w:val="002353EC"/>
    <w:pPr>
      <w:spacing w:after="120"/>
      <w:ind w:left="1440" w:right="1440"/>
    </w:pPr>
  </w:style>
  <w:style w:type="character" w:customStyle="1" w:styleId="Subscript">
    <w:name w:val="Subscript"/>
    <w:basedOn w:val="DefaultParagraphFont"/>
    <w:rsid w:val="002353EC"/>
    <w:rPr>
      <w:sz w:val="16"/>
      <w:vertAlign w:val="subscript"/>
    </w:rPr>
  </w:style>
  <w:style w:type="character" w:customStyle="1" w:styleId="Superscript">
    <w:name w:val="Superscript"/>
    <w:basedOn w:val="DefaultParagraphFont"/>
    <w:rsid w:val="002353EC"/>
    <w:rPr>
      <w:sz w:val="16"/>
      <w:vertAlign w:val="superscript"/>
    </w:rPr>
  </w:style>
  <w:style w:type="character" w:customStyle="1" w:styleId="Symbols">
    <w:name w:val="Symbols"/>
    <w:basedOn w:val="DefaultParagraphFont"/>
    <w:rsid w:val="002353EC"/>
    <w:rPr>
      <w:rFonts w:ascii="Symbol" w:hAnsi="Symbol"/>
    </w:rPr>
  </w:style>
  <w:style w:type="character" w:customStyle="1" w:styleId="MenuOptions">
    <w:name w:val="Menu Options"/>
    <w:basedOn w:val="DefaultParagraphFont"/>
    <w:rsid w:val="002353EC"/>
    <w:rPr>
      <w:rFonts w:ascii="Arial Narrow" w:hAnsi="Arial Narrow"/>
      <w:smallCaps/>
    </w:rPr>
  </w:style>
  <w:style w:type="character" w:customStyle="1" w:styleId="Buttons">
    <w:name w:val="Buttons"/>
    <w:basedOn w:val="DefaultParagraphFont"/>
    <w:rsid w:val="002353EC"/>
    <w:rPr>
      <w:b/>
    </w:rPr>
  </w:style>
  <w:style w:type="character" w:customStyle="1" w:styleId="Underlined">
    <w:name w:val="Underlined"/>
    <w:basedOn w:val="DefaultParagraphFont"/>
    <w:rsid w:val="002353EC"/>
    <w:rPr>
      <w:u w:val="single"/>
    </w:rPr>
  </w:style>
  <w:style w:type="paragraph" w:customStyle="1" w:styleId="TableBodyTextRight">
    <w:name w:val="Table Body Text Right"/>
    <w:basedOn w:val="TableBodyText"/>
    <w:rsid w:val="002353EC"/>
    <w:pPr>
      <w:widowControl w:val="0"/>
      <w:autoSpaceDE w:val="0"/>
      <w:autoSpaceDN w:val="0"/>
      <w:adjustRightInd w:val="0"/>
      <w:jc w:val="right"/>
    </w:pPr>
    <w:rPr>
      <w:rFonts w:cs="Arial"/>
      <w:szCs w:val="18"/>
    </w:rPr>
  </w:style>
  <w:style w:type="paragraph" w:customStyle="1" w:styleId="CopyrightText">
    <w:name w:val="Copyright Text"/>
    <w:basedOn w:val="BodyText"/>
    <w:rsid w:val="002353EC"/>
    <w:rPr>
      <w:sz w:val="18"/>
    </w:rPr>
  </w:style>
  <w:style w:type="paragraph" w:customStyle="1" w:styleId="BodySmallRight">
    <w:name w:val="Body Small Right"/>
    <w:basedOn w:val="BodyTextRight"/>
    <w:rsid w:val="002353EC"/>
    <w:rPr>
      <w:sz w:val="18"/>
      <w:szCs w:val="18"/>
    </w:rPr>
  </w:style>
  <w:style w:type="paragraph" w:customStyle="1" w:styleId="MarginEdition">
    <w:name w:val="Margin Edition"/>
    <w:basedOn w:val="MarginNote"/>
    <w:rsid w:val="002353EC"/>
    <w:pPr>
      <w:spacing w:before="0" w:after="0"/>
    </w:pPr>
    <w:rPr>
      <w:rFonts w:ascii="Times New Roman" w:hAnsi="Times New Roman"/>
      <w:color w:val="999999"/>
    </w:rPr>
  </w:style>
  <w:style w:type="paragraph" w:customStyle="1" w:styleId="Spacer">
    <w:name w:val="Spacer"/>
    <w:basedOn w:val="Normal"/>
    <w:rsid w:val="002353EC"/>
    <w:rPr>
      <w:sz w:val="2"/>
      <w:szCs w:val="2"/>
    </w:rPr>
  </w:style>
  <w:style w:type="character" w:customStyle="1" w:styleId="Small">
    <w:name w:val="Small"/>
    <w:basedOn w:val="DefaultParagraphFont"/>
    <w:rsid w:val="002353EC"/>
    <w:rPr>
      <w:sz w:val="16"/>
    </w:rPr>
  </w:style>
  <w:style w:type="paragraph" w:customStyle="1" w:styleId="WideTable">
    <w:name w:val="Wide Table"/>
    <w:basedOn w:val="Normal"/>
    <w:rsid w:val="002353EC"/>
    <w:pPr>
      <w:ind w:left="-1418"/>
    </w:pPr>
    <w:rPr>
      <w:sz w:val="2"/>
      <w:szCs w:val="2"/>
    </w:rPr>
  </w:style>
  <w:style w:type="character" w:styleId="PageNumber">
    <w:name w:val="page number"/>
    <w:basedOn w:val="DefaultParagraphFont"/>
    <w:rsid w:val="002353EC"/>
  </w:style>
  <w:style w:type="paragraph" w:styleId="Quote">
    <w:name w:val="Quote"/>
    <w:basedOn w:val="Heading1"/>
    <w:link w:val="QuoteChar"/>
    <w:qFormat/>
    <w:rsid w:val="002353EC"/>
    <w:rPr>
      <w:b w:val="0"/>
      <w:sz w:val="72"/>
      <w:szCs w:val="72"/>
      <w:lang w:val="en-NZ"/>
    </w:rPr>
  </w:style>
  <w:style w:type="character" w:customStyle="1" w:styleId="QuoteChar">
    <w:name w:val="Quote Char"/>
    <w:basedOn w:val="DefaultParagraphFont"/>
    <w:link w:val="Quote"/>
    <w:rsid w:val="00235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3EC"/>
    <w:pPr>
      <w:pageBreakBefore/>
    </w:pPr>
  </w:style>
  <w:style w:type="paragraph" w:customStyle="1" w:styleId="Border">
    <w:name w:val="Border"/>
    <w:basedOn w:val="Normal"/>
    <w:qFormat/>
    <w:rsid w:val="00235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3EC"/>
    <w:rPr>
      <w:b/>
      <w:bCs/>
      <w:i/>
      <w:iCs/>
      <w:color w:val="auto"/>
    </w:rPr>
  </w:style>
  <w:style w:type="paragraph" w:styleId="IntenseQuote">
    <w:name w:val="Intense Quote"/>
    <w:basedOn w:val="Normal"/>
    <w:next w:val="Normal"/>
    <w:link w:val="IntenseQuoteChar"/>
    <w:uiPriority w:val="30"/>
    <w:qFormat/>
    <w:rsid w:val="00235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3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3EC"/>
    <w:rPr>
      <w:smallCaps/>
      <w:color w:val="auto"/>
      <w:u w:val="single"/>
    </w:rPr>
  </w:style>
  <w:style w:type="character" w:styleId="IntenseReference">
    <w:name w:val="Intense Reference"/>
    <w:basedOn w:val="DefaultParagraphFont"/>
    <w:uiPriority w:val="32"/>
    <w:qFormat/>
    <w:rsid w:val="002353EC"/>
    <w:rPr>
      <w:b/>
      <w:bCs/>
      <w:smallCaps/>
      <w:color w:val="auto"/>
      <w:spacing w:val="5"/>
      <w:u w:val="single"/>
    </w:rPr>
  </w:style>
  <w:style w:type="paragraph" w:customStyle="1" w:styleId="2ColumnHeading">
    <w:name w:val="2Column Heading"/>
    <w:basedOn w:val="BodyText"/>
    <w:qFormat/>
    <w:rsid w:val="002353EC"/>
    <w:pPr>
      <w:spacing w:after="60"/>
      <w:ind w:left="-2268"/>
    </w:pPr>
    <w:rPr>
      <w:b/>
    </w:rPr>
  </w:style>
  <w:style w:type="paragraph" w:customStyle="1" w:styleId="Heading1TOC">
    <w:name w:val="Heading1 TOC"/>
    <w:basedOn w:val="Normal"/>
    <w:qFormat/>
    <w:rsid w:val="002353EC"/>
    <w:pPr>
      <w:spacing w:before="240" w:after="120"/>
    </w:pPr>
    <w:rPr>
      <w:rFonts w:ascii="Times New Roman" w:hAnsi="Times New Roman"/>
      <w:b/>
      <w:sz w:val="32"/>
    </w:rPr>
  </w:style>
  <w:style w:type="paragraph" w:customStyle="1" w:styleId="Heading2TOC">
    <w:name w:val="Heading2 TOC"/>
    <w:basedOn w:val="Normal"/>
    <w:qFormat/>
    <w:rsid w:val="002353EC"/>
    <w:pPr>
      <w:spacing w:before="240" w:after="60"/>
    </w:pPr>
    <w:rPr>
      <w:rFonts w:ascii="Times New Roman" w:hAnsi="Times New Roman"/>
      <w:b/>
      <w:sz w:val="28"/>
    </w:rPr>
  </w:style>
  <w:style w:type="character" w:customStyle="1" w:styleId="Underline">
    <w:name w:val="Underline"/>
    <w:basedOn w:val="DefaultParagraphFont"/>
    <w:qFormat/>
    <w:rsid w:val="002353EC"/>
    <w:rPr>
      <w:u w:val="single"/>
    </w:rPr>
  </w:style>
  <w:style w:type="character" w:customStyle="1" w:styleId="BoldandItalics">
    <w:name w:val="Bold and Italics"/>
    <w:qFormat/>
    <w:rsid w:val="002353EC"/>
    <w:rPr>
      <w:b/>
      <w:i/>
      <w:u w:val="none"/>
    </w:rPr>
  </w:style>
  <w:style w:type="paragraph" w:styleId="BalloonText">
    <w:name w:val="Balloon Text"/>
    <w:basedOn w:val="Normal"/>
    <w:link w:val="BalloonTextChar"/>
    <w:rsid w:val="002353EC"/>
    <w:rPr>
      <w:rFonts w:ascii="Tahoma" w:hAnsi="Tahoma" w:cs="Tahoma"/>
      <w:sz w:val="16"/>
      <w:szCs w:val="16"/>
    </w:rPr>
  </w:style>
  <w:style w:type="character" w:customStyle="1" w:styleId="BalloonTextChar">
    <w:name w:val="Balloon Text Char"/>
    <w:basedOn w:val="DefaultParagraphFont"/>
    <w:link w:val="BalloonText"/>
    <w:rsid w:val="002353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3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3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2212</Words>
  <Characters>13200</Characters>
  <Application>Microsoft Office Word</Application>
  <DocSecurity>0</DocSecurity>
  <Lines>567</Lines>
  <Paragraphs>240</Paragraphs>
  <ScaleCrop>false</ScaleCrop>
  <Company>Author-it Software Corporation Ltd.</Company>
  <LinksUpToDate>false</LinksUpToDate>
  <CharactersWithSpaces>15222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UEPMNT417A Inspect Electrical Generators and Diagnose Faults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