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65C9" w:rsidP="00F065C9">
      <w:pPr>
        <w:pStyle w:val="Title"/>
      </w:pPr>
      <w:r>
        <w:fldChar w:fldCharType="begin"/>
      </w:r>
      <w:r>
        <w:instrText xml:space="preserve"> TITLE   \* MERGEFORMAT </w:instrText>
      </w:r>
      <w:r>
        <w:fldChar w:fldCharType="separate"/>
      </w:r>
      <w:r>
        <w:t>UEPMNT402A Conduct Complex Levelling and Alignment</w:t>
      </w:r>
      <w:r>
        <w:fldChar w:fldCharType="end"/>
      </w:r>
    </w:p>
    <w:p w:rsidR="00F065C9" w:rsidP="00F065C9">
      <w:pPr>
        <w:pStyle w:val="Version"/>
        <w:sectPr w:rsidSect="002511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119B" w:rsidP="0025119B">
      <w:pPr>
        <w:pStyle w:val="SuperHeading"/>
      </w:pPr>
      <w:r w:rsidRPr="0025119B">
        <w:t>UEPMNT402A Conduct Complex Levelling and Alignment</w:t>
      </w:r>
    </w:p>
    <w:p w:rsidR="00000000" w:rsidRPr="0025119B" w:rsidP="0025119B">
      <w:pPr>
        <w:pStyle w:val="Heading1"/>
      </w:pPr>
      <w:bookmarkStart w:id="1" w:name="O_275212"/>
      <w:bookmarkEnd w:id="1"/>
      <w:r w:rsidRPr="0025119B">
        <w:t>Modification History</w:t>
      </w:r>
    </w:p>
    <w:p w:rsidR="00000000" w:rsidRPr="0025119B" w:rsidP="0025119B">
      <w:pPr>
        <w:pStyle w:val="BodyText"/>
      </w:pPr>
      <w:r w:rsidRPr="0025119B">
        <w:t>Not Applicable</w:t>
      </w:r>
    </w:p>
    <w:p w:rsidR="00000000" w:rsidRPr="0025119B" w:rsidP="0025119B">
      <w:pPr>
        <w:pStyle w:val="AllowPageBreak"/>
      </w:pPr>
    </w:p>
    <w:p w:rsidR="00000000" w:rsidRPr="0025119B" w:rsidP="0025119B">
      <w:pPr>
        <w:pStyle w:val="Heading1"/>
      </w:pPr>
      <w:bookmarkStart w:id="2" w:name="O_230031"/>
      <w:bookmarkEnd w:id="2"/>
      <w:r w:rsidRPr="0025119B">
        <w:t>Unit Descriptor</w:t>
      </w:r>
    </w:p>
    <w:tbl>
      <w:tblPr>
        <w:tblW w:w="0" w:type="auto"/>
        <w:tblLayout w:type="fixed"/>
        <w:tblCellMar>
          <w:left w:w="62" w:type="dxa"/>
          <w:right w:w="62" w:type="dxa"/>
        </w:tblCellMar>
        <w:tblLook w:val="0000"/>
      </w:tblPr>
      <w:tblGrid>
        <w:gridCol w:w="2700"/>
        <w:gridCol w:w="5760"/>
      </w:tblGrid>
      <w:tr w:rsidTr="00F065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rPr>
                <w:rStyle w:val="SpecialBold"/>
              </w:rPr>
              <w:t>1</w:t>
            </w:r>
            <w:r w:rsidRPr="0025119B">
              <w:t xml:space="preserve">) </w:t>
            </w:r>
          </w:p>
        </w:tc>
      </w:tr>
      <w:tr w:rsidTr="00F065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t>This unit deals with the skills and knowledge required to conduct the advanced alignment of plant and machinery and may include high speed rotating plant.</w:t>
            </w:r>
          </w:p>
        </w:tc>
      </w:tr>
    </w:tbl>
    <w:p w:rsidR="00F065C9" w:rsidP="0025119B">
      <w:pPr>
        <w:pStyle w:val="BodyText"/>
      </w:pPr>
    </w:p>
    <w:p w:rsidR="00F065C9" w:rsidP="0025119B">
      <w:pPr>
        <w:pStyle w:val="BodyText"/>
      </w:pPr>
    </w:p>
    <w:p w:rsidR="00000000" w:rsidRPr="0025119B" w:rsidP="0025119B">
      <w:pPr>
        <w:pStyle w:val="Heading1"/>
      </w:pPr>
      <w:bookmarkStart w:id="3" w:name="O_230034"/>
      <w:bookmarkEnd w:id="3"/>
      <w:r w:rsidRPr="0025119B">
        <w:t>Application of the Unit</w:t>
      </w:r>
    </w:p>
    <w:tbl>
      <w:tblPr>
        <w:tblW w:w="0" w:type="auto"/>
        <w:tblLayout w:type="fixed"/>
        <w:tblCellMar>
          <w:left w:w="62" w:type="dxa"/>
          <w:right w:w="62" w:type="dxa"/>
        </w:tblCellMar>
        <w:tblLook w:val="0000"/>
      </w:tblPr>
      <w:tblGrid>
        <w:gridCol w:w="2700"/>
        <w:gridCol w:w="5760"/>
      </w:tblGrid>
      <w:tr w:rsidTr="00F065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rPr>
                <w:rStyle w:val="SpecialBold"/>
              </w:rPr>
              <w:t>3</w:t>
            </w:r>
            <w:r w:rsidRPr="0025119B">
              <w:t xml:space="preserve">) </w:t>
            </w:r>
          </w:p>
        </w:tc>
      </w:tr>
      <w:tr w:rsidTr="00F065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This unit is intended to au</w:t>
            </w:r>
            <w:r w:rsidRPr="0025119B">
              <w:t>gment formally acquired competencies. It is suitable for employment-based programs under an approved contract of training.</w:t>
            </w:r>
          </w:p>
        </w:tc>
      </w:tr>
      <w:tr w:rsidTr="00F065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rPr>
                <w:rStyle w:val="SpecialBold"/>
              </w:rPr>
              <w:t>3</w:t>
            </w:r>
            <w:r w:rsidRPr="0025119B">
              <w:t>.</w:t>
            </w:r>
            <w:r w:rsidRPr="0025119B">
              <w:rPr>
                <w:rStyle w:val="SpecialBold"/>
              </w:rPr>
              <w:t>1</w:t>
            </w:r>
            <w:r w:rsidRPr="0025119B">
              <w:t xml:space="preserve">) </w:t>
            </w:r>
          </w:p>
        </w:tc>
      </w:tr>
      <w:tr w:rsidTr="00F065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t>The skills and knowledge described in this unit do not require a licence to practise</w:t>
            </w:r>
            <w:r w:rsidRPr="0025119B">
              <w:t xml:space="preserve"> in the workplace. However, practice in this unit is subject to regulations directly related to Occupational Health and Safety and where applicable contracts of training such as apprenticeships and the like.</w:t>
            </w:r>
          </w:p>
        </w:tc>
      </w:tr>
    </w:tbl>
    <w:p w:rsidR="00F065C9" w:rsidP="0025119B">
      <w:pPr>
        <w:pStyle w:val="BodyText"/>
      </w:pPr>
    </w:p>
    <w:p w:rsidR="00F065C9" w:rsidP="0025119B">
      <w:pPr>
        <w:pStyle w:val="BodyText"/>
      </w:pPr>
    </w:p>
    <w:p w:rsidR="00000000" w:rsidRPr="0025119B" w:rsidP="0025119B">
      <w:pPr>
        <w:pStyle w:val="Heading1"/>
      </w:pPr>
      <w:bookmarkStart w:id="4" w:name="O_282750"/>
      <w:bookmarkEnd w:id="4"/>
      <w:r w:rsidRPr="0025119B">
        <w:t>Licensing/Regulatory Informa</w:t>
      </w:r>
      <w:r w:rsidRPr="0025119B">
        <w:t>tion</w:t>
      </w:r>
    </w:p>
    <w:p w:rsidR="00000000" w:rsidRPr="0025119B" w:rsidP="0025119B">
      <w:pPr>
        <w:pStyle w:val="BodyText"/>
      </w:pPr>
      <w:r w:rsidRPr="0025119B">
        <w:t>Not Applicable</w:t>
      </w:r>
    </w:p>
    <w:p w:rsidR="00000000" w:rsidRPr="0025119B" w:rsidP="0025119B">
      <w:pPr>
        <w:pStyle w:val="AllowPageBreak"/>
      </w:pPr>
    </w:p>
    <w:p w:rsidR="00000000" w:rsidRPr="0025119B" w:rsidP="0025119B">
      <w:pPr>
        <w:pStyle w:val="Heading1"/>
      </w:pPr>
      <w:bookmarkStart w:id="5" w:name="O_230032"/>
      <w:bookmarkEnd w:id="5"/>
      <w:r w:rsidRPr="0025119B">
        <w:t>Pre-Requisites</w:t>
      </w:r>
    </w:p>
    <w:tbl>
      <w:tblPr>
        <w:tblW w:w="0" w:type="auto"/>
        <w:tblLayout w:type="fixed"/>
        <w:tblCellMar>
          <w:left w:w="62" w:type="dxa"/>
          <w:right w:w="62" w:type="dxa"/>
        </w:tblCellMar>
        <w:tblLook w:val="0000"/>
      </w:tblPr>
      <w:tblGrid>
        <w:gridCol w:w="2700"/>
        <w:gridCol w:w="3060"/>
        <w:gridCol w:w="2700"/>
      </w:tblGrid>
      <w:tr w:rsidTr="00F065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rPr>
                <w:rStyle w:val="SpecialBold"/>
              </w:rPr>
              <w:t>Prerequisite Unit</w:t>
            </w:r>
            <w:r w:rsidRPr="0025119B">
              <w:t>(</w:t>
            </w:r>
            <w:r w:rsidRPr="0025119B">
              <w:rPr>
                <w:rStyle w:val="SpecialBold"/>
              </w:rPr>
              <w:t>s</w:t>
            </w:r>
            <w:r w:rsidRPr="0025119B">
              <w:t>)</w:t>
            </w:r>
          </w:p>
        </w:tc>
        <w:tc>
          <w:tcPr>
            <w:tcW w:w="5760" w:type="dxa"/>
            <w:gridSpan w:val="2"/>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rPr>
                <w:rStyle w:val="SpecialBold"/>
              </w:rPr>
              <w:t>2</w:t>
            </w:r>
            <w:r w:rsidRPr="0025119B">
              <w:t xml:space="preserve">) </w:t>
            </w:r>
          </w:p>
        </w:tc>
      </w:tr>
      <w:tr w:rsidTr="00F065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rPr>
                <w:rStyle w:val="SpecialBold"/>
              </w:rPr>
              <w:t>2</w:t>
            </w:r>
            <w:r w:rsidRPr="0025119B">
              <w:t>.</w:t>
            </w:r>
            <w:r w:rsidRPr="0025119B">
              <w:rPr>
                <w:rStyle w:val="SpecialBold"/>
              </w:rPr>
              <w:t>1</w:t>
            </w:r>
            <w:r w:rsidRPr="0025119B">
              <w:t xml:space="preserve">) </w:t>
            </w:r>
          </w:p>
        </w:tc>
      </w:tr>
      <w:tr w:rsidTr="00F065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 xml:space="preserve">Entry to this unit will require completion of a Certificate III from this training package or be a recognised tradesperson with a Certificate </w:t>
            </w:r>
            <w:r w:rsidRPr="0025119B">
              <w:t>III Mechanical from the National Metals and Engineering training package or equivalent.</w:t>
            </w:r>
          </w:p>
        </w:tc>
      </w:tr>
      <w:tr w:rsidTr="00F065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There are no pre-requisite units.</w:t>
            </w:r>
          </w:p>
        </w:tc>
        <w:tc>
          <w:tcPr>
            <w:tcW w:w="2700" w:type="dxa"/>
            <w:tcBorders>
              <w:top w:val="nil"/>
              <w:left w:val="nil"/>
              <w:bottom w:val="nil"/>
              <w:right w:val="nil"/>
            </w:tcBorders>
            <w:tcMar>
              <w:top w:w="0" w:type="dxa"/>
              <w:left w:w="62" w:type="dxa"/>
              <w:bottom w:w="0" w:type="dxa"/>
              <w:right w:w="62" w:type="dxa"/>
            </w:tcMar>
          </w:tcPr>
          <w:p w:rsidR="00000000" w:rsidRPr="0025119B" w:rsidP="0025119B">
            <w:pPr>
              <w:pStyle w:val="BodyText"/>
            </w:pPr>
          </w:p>
        </w:tc>
      </w:tr>
    </w:tbl>
    <w:p w:rsidR="00F065C9" w:rsidP="0025119B">
      <w:pPr>
        <w:pStyle w:val="BodyText"/>
      </w:pPr>
    </w:p>
    <w:p w:rsidR="00F065C9" w:rsidP="0025119B">
      <w:pPr>
        <w:pStyle w:val="BodyText"/>
      </w:pPr>
    </w:p>
    <w:p w:rsidR="00000000" w:rsidRPr="0025119B" w:rsidP="0025119B">
      <w:pPr>
        <w:pStyle w:val="Heading1"/>
      </w:pPr>
      <w:bookmarkStart w:id="6" w:name="O_285461"/>
      <w:bookmarkEnd w:id="6"/>
      <w:r w:rsidRPr="0025119B">
        <w:t>Employability Skills Information</w:t>
      </w:r>
    </w:p>
    <w:p w:rsidR="00000000" w:rsidRPr="0025119B" w:rsidP="0025119B">
      <w:pPr>
        <w:pStyle w:val="BodyText"/>
      </w:pPr>
      <w:r w:rsidRPr="0025119B">
        <w:t>Refer to the Evidence Guide</w:t>
      </w:r>
    </w:p>
    <w:p w:rsidR="00000000" w:rsidRPr="0025119B" w:rsidP="0025119B">
      <w:pPr>
        <w:pStyle w:val="AllowPageBreak"/>
      </w:pPr>
    </w:p>
    <w:p w:rsidR="00000000" w:rsidRPr="0025119B" w:rsidP="0025119B">
      <w:pPr>
        <w:pStyle w:val="Heading1"/>
      </w:pPr>
      <w:bookmarkStart w:id="7" w:name="O_293258"/>
      <w:bookmarkEnd w:id="7"/>
      <w:r w:rsidRPr="0025119B">
        <w:t>Elements and Performance Criteria Pre-Content</w:t>
      </w:r>
    </w:p>
    <w:tbl>
      <w:tblPr>
        <w:tblW w:w="0" w:type="auto"/>
        <w:tblLayout w:type="fixed"/>
        <w:tblCellMar>
          <w:left w:w="62" w:type="dxa"/>
          <w:right w:w="62" w:type="dxa"/>
        </w:tblCellMar>
        <w:tblLook w:val="0000"/>
      </w:tblPr>
      <w:tblGrid>
        <w:gridCol w:w="2700"/>
        <w:gridCol w:w="5760"/>
      </w:tblGrid>
      <w:tr w:rsidTr="00F065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rPr>
                <w:rStyle w:val="SpecialBold"/>
              </w:rPr>
              <w:t>5</w:t>
            </w:r>
            <w:r w:rsidRPr="0025119B">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t>Performance Criteria describe the required performance needed to demonstrate achievement of the element. Assessment of performance is t</w:t>
            </w:r>
            <w:r w:rsidRPr="0025119B">
              <w:t>o be consistent with the Evidence Guide.</w:t>
            </w:r>
          </w:p>
        </w:tc>
      </w:tr>
    </w:tbl>
    <w:p w:rsidR="00000000" w:rsidRPr="0025119B" w:rsidP="0025119B">
      <w:pPr>
        <w:pStyle w:val="BodyText"/>
      </w:pPr>
    </w:p>
    <w:p w:rsidR="00000000" w:rsidRPr="0025119B" w:rsidP="0025119B">
      <w:pPr>
        <w:pStyle w:val="AllowPageBreak"/>
      </w:pPr>
    </w:p>
    <w:p w:rsidR="00000000" w:rsidRPr="0025119B" w:rsidP="0025119B">
      <w:pPr>
        <w:pStyle w:val="Heading1"/>
      </w:pPr>
      <w:bookmarkStart w:id="8" w:name="O_239926"/>
      <w:bookmarkEnd w:id="8"/>
      <w:r w:rsidRPr="0025119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065C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rPr>
                <w:rStyle w:val="SpecialBold"/>
              </w:rPr>
              <w:t>PERFORMANCE CRITERIA</w:t>
            </w:r>
          </w:p>
        </w:tc>
      </w:tr>
      <w:tr w:rsidTr="00F065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1</w:t>
            </w:r>
          </w:p>
        </w:tc>
        <w:tc>
          <w:tcPr>
            <w:tcW w:w="2296" w:type="dxa"/>
            <w:vMerge w:val="restart"/>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1.1</w:t>
            </w:r>
          </w:p>
        </w:tc>
        <w:tc>
          <w:tcPr>
            <w:tcW w:w="48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Work requirements are identified from request/work orders or equivalent and clarified/confirmed with appropriate parties or by site inspection</w:t>
            </w:r>
          </w:p>
        </w:tc>
      </w:tr>
      <w:tr w:rsidTr="00F065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1.2</w:t>
            </w:r>
          </w:p>
        </w:tc>
        <w:tc>
          <w:tcPr>
            <w:tcW w:w="48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 xml:space="preserve">Occupational Health and Safety standards, statutory requirements, relevant Australian standards, codes of </w:t>
            </w:r>
            <w:r w:rsidRPr="0025119B">
              <w:t>practice, manufacturers' specifications, environmental requirements and enterprise procedures are identified, applied and monitored throughout the work procedure</w:t>
            </w:r>
          </w:p>
        </w:tc>
      </w:tr>
      <w:tr w:rsidTr="00F065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1.3</w:t>
            </w:r>
          </w:p>
        </w:tc>
        <w:tc>
          <w:tcPr>
            <w:tcW w:w="48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Resources required to satisfy the work plan are identified, obtained and inspected for compliance with the job specifications</w:t>
            </w:r>
          </w:p>
        </w:tc>
      </w:tr>
      <w:tr w:rsidTr="00F065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1.4</w:t>
            </w:r>
          </w:p>
        </w:tc>
        <w:tc>
          <w:tcPr>
            <w:tcW w:w="48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Relevant plans, drawings and texts are selected and interpreted in accordance with the work plan</w:t>
            </w:r>
          </w:p>
        </w:tc>
      </w:tr>
      <w:tr w:rsidTr="00F065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1.5</w:t>
            </w:r>
          </w:p>
        </w:tc>
        <w:tc>
          <w:tcPr>
            <w:tcW w:w="48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 xml:space="preserve">Correct size, type </w:t>
            </w:r>
            <w:r w:rsidRPr="0025119B">
              <w:t>and quantity of materials/components are determined, obtained and inspected for compliance with the job specifications</w:t>
            </w:r>
          </w:p>
        </w:tc>
      </w:tr>
      <w:tr w:rsidTr="00F065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1.6</w:t>
            </w:r>
          </w:p>
        </w:tc>
        <w:tc>
          <w:tcPr>
            <w:tcW w:w="48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Work is planned in detail including sequencing and prioritising and considerations made, where appropriate, for the maintenance of</w:t>
            </w:r>
            <w:r w:rsidRPr="0025119B">
              <w:t xml:space="preserve"> plant security and capacity in accordance with system/site requirements</w:t>
            </w:r>
          </w:p>
        </w:tc>
      </w:tr>
      <w:tr w:rsidTr="00F065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1.7</w:t>
            </w:r>
          </w:p>
        </w:tc>
        <w:tc>
          <w:tcPr>
            <w:tcW w:w="48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Co-ordination requirements, including requests for isolations where appropriate, are resolved with others involved, affected or required by the work</w:t>
            </w:r>
          </w:p>
        </w:tc>
      </w:tr>
      <w:tr w:rsidTr="00F065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1.8</w:t>
            </w:r>
          </w:p>
        </w:tc>
        <w:tc>
          <w:tcPr>
            <w:tcW w:w="48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Potential hazards are identified and prevention and/or control measures are selected in accordance with the work plan and site procedures</w:t>
            </w:r>
          </w:p>
        </w:tc>
      </w:tr>
      <w:tr w:rsidTr="00F065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1.9</w:t>
            </w:r>
          </w:p>
        </w:tc>
        <w:tc>
          <w:tcPr>
            <w:tcW w:w="48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Work area is prepared in accordance with work requirements and site procedures</w:t>
            </w:r>
          </w:p>
        </w:tc>
      </w:tr>
      <w:tr w:rsidTr="00F065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1.10</w:t>
            </w:r>
          </w:p>
        </w:tc>
        <w:tc>
          <w:tcPr>
            <w:tcW w:w="48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Where appropriate, the t</w:t>
            </w:r>
            <w:r w:rsidRPr="0025119B">
              <w:t xml:space="preserve">eams and individuals roles and responsibilities within the team are identified, and where required, assist in the provision of on-the-job training </w:t>
            </w:r>
          </w:p>
        </w:tc>
      </w:tr>
      <w:tr w:rsidTr="00F065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2</w:t>
            </w:r>
          </w:p>
        </w:tc>
        <w:tc>
          <w:tcPr>
            <w:tcW w:w="2296" w:type="dxa"/>
            <w:vMerge w:val="restart"/>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Perform alignment</w:t>
            </w:r>
          </w:p>
        </w:tc>
        <w:tc>
          <w:tcPr>
            <w:tcW w:w="90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2.1</w:t>
            </w:r>
          </w:p>
        </w:tc>
        <w:tc>
          <w:tcPr>
            <w:tcW w:w="48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Required isolations are confirmed where appropriate in accordance with enterprise/site requirements</w:t>
            </w:r>
          </w:p>
        </w:tc>
      </w:tr>
      <w:tr w:rsidTr="00F065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2.2</w:t>
            </w:r>
          </w:p>
        </w:tc>
        <w:tc>
          <w:tcPr>
            <w:tcW w:w="48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Measurements are taken and recorded to facilitate compliance with manufacturer specifications  and future job requirements</w:t>
            </w:r>
          </w:p>
        </w:tc>
      </w:tr>
      <w:tr w:rsidTr="00F065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2.3</w:t>
            </w:r>
          </w:p>
        </w:tc>
        <w:tc>
          <w:tcPr>
            <w:tcW w:w="48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Levelling and align</w:t>
            </w:r>
            <w:r w:rsidRPr="0025119B">
              <w:t>ment calculations are performed and sketches made as required in accordance with the work plan</w:t>
            </w:r>
          </w:p>
        </w:tc>
      </w:tr>
      <w:tr w:rsidTr="00F065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2.4</w:t>
            </w:r>
          </w:p>
        </w:tc>
        <w:tc>
          <w:tcPr>
            <w:tcW w:w="48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Plant and machinery is levelled and aligned, and adjustments made to ensure compliance with manufacturer specifications  and the work plan</w:t>
            </w:r>
          </w:p>
        </w:tc>
      </w:tr>
      <w:tr w:rsidTr="00F065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2.5</w:t>
            </w:r>
          </w:p>
        </w:tc>
        <w:tc>
          <w:tcPr>
            <w:tcW w:w="48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Final alignment inspections are undertaken and fastenings are torqued in accordance with manufacturer specifications  and the work plan</w:t>
            </w:r>
          </w:p>
        </w:tc>
      </w:tr>
      <w:tr w:rsidTr="00F065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2.6</w:t>
            </w:r>
          </w:p>
        </w:tc>
        <w:tc>
          <w:tcPr>
            <w:tcW w:w="48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Plant and machinery is test run, monitored and adjusted as required in accordance with manufacturer specification</w:t>
            </w:r>
            <w:r w:rsidRPr="0025119B">
              <w:t>s  and job/site requirements.</w:t>
            </w:r>
          </w:p>
        </w:tc>
      </w:tr>
      <w:tr w:rsidTr="00F065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3</w:t>
            </w:r>
          </w:p>
        </w:tc>
        <w:tc>
          <w:tcPr>
            <w:tcW w:w="2296"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Complete the work</w:t>
            </w:r>
          </w:p>
        </w:tc>
        <w:tc>
          <w:tcPr>
            <w:tcW w:w="90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3.1</w:t>
            </w:r>
          </w:p>
        </w:tc>
        <w:tc>
          <w:tcPr>
            <w:tcW w:w="48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Work is completed and appropriate personnel notified in accordance with site/enterprise requirements</w:t>
            </w:r>
          </w:p>
        </w:tc>
      </w:tr>
      <w:tr w:rsidTr="00F065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3.2</w:t>
            </w:r>
          </w:p>
        </w:tc>
        <w:tc>
          <w:tcPr>
            <w:tcW w:w="48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Work area is cleared of waste, cleaned, restored and secured in accordance with site/enterprise procedures</w:t>
            </w:r>
          </w:p>
        </w:tc>
      </w:tr>
      <w:tr w:rsidTr="00F065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3.3</w:t>
            </w:r>
          </w:p>
        </w:tc>
        <w:tc>
          <w:tcPr>
            <w:tcW w:w="48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Plant, tools and equipment are maintained and stored in accordance with site/enterprise procedures</w:t>
            </w:r>
          </w:p>
        </w:tc>
      </w:tr>
      <w:tr w:rsidTr="00F065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3.4</w:t>
            </w:r>
          </w:p>
        </w:tc>
        <w:tc>
          <w:tcPr>
            <w:tcW w:w="4860"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t>Work completion details are finalise</w:t>
            </w:r>
            <w:r w:rsidRPr="0025119B">
              <w:t>d in accordance with site/enterprise procedures</w:t>
            </w:r>
          </w:p>
        </w:tc>
      </w:tr>
    </w:tbl>
    <w:p w:rsidR="00F065C9" w:rsidP="0025119B">
      <w:pPr>
        <w:pStyle w:val="BodyText"/>
      </w:pPr>
    </w:p>
    <w:p w:rsidR="00F065C9" w:rsidP="0025119B">
      <w:pPr>
        <w:pStyle w:val="BodyText"/>
      </w:pPr>
    </w:p>
    <w:p w:rsidR="00000000" w:rsidRPr="0025119B" w:rsidP="0025119B">
      <w:pPr>
        <w:pStyle w:val="Heading1"/>
      </w:pPr>
      <w:bookmarkStart w:id="9" w:name="O_263717"/>
      <w:bookmarkEnd w:id="9"/>
      <w:r w:rsidRPr="0025119B">
        <w:t>Required Skills and Knowledge</w:t>
      </w:r>
    </w:p>
    <w:tbl>
      <w:tblPr>
        <w:tblW w:w="0" w:type="auto"/>
        <w:tblLayout w:type="fixed"/>
        <w:tblCellMar>
          <w:left w:w="62" w:type="dxa"/>
          <w:right w:w="62" w:type="dxa"/>
        </w:tblCellMar>
        <w:tblLook w:val="0000"/>
      </w:tblPr>
      <w:tblGrid>
        <w:gridCol w:w="2700"/>
        <w:gridCol w:w="5760"/>
      </w:tblGrid>
      <w:tr w:rsidTr="00F065C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rPr>
                <w:rStyle w:val="SpecialBold"/>
              </w:rPr>
              <w:t>REQUIRED SKILLS AND KNOWLEDGE</w:t>
            </w:r>
          </w:p>
        </w:tc>
      </w:tr>
      <w:tr w:rsidTr="00F065C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rPr>
                <w:rStyle w:val="SpecialBold"/>
              </w:rPr>
              <w:t>6</w:t>
            </w:r>
            <w:r w:rsidRPr="0025119B">
              <w:t>) This describes the Essential Skills and Knowledge and their level, required for this unit.</w:t>
            </w:r>
          </w:p>
        </w:tc>
      </w:tr>
      <w:tr w:rsidTr="00F065C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t>Evidence shall show that knowledge has been acquired in conducting complex levelling and alignments.</w:t>
            </w:r>
          </w:p>
          <w:p w:rsidR="00000000" w:rsidP="0025119B">
            <w:pPr>
              <w:pStyle w:val="BodyText"/>
              <w:rPr>
                <w:lang w:val="en-NZ"/>
              </w:rPr>
            </w:pPr>
            <w:r w:rsidRPr="0025119B">
              <w:t>The extent of the Essential Knowledge and Associated Skills required follows:</w:t>
            </w:r>
          </w:p>
        </w:tc>
      </w:tr>
      <w:tr w:rsidTr="00F065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t>Evidence shall show that knowledge has been acquired for safe working prac</w:t>
            </w:r>
            <w:r w:rsidRPr="0025119B">
              <w:t>tices of:</w:t>
            </w:r>
          </w:p>
          <w:p w:rsidR="00000000" w:rsidRPr="0025119B" w:rsidP="0025119B">
            <w:pPr>
              <w:pStyle w:val="ListBullet3"/>
            </w:pPr>
            <w:r w:rsidRPr="0025119B">
              <w:t xml:space="preserve">Occupational Health and Safety standards </w:t>
            </w:r>
          </w:p>
          <w:p w:rsidR="00000000" w:rsidRPr="0025119B" w:rsidP="0025119B">
            <w:pPr>
              <w:pStyle w:val="ListBullet3"/>
            </w:pPr>
            <w:r w:rsidRPr="0025119B">
              <w:t xml:space="preserve">Precision measuring equipment </w:t>
            </w:r>
          </w:p>
          <w:p w:rsidR="00000000" w:rsidRPr="0025119B" w:rsidP="0025119B">
            <w:pPr>
              <w:pStyle w:val="ListBullet3"/>
            </w:pPr>
            <w:r w:rsidRPr="0025119B">
              <w:t xml:space="preserve">Advanced levelling and aligning principles </w:t>
            </w:r>
          </w:p>
          <w:p w:rsidR="00000000" w:rsidRPr="0025119B" w:rsidP="0025119B">
            <w:pPr>
              <w:pStyle w:val="ListBullet3"/>
            </w:pPr>
            <w:r w:rsidRPr="0025119B">
              <w:t xml:space="preserve">Couplings </w:t>
            </w:r>
          </w:p>
          <w:p w:rsidR="00000000" w:rsidRPr="0025119B" w:rsidP="0025119B">
            <w:pPr>
              <w:pStyle w:val="ListBullet3"/>
            </w:pPr>
            <w:r w:rsidRPr="0025119B">
              <w:t xml:space="preserve">Engineering mathematical techniques </w:t>
            </w:r>
          </w:p>
          <w:p w:rsidR="00000000" w:rsidRPr="0025119B" w:rsidP="0025119B">
            <w:pPr>
              <w:pStyle w:val="ListBullet3"/>
            </w:pPr>
            <w:r w:rsidRPr="0025119B">
              <w:t xml:space="preserve">Rigging and lifting principles </w:t>
            </w:r>
          </w:p>
          <w:p w:rsidR="00000000" w:rsidRPr="0025119B" w:rsidP="0025119B">
            <w:pPr>
              <w:pStyle w:val="ListBullet3"/>
            </w:pPr>
            <w:r w:rsidRPr="0025119B">
              <w:t xml:space="preserve">Shimming and packing materials </w:t>
            </w:r>
          </w:p>
          <w:p w:rsidR="00000000" w:rsidRPr="0025119B" w:rsidP="0025119B">
            <w:pPr>
              <w:pStyle w:val="ListBullet3"/>
            </w:pPr>
            <w:r w:rsidRPr="0025119B">
              <w:t xml:space="preserve">Bearings and seals </w:t>
            </w:r>
          </w:p>
          <w:p w:rsidR="00000000" w:rsidRPr="0025119B" w:rsidP="0025119B">
            <w:pPr>
              <w:pStyle w:val="ListBullet3"/>
            </w:pPr>
            <w:r w:rsidRPr="0025119B">
              <w:t xml:space="preserve">Technical drawings and data </w:t>
            </w:r>
          </w:p>
          <w:p w:rsidR="00000000" w:rsidRPr="0025119B" w:rsidP="0025119B">
            <w:pPr>
              <w:pStyle w:val="ListBullet3"/>
            </w:pPr>
            <w:r w:rsidRPr="0025119B">
              <w:t xml:space="preserve">Data recording techniques </w:t>
            </w:r>
          </w:p>
          <w:p w:rsidR="00000000" w:rsidRPr="0025119B" w:rsidP="0025119B">
            <w:pPr>
              <w:pStyle w:val="ListBullet3"/>
            </w:pPr>
            <w:r w:rsidRPr="0025119B">
              <w:t xml:space="preserve">Hand and portable power tools </w:t>
            </w:r>
          </w:p>
          <w:p w:rsidR="00000000" w:rsidRPr="0025119B" w:rsidP="0025119B">
            <w:pPr>
              <w:pStyle w:val="ListBullet3"/>
            </w:pPr>
            <w:r w:rsidRPr="0025119B">
              <w:t xml:space="preserve">Fastening devices </w:t>
            </w:r>
          </w:p>
          <w:p w:rsidR="00000000" w:rsidRPr="0025119B" w:rsidP="0025119B">
            <w:pPr>
              <w:pStyle w:val="ListBullet3"/>
            </w:pPr>
            <w:r w:rsidRPr="0025119B">
              <w:t xml:space="preserve">Associated plant and systems </w:t>
            </w:r>
          </w:p>
          <w:p w:rsidR="00000000" w:rsidP="0025119B">
            <w:pPr>
              <w:pStyle w:val="ListBullet3"/>
              <w:rPr>
                <w:lang w:val="en-NZ"/>
              </w:rPr>
            </w:pPr>
            <w:r w:rsidRPr="0025119B">
              <w:t>Communication principles</w:t>
            </w:r>
          </w:p>
        </w:tc>
      </w:tr>
      <w:tr w:rsidTr="00F065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t>Specific skills needed to achieve the Performance Criteria:</w:t>
            </w:r>
          </w:p>
          <w:p w:rsidR="00000000" w:rsidRPr="0025119B" w:rsidP="0025119B">
            <w:pPr>
              <w:pStyle w:val="ListBullet3"/>
            </w:pPr>
            <w:r w:rsidRPr="0025119B">
              <w:t xml:space="preserve">Apply Occupational Health and Safety standards </w:t>
            </w:r>
          </w:p>
          <w:p w:rsidR="00000000" w:rsidRPr="0025119B" w:rsidP="0025119B">
            <w:pPr>
              <w:pStyle w:val="ListBullet3"/>
            </w:pPr>
            <w:r w:rsidRPr="0025119B">
              <w:t xml:space="preserve">Use precision measuring equipment </w:t>
            </w:r>
          </w:p>
          <w:p w:rsidR="00000000" w:rsidRPr="0025119B" w:rsidP="0025119B">
            <w:pPr>
              <w:pStyle w:val="ListBullet3"/>
            </w:pPr>
            <w:r w:rsidRPr="0025119B">
              <w:t xml:space="preserve">Apply advanced levelling and aligning principles </w:t>
            </w:r>
          </w:p>
          <w:p w:rsidR="00000000" w:rsidRPr="0025119B" w:rsidP="0025119B">
            <w:pPr>
              <w:pStyle w:val="ListBullet3"/>
            </w:pPr>
            <w:r w:rsidRPr="0025119B">
              <w:t xml:space="preserve">Apply engineering mathematical techniques </w:t>
            </w:r>
          </w:p>
          <w:p w:rsidR="00000000" w:rsidRPr="0025119B" w:rsidP="0025119B">
            <w:pPr>
              <w:pStyle w:val="ListBullet3"/>
            </w:pPr>
            <w:r w:rsidRPr="0025119B">
              <w:t xml:space="preserve">Use hand and portable power tools </w:t>
            </w:r>
          </w:p>
          <w:p w:rsidR="00000000" w:rsidRPr="0025119B" w:rsidP="0025119B">
            <w:pPr>
              <w:pStyle w:val="ListBullet3"/>
            </w:pPr>
            <w:r w:rsidRPr="0025119B">
              <w:t xml:space="preserve">Use and update, technical drawings and data </w:t>
            </w:r>
          </w:p>
          <w:p w:rsidR="00000000" w:rsidRPr="0025119B" w:rsidP="0025119B">
            <w:pPr>
              <w:pStyle w:val="ListBullet3"/>
            </w:pPr>
            <w:r w:rsidRPr="0025119B">
              <w:t xml:space="preserve">Identify types and characteristics of couplings, seals and bearings </w:t>
            </w:r>
          </w:p>
          <w:p w:rsidR="00000000" w:rsidRPr="0025119B" w:rsidP="0025119B">
            <w:pPr>
              <w:pStyle w:val="ListBullet3"/>
            </w:pPr>
            <w:r w:rsidRPr="0025119B">
              <w:t xml:space="preserve">Apply data recording techniques </w:t>
            </w:r>
          </w:p>
          <w:p w:rsidR="00000000" w:rsidRPr="0025119B" w:rsidP="0025119B">
            <w:pPr>
              <w:pStyle w:val="ListBullet3"/>
            </w:pPr>
            <w:r w:rsidRPr="0025119B">
              <w:t xml:space="preserve">Work to precise tolerances </w:t>
            </w:r>
          </w:p>
          <w:p w:rsidR="00000000" w:rsidRPr="0025119B" w:rsidP="0025119B">
            <w:pPr>
              <w:pStyle w:val="ListBullet3"/>
            </w:pPr>
            <w:r w:rsidRPr="0025119B">
              <w:t xml:space="preserve">Use rigging and lifting techniques </w:t>
            </w:r>
          </w:p>
          <w:p w:rsidR="00000000" w:rsidRPr="0025119B" w:rsidP="0025119B">
            <w:pPr>
              <w:pStyle w:val="ListBullet3"/>
            </w:pPr>
            <w:r w:rsidRPr="0025119B">
              <w:t xml:space="preserve">Calculate and apply correct adjustment techniques </w:t>
            </w:r>
          </w:p>
          <w:p w:rsidR="00000000" w:rsidRPr="0025119B" w:rsidP="0025119B">
            <w:pPr>
              <w:pStyle w:val="ListBullet3"/>
            </w:pPr>
            <w:r w:rsidRPr="0025119B">
              <w:t xml:space="preserve">Apply testing techniques </w:t>
            </w:r>
          </w:p>
          <w:p w:rsidR="00000000" w:rsidRPr="0025119B" w:rsidP="0025119B">
            <w:pPr>
              <w:pStyle w:val="ListBullet3"/>
            </w:pPr>
            <w:r w:rsidRPr="0025119B">
              <w:t>Communicate e</w:t>
            </w:r>
            <w:r w:rsidRPr="0025119B">
              <w:t>ffectively</w:t>
            </w:r>
          </w:p>
        </w:tc>
      </w:tr>
    </w:tbl>
    <w:p w:rsidR="00F065C9" w:rsidP="0025119B">
      <w:pPr>
        <w:pStyle w:val="BodyText"/>
      </w:pPr>
    </w:p>
    <w:p w:rsidR="00F065C9" w:rsidP="0025119B">
      <w:pPr>
        <w:pStyle w:val="BodyText"/>
      </w:pPr>
    </w:p>
    <w:p w:rsidR="00000000" w:rsidRPr="0025119B" w:rsidP="0025119B">
      <w:pPr>
        <w:pStyle w:val="Heading1"/>
      </w:pPr>
      <w:bookmarkStart w:id="10" w:name="O_247909"/>
      <w:bookmarkEnd w:id="10"/>
      <w:r w:rsidRPr="0025119B">
        <w:t>Evidence Guide</w:t>
      </w:r>
    </w:p>
    <w:tbl>
      <w:tblPr>
        <w:tblW w:w="0" w:type="auto"/>
        <w:tblLayout w:type="fixed"/>
        <w:tblCellMar>
          <w:left w:w="62" w:type="dxa"/>
          <w:right w:w="62" w:type="dxa"/>
        </w:tblCellMar>
        <w:tblLook w:val="0000"/>
      </w:tblPr>
      <w:tblGrid>
        <w:gridCol w:w="2160"/>
        <w:gridCol w:w="6300"/>
      </w:tblGrid>
      <w:tr w:rsidTr="00F065C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rPr>
                <w:rStyle w:val="SpecialBold"/>
              </w:rPr>
              <w:t>EVIDENCE GUIDE</w:t>
            </w:r>
          </w:p>
        </w:tc>
      </w:tr>
      <w:tr w:rsidTr="00F065C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rPr>
                <w:rStyle w:val="SpecialBold"/>
              </w:rPr>
              <w:t>8</w:t>
            </w:r>
            <w:r w:rsidRPr="0025119B">
              <w:t xml:space="preserve">) This provides essential advice for assessment of the competency standard unit and must be read </w:t>
            </w:r>
            <w:r w:rsidRPr="0025119B">
              <w:t>in conjunction with the Performance Criteria and the Range Statement of unit and the Training Package Assessment Guidelines.</w:t>
            </w:r>
          </w:p>
          <w:p w:rsidR="00000000" w:rsidP="0025119B">
            <w:pPr>
              <w:pStyle w:val="BodyText"/>
              <w:rPr>
                <w:lang w:val="en-NZ"/>
              </w:rPr>
            </w:pPr>
            <w:r w:rsidRPr="0025119B">
              <w:t>The Evidence Guide forms an integral part of this competency standard unit and shall be used in conjunction with all components par</w:t>
            </w:r>
            <w:r w:rsidRPr="0025119B">
              <w:t>ts of this unit and, performed in accordance with the Assessment Guidelines of this Training Package.</w:t>
            </w:r>
          </w:p>
        </w:tc>
      </w:tr>
      <w:tr w:rsidTr="00F065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rPr>
                <w:rStyle w:val="SpecialBold"/>
              </w:rPr>
              <w:t>8</w:t>
            </w:r>
            <w:r w:rsidRPr="0025119B">
              <w:t>.</w:t>
            </w:r>
            <w:r w:rsidRPr="0025119B">
              <w:rPr>
                <w:rStyle w:val="SpecialBold"/>
              </w:rPr>
              <w:t>1</w:t>
            </w:r>
            <w:r w:rsidRPr="0025119B">
              <w:t xml:space="preserve">) </w:t>
            </w:r>
          </w:p>
          <w:p w:rsidR="00000000" w:rsidRPr="0025119B" w:rsidP="0025119B">
            <w:pPr>
              <w:pStyle w:val="BodyText"/>
            </w:pPr>
            <w:r w:rsidRPr="0025119B">
              <w:t>Longitude competency development approaches to assessment, such as Profiling, require data to be reliably gathered in a for</w:t>
            </w:r>
            <w:r w:rsidRPr="0025119B">
              <w:t>m that can be consistently interpreted over time. This approach is best utilised in Apprenticeship programs and reduces assessment intervention. It is the Industry's preferred model for apprenticeships. However, where summative (or final) assessment is use</w:t>
            </w:r>
            <w:r w:rsidRPr="0025119B">
              <w:t>d it is to include the application of the competency in the normal work environment or in a realistically simulated work environment. It is recognised that, in some circumstances, assessment in part or full can occur outside the workplace. However, it must</w:t>
            </w:r>
            <w:r w:rsidRPr="0025119B">
              <w:t xml:space="preserve"> be in accord with Industry and regulatory policy.</w:t>
            </w:r>
          </w:p>
          <w:p w:rsidR="00000000" w:rsidRPr="0025119B" w:rsidP="0025119B">
            <w:pPr>
              <w:pStyle w:val="BodyText"/>
            </w:pPr>
            <w:r w:rsidRPr="0025119B">
              <w:t>Methods chosen for a particular assessment will be influenced by various factors. These include the extent of the assessment, the most effective locations for the assessment activities to take place, acces</w:t>
            </w:r>
            <w:r w:rsidRPr="0025119B">
              <w:t>s to physical resources, additional safety measures that may be required and the critical nature of the competencies being assessed.</w:t>
            </w:r>
          </w:p>
          <w:p w:rsidR="00000000" w:rsidRPr="0025119B" w:rsidP="0025119B">
            <w:pPr>
              <w:pStyle w:val="BodyText"/>
            </w:pPr>
            <w:r w:rsidRPr="0025119B">
              <w:t>The critical safety nature of working with electricity, electrical equipment, gas or any other hazardous substance/material carries risk in deeming a person competent. Hence, sources of evidence need to be 'rich' in nature so as to minimise error in judgme</w:t>
            </w:r>
            <w:r w:rsidRPr="0025119B">
              <w:t>nt.</w:t>
            </w:r>
          </w:p>
          <w:p w:rsidR="00000000" w:rsidP="0025119B">
            <w:pPr>
              <w:pStyle w:val="BodyText"/>
              <w:rPr>
                <w:lang w:val="en-NZ"/>
              </w:rPr>
            </w:pPr>
            <w:r w:rsidRPr="0025119B">
              <w:t>Activities associated with normal every day work have a bearing on the decision as to how much and how detailed the data gathered will contribute to its 'richness'. Some skills are more critical to safety and operational requirements while the same ski</w:t>
            </w:r>
            <w:r w:rsidRPr="0025119B">
              <w:t>lls may be more or less frequently practiced. These points are raised for the assessors to consider when choosing an assessment method and developing assessment instruments. Sample assessment instruments are included  in the Assessment Guidelines of this T</w:t>
            </w:r>
            <w:r w:rsidRPr="0025119B">
              <w:t>raining Package.</w:t>
            </w:r>
          </w:p>
        </w:tc>
      </w:tr>
      <w:tr w:rsidTr="00F065C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rPr>
                <w:rStyle w:val="SpecialBold"/>
              </w:rPr>
              <w:t>8</w:t>
            </w:r>
            <w:r w:rsidRPr="0025119B">
              <w:t>.</w:t>
            </w:r>
            <w:r w:rsidRPr="0025119B">
              <w:rPr>
                <w:rStyle w:val="SpecialBold"/>
              </w:rPr>
              <w:t>2</w:t>
            </w:r>
            <w:r w:rsidRPr="0025119B">
              <w:t xml:space="preserve">) </w:t>
            </w:r>
          </w:p>
          <w:p w:rsidR="00000000" w:rsidP="0025119B">
            <w:pPr>
              <w:pStyle w:val="BodyText"/>
              <w:rPr>
                <w:lang w:val="en-NZ"/>
              </w:rPr>
            </w:pPr>
            <w:r w:rsidRPr="0025119B">
              <w:t>Before the critical aspects of evidence are considered all prerequisites shall be met.</w:t>
            </w:r>
          </w:p>
        </w:tc>
      </w:tr>
      <w:tr w:rsidTr="00F065C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t>Evidence for competence in this unit shall be considered holistica</w:t>
            </w:r>
            <w:r w:rsidRPr="0025119B">
              <w:t>lly.  Each element and associated Performance Criteria shall be demonstrated on at least two occasions in accordance with the "Assessment Guidelines - UEP06".  Evidence shall also comprise:</w:t>
            </w:r>
          </w:p>
          <w:p w:rsidR="00000000" w:rsidP="0025119B">
            <w:pPr>
              <w:pStyle w:val="ListBullet"/>
              <w:rPr>
                <w:lang w:val="en-NZ"/>
              </w:rPr>
            </w:pPr>
            <w:r w:rsidRPr="0025119B">
              <w:t>A representative body of Performance Criteria demonstrated within</w:t>
            </w:r>
            <w:r w:rsidRPr="0025119B">
              <w:t xml:space="preserve"> the timeframes typically expected of the discipline, work function and industrial environment. In particular this shall incorporate evidence that shows a candidate is able to:</w:t>
            </w:r>
          </w:p>
        </w:tc>
      </w:tr>
      <w:tr w:rsidTr="00F065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5119B" w:rsidP="0025119B">
            <w:pPr>
              <w:pStyle w:val="ListBullet3"/>
            </w:pPr>
            <w:r w:rsidRPr="0025119B">
              <w:t>Implement Occupational Health and Safety workplace procedures and practices including the use of risk control measures as specified in the Performance Criteria and Range Statement</w:t>
            </w:r>
          </w:p>
          <w:p w:rsidR="00000000" w:rsidRPr="0025119B" w:rsidP="0025119B">
            <w:pPr>
              <w:pStyle w:val="ListBullet3"/>
            </w:pPr>
            <w:r w:rsidRPr="0025119B">
              <w:t>Apply sustainable energy principles and practices as specified in the Perfor</w:t>
            </w:r>
            <w:r w:rsidRPr="0025119B">
              <w:t>mance Criteria and Range Statement</w:t>
            </w:r>
          </w:p>
          <w:p w:rsidR="00000000" w:rsidRPr="0025119B" w:rsidP="0025119B">
            <w:pPr>
              <w:pStyle w:val="ListBullet3"/>
            </w:pPr>
            <w:r w:rsidRPr="0025119B">
              <w:t>Demonstrate an understanding of the essential knowledge and associated skills as described in 6) of this unit</w:t>
            </w:r>
          </w:p>
          <w:p w:rsidR="00000000" w:rsidRPr="0025119B" w:rsidP="0025119B">
            <w:pPr>
              <w:pStyle w:val="ListBullet3"/>
            </w:pPr>
            <w:r w:rsidRPr="0025119B">
              <w:t>Demonstrate an appropriate level of skills enabling employment</w:t>
            </w:r>
          </w:p>
          <w:p w:rsidR="00000000" w:rsidP="0025119B">
            <w:pPr>
              <w:pStyle w:val="ListBullet3"/>
              <w:rPr>
                <w:lang w:val="en-NZ"/>
              </w:rPr>
            </w:pPr>
            <w:r w:rsidRPr="0025119B">
              <w:t>Conduct work observing the relevant Anti Discrimination legislation, regulations, polices and workplace procedures</w:t>
            </w:r>
          </w:p>
        </w:tc>
      </w:tr>
      <w:tr w:rsidTr="00F065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25119B">
            <w:pPr>
              <w:pStyle w:val="ListBullet"/>
              <w:rPr>
                <w:lang w:val="en-NZ"/>
              </w:rPr>
            </w:pPr>
            <w:r w:rsidRPr="0025119B">
              <w:t>Demonstrated performance across a representative range of contexts from the prescribed items below:</w:t>
            </w:r>
          </w:p>
        </w:tc>
      </w:tr>
      <w:tr w:rsidTr="00F065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5119B" w:rsidP="0025119B">
            <w:pPr>
              <w:pStyle w:val="ListBullet3"/>
            </w:pPr>
            <w:r w:rsidRPr="0025119B">
              <w:t>It is essential that competence is assessed in the critical aspects of: the knowledge and application of relevant sections of Occupational Health and Safety legislation, statutory legislation, enterprise/site safety procedures and enterprise/site emergency</w:t>
            </w:r>
            <w:r w:rsidRPr="0025119B">
              <w:t xml:space="preserve"> procedures; preparation and planning of work; using precision measuring equipment; applying levelling and aligning principles; calculating and applying correct adjustment techniques; completion of work procedures</w:t>
            </w:r>
          </w:p>
          <w:p w:rsidR="00000000" w:rsidRPr="0025119B" w:rsidP="0025119B">
            <w:pPr>
              <w:pStyle w:val="ListBullet3"/>
            </w:pPr>
            <w:r w:rsidRPr="0025119B">
              <w:t>Dealing with an unplanned event by drawing</w:t>
            </w:r>
            <w:r w:rsidRPr="0025119B">
              <w:t xml:space="preserve"> on essential knowledge and skills to provide appropriate solutions incorporated in the holistic assessment with the above listed items.</w:t>
            </w:r>
          </w:p>
        </w:tc>
      </w:tr>
    </w:tbl>
    <w:p w:rsidR="00000000" w:rsidRPr="0025119B" w:rsidP="0025119B">
      <w:pPr>
        <w:pStyle w:val="BodyText"/>
      </w:pPr>
    </w:p>
    <w:tbl>
      <w:tblPr>
        <w:tblW w:w="0" w:type="auto"/>
        <w:tblLayout w:type="fixed"/>
        <w:tblCellMar>
          <w:left w:w="62" w:type="dxa"/>
          <w:right w:w="62" w:type="dxa"/>
        </w:tblCellMar>
        <w:tblLook w:val="0000"/>
      </w:tblPr>
      <w:tblGrid>
        <w:gridCol w:w="2160"/>
        <w:gridCol w:w="1620"/>
        <w:gridCol w:w="4680"/>
      </w:tblGrid>
      <w:tr w:rsidTr="00F065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rPr>
                <w:rStyle w:val="SpecialBold"/>
              </w:rPr>
              <w:t>8</w:t>
            </w:r>
            <w:r w:rsidRPr="0025119B">
              <w:t>.</w:t>
            </w:r>
            <w:r w:rsidRPr="0025119B">
              <w:rPr>
                <w:rStyle w:val="SpecialBold"/>
              </w:rPr>
              <w:t>3</w:t>
            </w:r>
            <w:r w:rsidRPr="0025119B">
              <w:t xml:space="preserve">) </w:t>
            </w:r>
          </w:p>
          <w:p w:rsidR="00000000" w:rsidRPr="0025119B" w:rsidP="0025119B">
            <w:pPr>
              <w:pStyle w:val="BodyText"/>
            </w:pPr>
            <w:r w:rsidRPr="0025119B">
              <w:t>This unit should be assessed as it relates to normal work practice using procedures, information and resources typical of a workplace. This should include:</w:t>
            </w:r>
          </w:p>
          <w:p w:rsidR="00000000" w:rsidRPr="0025119B" w:rsidP="0025119B">
            <w:pPr>
              <w:pStyle w:val="ListBullet"/>
            </w:pPr>
            <w:r w:rsidRPr="0025119B">
              <w:t>OHS policy and work procedures and instructions.</w:t>
            </w:r>
          </w:p>
          <w:p w:rsidR="00000000" w:rsidRPr="0025119B" w:rsidP="0025119B">
            <w:pPr>
              <w:pStyle w:val="ListBullet"/>
            </w:pPr>
            <w:r w:rsidRPr="0025119B">
              <w:t>Suitable work environment, facilities, equipment and materials to undertake actual work as prescribed by this unit.</w:t>
            </w:r>
          </w:p>
          <w:p w:rsidR="00000000" w:rsidRPr="0025119B" w:rsidP="0025119B">
            <w:pPr>
              <w:pStyle w:val="BodyText"/>
            </w:pPr>
            <w:r w:rsidRPr="0025119B">
              <w:t>Competency Standards should be assessed in the workplace or simulated workplace and under the normal range of workplace conditions.</w:t>
            </w:r>
          </w:p>
          <w:p w:rsidR="00000000" w:rsidP="0025119B">
            <w:pPr>
              <w:pStyle w:val="BodyText"/>
              <w:rPr>
                <w:lang w:val="en-NZ"/>
              </w:rPr>
            </w:pPr>
            <w:r w:rsidRPr="0025119B">
              <w:t>Assessme</w:t>
            </w:r>
            <w:r w:rsidRPr="0025119B">
              <w:t>nt of this unit will be supported with documentary evidence, by means of endorsement stating type and application of work.</w:t>
            </w:r>
          </w:p>
        </w:tc>
      </w:tr>
      <w:tr w:rsidTr="00F065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In addition to the resources listed above in Context of assessment', evidence should show competency working, in limited spaces, w</w:t>
            </w:r>
            <w:r w:rsidRPr="0025119B">
              <w:t>ith different types of plant and equipment as well as different structural/construction types and methods and in a variety of environments.</w:t>
            </w:r>
          </w:p>
        </w:tc>
      </w:tr>
      <w:tr w:rsidTr="00F065C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rPr>
                <w:rStyle w:val="SpecialBold"/>
              </w:rPr>
              <w:t>8</w:t>
            </w:r>
            <w:r w:rsidRPr="0025119B">
              <w:t>.</w:t>
            </w:r>
            <w:r w:rsidRPr="0025119B">
              <w:rPr>
                <w:rStyle w:val="SpecialBold"/>
              </w:rPr>
              <w:t>4</w:t>
            </w:r>
            <w:r w:rsidRPr="0025119B">
              <w:t xml:space="preserve">) </w:t>
            </w:r>
          </w:p>
          <w:p w:rsidR="00000000" w:rsidRPr="0025119B" w:rsidP="0025119B">
            <w:pPr>
              <w:pStyle w:val="BodyText"/>
            </w:pPr>
            <w:r w:rsidRPr="0025119B">
              <w:t>This unit shall be assessed by methods given in Volume 1, Part 3 Assessment Guidelines.</w:t>
            </w:r>
          </w:p>
          <w:p w:rsidR="00000000" w:rsidP="0025119B">
            <w:pPr>
              <w:pStyle w:val="BodyText"/>
              <w:rPr>
                <w:lang w:val="en-NZ"/>
              </w:rPr>
            </w:pPr>
            <w:r w:rsidRPr="0025119B">
              <w:t>Note: Competent performance with inherent safe working practices is expected in the Industry to which this unit applies. This requires that the specified essential knowledge and associated skills are assessed in a structured environment which is primarily</w:t>
            </w:r>
            <w:r w:rsidRPr="0025119B">
              <w:t xml:space="preserve"> intended for learning/assessment and incorporates all necessary equipment and facilities for learners to develop and demonstrate the essential knowledge and skills described in this unit.</w:t>
            </w:r>
          </w:p>
        </w:tc>
      </w:tr>
      <w:tr w:rsidTr="00F065C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rPr>
                <w:rStyle w:val="SpecialBold"/>
              </w:rPr>
              <w:t>8</w:t>
            </w:r>
            <w:r w:rsidRPr="0025119B">
              <w:t>.</w:t>
            </w:r>
            <w:r w:rsidRPr="0025119B">
              <w:rPr>
                <w:rStyle w:val="SpecialBold"/>
              </w:rPr>
              <w:t>5</w:t>
            </w:r>
            <w:r w:rsidRPr="0025119B">
              <w:t xml:space="preserve">) </w:t>
            </w:r>
          </w:p>
        </w:tc>
      </w:tr>
      <w:tr w:rsidTr="00F065C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There are no recommended concurrent assessments with this unit, however in some cases efficiencies may be gained in terms of learning and assessment effort being concurrently managed with allied competency standard units where listed.</w:t>
            </w:r>
          </w:p>
        </w:tc>
      </w:tr>
      <w:tr w:rsidTr="00F065C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Nil</w:t>
            </w:r>
          </w:p>
        </w:tc>
        <w:tc>
          <w:tcPr>
            <w:tcW w:w="4680" w:type="dxa"/>
            <w:tcBorders>
              <w:top w:val="nil"/>
              <w:left w:val="nil"/>
              <w:bottom w:val="nil"/>
              <w:right w:val="nil"/>
            </w:tcBorders>
            <w:tcMar>
              <w:top w:w="0" w:type="dxa"/>
              <w:left w:w="62" w:type="dxa"/>
              <w:bottom w:w="0" w:type="dxa"/>
              <w:right w:w="62" w:type="dxa"/>
            </w:tcMar>
          </w:tcPr>
          <w:p w:rsidR="00000000" w:rsidRPr="0025119B" w:rsidP="0025119B">
            <w:pPr>
              <w:pStyle w:val="BodyText"/>
            </w:pPr>
          </w:p>
        </w:tc>
      </w:tr>
    </w:tbl>
    <w:p w:rsidR="00000000" w:rsidRPr="0025119B" w:rsidP="0025119B">
      <w:pPr>
        <w:pStyle w:val="BodyText"/>
      </w:pPr>
    </w:p>
    <w:tbl>
      <w:tblPr>
        <w:tblW w:w="0" w:type="auto"/>
        <w:tblLayout w:type="fixed"/>
        <w:tblCellMar>
          <w:left w:w="62" w:type="dxa"/>
          <w:right w:w="62" w:type="dxa"/>
        </w:tblCellMar>
        <w:tblLook w:val="0000"/>
      </w:tblPr>
      <w:tblGrid>
        <w:gridCol w:w="326"/>
        <w:gridCol w:w="1834"/>
        <w:gridCol w:w="4737"/>
        <w:gridCol w:w="1563"/>
      </w:tblGrid>
      <w:tr w:rsidTr="00F065C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5119B" w:rsidP="0025119B">
            <w:pPr>
              <w:pStyle w:val="BodyText"/>
            </w:pPr>
            <w:r w:rsidRPr="0025119B">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rPr>
                <w:rStyle w:val="SpecialBold"/>
              </w:rPr>
              <w:t>8</w:t>
            </w:r>
            <w:r w:rsidRPr="0025119B">
              <w:t>.</w:t>
            </w:r>
            <w:r w:rsidRPr="0025119B">
              <w:rPr>
                <w:rStyle w:val="SpecialBold"/>
              </w:rPr>
              <w:t>6</w:t>
            </w:r>
            <w:r w:rsidRPr="0025119B">
              <w:t xml:space="preserve">) </w:t>
            </w:r>
          </w:p>
          <w:p w:rsidR="00000000" w:rsidP="0025119B">
            <w:pPr>
              <w:pStyle w:val="BodyText"/>
              <w:rPr>
                <w:lang w:val="en-NZ"/>
              </w:rPr>
            </w:pPr>
            <w:r w:rsidRPr="0025119B">
              <w:t>Evidence that particular key competencies have been achieved within this unit is in the context of the following Performance Criteria of evidence. See Volume 2, Part 4 for an explanation of Key competencies and levels of this Traini</w:t>
            </w:r>
            <w:r w:rsidRPr="0025119B">
              <w:t>ng Package.</w:t>
            </w:r>
          </w:p>
        </w:tc>
      </w:tr>
      <w:tr w:rsidTr="00F065C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19B" w:rsidP="0025119B">
            <w:pPr>
              <w:pStyle w:val="BodyText"/>
            </w:pPr>
            <w:r w:rsidRPr="0025119B">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19B" w:rsidP="0025119B">
            <w:pPr>
              <w:pStyle w:val="BodyText"/>
            </w:pPr>
            <w:r w:rsidRPr="0025119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rPr>
                <w:rStyle w:val="SpecialBold"/>
              </w:rPr>
              <w:t>Performance Level</w:t>
            </w:r>
          </w:p>
        </w:tc>
      </w:tr>
      <w:tr w:rsidTr="00F065C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119B">
            <w:pPr>
              <w:pStyle w:val="BodyText"/>
              <w:rPr>
                <w:lang w:val="en-NZ"/>
              </w:rPr>
            </w:pPr>
            <w:r w:rsidRPr="0025119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19B" w:rsidP="0025119B">
            <w:pPr>
              <w:pStyle w:val="BodyText"/>
            </w:pPr>
          </w:p>
          <w:p w:rsidR="00000000" w:rsidP="0025119B">
            <w:pPr>
              <w:pStyle w:val="BodyText"/>
              <w:rPr>
                <w:lang w:val="en-NZ"/>
              </w:rPr>
            </w:pPr>
            <w:r w:rsidRPr="0025119B">
              <w:t>2</w:t>
            </w:r>
          </w:p>
        </w:tc>
      </w:tr>
      <w:tr w:rsidTr="00F065C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p>
        </w:tc>
      </w:tr>
      <w:tr w:rsidTr="00F065C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119B">
            <w:pPr>
              <w:pStyle w:val="BodyText"/>
              <w:rPr>
                <w:lang w:val="en-NZ"/>
              </w:rPr>
            </w:pPr>
            <w:r w:rsidRPr="0025119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19B" w:rsidP="0025119B">
            <w:pPr>
              <w:pStyle w:val="BodyText"/>
            </w:pPr>
          </w:p>
          <w:p w:rsidR="00000000" w:rsidP="0025119B">
            <w:pPr>
              <w:pStyle w:val="BodyText"/>
              <w:rPr>
                <w:lang w:val="en-NZ"/>
              </w:rPr>
            </w:pPr>
            <w:r w:rsidRPr="0025119B">
              <w:t>2</w:t>
            </w:r>
          </w:p>
        </w:tc>
      </w:tr>
      <w:tr w:rsidTr="00F065C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p>
        </w:tc>
      </w:tr>
      <w:tr w:rsidTr="00F065C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119B">
            <w:pPr>
              <w:pStyle w:val="BodyText"/>
              <w:rPr>
                <w:lang w:val="en-NZ"/>
              </w:rPr>
            </w:pPr>
            <w:r w:rsidRPr="0025119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19B" w:rsidP="0025119B">
            <w:pPr>
              <w:pStyle w:val="BodyText"/>
            </w:pPr>
          </w:p>
          <w:p w:rsidR="00000000" w:rsidP="0025119B">
            <w:pPr>
              <w:pStyle w:val="BodyText"/>
              <w:rPr>
                <w:lang w:val="en-NZ"/>
              </w:rPr>
            </w:pPr>
            <w:r w:rsidRPr="0025119B">
              <w:t>2</w:t>
            </w:r>
          </w:p>
        </w:tc>
      </w:tr>
      <w:tr w:rsidTr="00F065C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p>
        </w:tc>
      </w:tr>
      <w:tr w:rsidTr="00F065C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119B">
            <w:pPr>
              <w:pStyle w:val="BodyText"/>
              <w:rPr>
                <w:lang w:val="en-NZ"/>
              </w:rPr>
            </w:pPr>
            <w:r w:rsidRPr="0025119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19B" w:rsidP="0025119B">
            <w:pPr>
              <w:pStyle w:val="BodyText"/>
            </w:pPr>
          </w:p>
          <w:p w:rsidR="00000000" w:rsidP="0025119B">
            <w:pPr>
              <w:pStyle w:val="BodyText"/>
              <w:rPr>
                <w:lang w:val="en-NZ"/>
              </w:rPr>
            </w:pPr>
            <w:r w:rsidRPr="0025119B">
              <w:t>2</w:t>
            </w:r>
          </w:p>
        </w:tc>
      </w:tr>
      <w:tr w:rsidTr="00F065C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p>
        </w:tc>
      </w:tr>
      <w:tr w:rsidTr="00F065C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119B">
            <w:pPr>
              <w:pStyle w:val="BodyText"/>
              <w:rPr>
                <w:lang w:val="en-NZ"/>
              </w:rPr>
            </w:pPr>
            <w:r w:rsidRPr="0025119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19B" w:rsidP="0025119B">
            <w:pPr>
              <w:pStyle w:val="BodyText"/>
            </w:pPr>
          </w:p>
          <w:p w:rsidR="00000000" w:rsidP="0025119B">
            <w:pPr>
              <w:pStyle w:val="BodyText"/>
              <w:rPr>
                <w:lang w:val="en-NZ"/>
              </w:rPr>
            </w:pPr>
            <w:r w:rsidRPr="0025119B">
              <w:t>2</w:t>
            </w:r>
          </w:p>
        </w:tc>
      </w:tr>
      <w:tr w:rsidTr="00F065C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p>
        </w:tc>
      </w:tr>
      <w:tr w:rsidTr="00F065C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119B">
            <w:pPr>
              <w:pStyle w:val="BodyText"/>
              <w:rPr>
                <w:lang w:val="en-NZ"/>
              </w:rPr>
            </w:pPr>
            <w:r w:rsidRPr="0025119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19B" w:rsidP="0025119B">
            <w:pPr>
              <w:pStyle w:val="BodyText"/>
            </w:pPr>
          </w:p>
          <w:p w:rsidR="00000000" w:rsidP="0025119B">
            <w:pPr>
              <w:pStyle w:val="BodyText"/>
              <w:rPr>
                <w:lang w:val="en-NZ"/>
              </w:rPr>
            </w:pPr>
            <w:r w:rsidRPr="0025119B">
              <w:t>2</w:t>
            </w:r>
          </w:p>
        </w:tc>
      </w:tr>
      <w:tr w:rsidTr="00F065C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Determine solutions which</w:t>
            </w:r>
            <w:r w:rsidRPr="0025119B">
              <w:t xml:space="preserve">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p>
        </w:tc>
      </w:tr>
      <w:tr w:rsidTr="00F065C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119B">
            <w:pPr>
              <w:pStyle w:val="BodyText"/>
              <w:rPr>
                <w:lang w:val="en-NZ"/>
              </w:rPr>
            </w:pPr>
            <w:r w:rsidRPr="0025119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19B" w:rsidP="0025119B">
            <w:pPr>
              <w:pStyle w:val="BodyText"/>
            </w:pPr>
          </w:p>
          <w:p w:rsidR="00000000" w:rsidP="0025119B">
            <w:pPr>
              <w:pStyle w:val="BodyText"/>
              <w:rPr>
                <w:lang w:val="en-NZ"/>
              </w:rPr>
            </w:pPr>
            <w:r w:rsidRPr="0025119B">
              <w:t>2</w:t>
            </w:r>
          </w:p>
        </w:tc>
      </w:tr>
      <w:tr w:rsidTr="00F065C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p>
        </w:tc>
      </w:tr>
      <w:tr w:rsidTr="00F065C9">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5119B">
            <w:pPr>
              <w:pStyle w:val="BodyText"/>
              <w:rPr>
                <w:lang w:val="en-NZ"/>
              </w:rPr>
            </w:pPr>
          </w:p>
        </w:tc>
      </w:tr>
      <w:tr w:rsidTr="00F065C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5119B" w:rsidP="0025119B">
            <w:pPr>
              <w:pStyle w:val="BodyText"/>
            </w:pPr>
            <w:r w:rsidRPr="0025119B">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25119B" w:rsidP="0025119B">
            <w:pPr>
              <w:pStyle w:val="BodyText"/>
            </w:pPr>
            <w:r w:rsidRPr="0025119B">
              <w:rPr>
                <w:rStyle w:val="SpecialBold"/>
              </w:rPr>
              <w:t>8</w:t>
            </w:r>
            <w:r w:rsidRPr="0025119B">
              <w:t>.</w:t>
            </w:r>
            <w:r w:rsidRPr="0025119B">
              <w:rPr>
                <w:rStyle w:val="SpecialBold"/>
              </w:rPr>
              <w:t>7</w:t>
            </w:r>
            <w:r w:rsidRPr="0025119B">
              <w:t xml:space="preserve">) </w:t>
            </w:r>
          </w:p>
          <w:p w:rsidR="00000000" w:rsidP="0025119B">
            <w:pPr>
              <w:pStyle w:val="BodyText"/>
              <w:rPr>
                <w:lang w:val="en-NZ"/>
              </w:rPr>
            </w:pPr>
            <w:r w:rsidRPr="0025119B">
              <w:t xml:space="preserve">Evidence that competency in this unit incorporates skills enabling employment is in the context of the following performance. See Volume 2, Part 5 for definitions and an explanation of skills enabling employment. </w:t>
            </w:r>
          </w:p>
        </w:tc>
      </w:tr>
      <w:tr w:rsidTr="00F065C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19B" w:rsidP="0025119B">
            <w:pPr>
              <w:pStyle w:val="BodyText"/>
            </w:pPr>
            <w:r w:rsidRPr="0025119B">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rPr>
                <w:rStyle w:val="SpecialBold"/>
              </w:rPr>
              <w:t>Example of Application</w:t>
            </w:r>
          </w:p>
        </w:tc>
      </w:tr>
      <w:tr w:rsidTr="00F065C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119B">
            <w:pPr>
              <w:pStyle w:val="BodyText"/>
              <w:rPr>
                <w:lang w:val="en-NZ"/>
              </w:rPr>
            </w:pPr>
            <w:r w:rsidRPr="0025119B">
              <w:t>Refer to the following example of application:</w:t>
            </w:r>
          </w:p>
        </w:tc>
      </w:tr>
      <w:tr w:rsidTr="00F065C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Completion of tasks within an acceptable timeframe and performance with some supervision.</w:t>
            </w:r>
          </w:p>
        </w:tc>
      </w:tr>
      <w:tr w:rsidTr="00F065C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119B">
            <w:pPr>
              <w:pStyle w:val="BodyText"/>
              <w:rPr>
                <w:lang w:val="en-NZ"/>
              </w:rPr>
            </w:pPr>
            <w:r w:rsidRPr="0025119B">
              <w:t>Refer to the following example of application:</w:t>
            </w:r>
          </w:p>
        </w:tc>
      </w:tr>
      <w:tr w:rsidTr="00F065C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Comprehension and application of theoretical knowledge to well-developed skills.</w:t>
            </w:r>
          </w:p>
        </w:tc>
      </w:tr>
      <w:tr w:rsidTr="00F065C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119B">
            <w:pPr>
              <w:pStyle w:val="BodyText"/>
              <w:rPr>
                <w:lang w:val="en-NZ"/>
              </w:rPr>
            </w:pPr>
            <w:r w:rsidRPr="0025119B">
              <w:t>Refer to the following example of application:</w:t>
            </w:r>
          </w:p>
        </w:tc>
      </w:tr>
      <w:tr w:rsidTr="00F065C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Focused on improvement in own and other team member's performance in the workplace.</w:t>
            </w:r>
          </w:p>
        </w:tc>
      </w:tr>
      <w:tr w:rsidTr="00F065C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119B">
            <w:pPr>
              <w:pStyle w:val="BodyText"/>
              <w:rPr>
                <w:lang w:val="en-NZ"/>
              </w:rPr>
            </w:pPr>
            <w:r w:rsidRPr="0025119B">
              <w:t>Refer to the following example of application:</w:t>
            </w:r>
          </w:p>
        </w:tc>
      </w:tr>
      <w:tr w:rsidTr="00F065C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Working understanding of the processes and systems which apply to the workplace.</w:t>
            </w:r>
          </w:p>
        </w:tc>
      </w:tr>
      <w:tr w:rsidTr="00F065C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119B">
            <w:pPr>
              <w:pStyle w:val="BodyText"/>
              <w:rPr>
                <w:lang w:val="en-NZ"/>
              </w:rPr>
            </w:pPr>
            <w:r w:rsidRPr="0025119B">
              <w:t>Refer to the following example of application:</w:t>
            </w:r>
          </w:p>
        </w:tc>
      </w:tr>
      <w:tr w:rsidTr="00F065C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Achieving work tasks in a timely manner and ensuring that the work team achieves its stated work goals.</w:t>
            </w:r>
          </w:p>
        </w:tc>
      </w:tr>
      <w:tr w:rsidTr="00F065C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19B">
            <w:pPr>
              <w:pStyle w:val="BodyText"/>
              <w:rPr>
                <w:lang w:val="en-NZ"/>
              </w:rPr>
            </w:pPr>
            <w:r w:rsidRPr="0025119B">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5119B">
            <w:pPr>
              <w:pStyle w:val="BodyText"/>
              <w:rPr>
                <w:lang w:val="en-NZ"/>
              </w:rPr>
            </w:pPr>
            <w:r w:rsidRPr="0025119B">
              <w:t>Refer to the following example of application:</w:t>
            </w:r>
          </w:p>
        </w:tc>
      </w:tr>
      <w:tr w:rsidTr="00F065C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5119B" w:rsidP="0025119B">
            <w:pPr>
              <w:pStyle w:val="BodyText"/>
            </w:pPr>
            <w:r w:rsidRPr="0025119B">
              <w:t>Seek advice and apply solutions to problems relevant to the workplace environment.</w:t>
            </w:r>
          </w:p>
        </w:tc>
      </w:tr>
    </w:tbl>
    <w:p w:rsidR="00000000" w:rsidRPr="0025119B" w:rsidP="0025119B">
      <w:pPr>
        <w:pStyle w:val="BodyText"/>
      </w:pPr>
    </w:p>
    <w:p w:rsidR="00000000" w:rsidRPr="0025119B" w:rsidP="0025119B">
      <w:pPr>
        <w:pStyle w:val="BodyText"/>
      </w:pPr>
    </w:p>
    <w:tbl>
      <w:tblPr>
        <w:tblW w:w="0" w:type="auto"/>
        <w:tblLayout w:type="fixed"/>
        <w:tblCellMar>
          <w:left w:w="62" w:type="dxa"/>
          <w:right w:w="62" w:type="dxa"/>
        </w:tblCellMar>
        <w:tblLook w:val="0000"/>
      </w:tblPr>
      <w:tblGrid>
        <w:gridCol w:w="2700"/>
        <w:gridCol w:w="5760"/>
      </w:tblGrid>
      <w:tr w:rsidTr="00F065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rPr>
                <w:rStyle w:val="SpecialBold"/>
              </w:rPr>
              <w:t>UEPMNT403A</w:t>
            </w:r>
          </w:p>
        </w:tc>
        <w:tc>
          <w:tcPr>
            <w:tcW w:w="5760"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rPr>
                <w:rStyle w:val="SpecialBold"/>
              </w:rPr>
              <w:t>Maintain complex mechanical valves</w:t>
            </w:r>
          </w:p>
        </w:tc>
      </w:tr>
    </w:tbl>
    <w:p w:rsidR="00F065C9" w:rsidP="0025119B">
      <w:pPr>
        <w:pStyle w:val="BodyText"/>
      </w:pPr>
    </w:p>
    <w:p w:rsidR="00F065C9" w:rsidP="0025119B">
      <w:pPr>
        <w:pStyle w:val="BodyText"/>
      </w:pPr>
    </w:p>
    <w:p w:rsidR="00000000" w:rsidRPr="0025119B" w:rsidP="0025119B">
      <w:pPr>
        <w:pStyle w:val="Heading1"/>
      </w:pPr>
      <w:bookmarkStart w:id="11" w:name="O_255893"/>
      <w:bookmarkEnd w:id="11"/>
      <w:r w:rsidRPr="0025119B">
        <w:t>Range Statement</w:t>
      </w:r>
    </w:p>
    <w:tbl>
      <w:tblPr>
        <w:tblW w:w="0" w:type="auto"/>
        <w:tblLayout w:type="fixed"/>
        <w:tblCellMar>
          <w:left w:w="62" w:type="dxa"/>
          <w:right w:w="62" w:type="dxa"/>
        </w:tblCellMar>
        <w:tblLook w:val="0000"/>
      </w:tblPr>
      <w:tblGrid>
        <w:gridCol w:w="8460"/>
      </w:tblGrid>
      <w:tr w:rsidTr="00F065C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rPr>
                <w:rStyle w:val="SpecialBold"/>
              </w:rPr>
              <w:t>RANGE STATEMENT</w:t>
            </w:r>
          </w:p>
        </w:tc>
      </w:tr>
      <w:tr w:rsidTr="00F065C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rPr>
                <w:rStyle w:val="SpecialBold"/>
              </w:rPr>
              <w:t>7</w:t>
            </w:r>
            <w:r w:rsidRPr="0025119B">
              <w:t>) This relates to the competency standard unit as a whole providing the range of contexts and conditions to which the Performance Criteria apply. It allows for different work environments and situations that will affect performance.</w:t>
            </w:r>
          </w:p>
        </w:tc>
      </w:tr>
      <w:tr w:rsidTr="00F065C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t>Advanced alignment may include concentricity and ovality checks and adjustments, offsets and thermal expansion checks and adjustments, pre-load centralising and adjustments to within tenths of a thousandth of one inch.</w:t>
            </w:r>
          </w:p>
          <w:p w:rsidR="00000000" w:rsidRPr="0025119B" w:rsidP="0025119B">
            <w:pPr>
              <w:pStyle w:val="BodyText"/>
            </w:pPr>
            <w:r w:rsidRPr="0025119B">
              <w:t xml:space="preserve">Advanced/complex alignment typically </w:t>
            </w:r>
            <w:r w:rsidRPr="0025119B">
              <w:t>would be of three or more components.</w:t>
            </w:r>
          </w:p>
          <w:p w:rsidR="00000000" w:rsidRPr="0025119B" w:rsidP="0025119B">
            <w:pPr>
              <w:pStyle w:val="BodyText"/>
            </w:pPr>
            <w:r w:rsidRPr="0025119B">
              <w:t>Equipment and tools may include bearings, couplings, seals, hydraulic tools, rigging equipment, measuring instruments, optical levels, laser levels, electronic levels, slip gauges, dumpy levels and other associated lev</w:t>
            </w:r>
            <w:r w:rsidRPr="0025119B">
              <w:t>elling and aligning equipment.</w:t>
            </w:r>
          </w:p>
          <w:p w:rsidR="00000000" w:rsidRPr="0025119B" w:rsidP="0025119B">
            <w:pPr>
              <w:pStyle w:val="BodyText"/>
            </w:pPr>
            <w:r w:rsidRPr="0025119B">
              <w:t>Plant and machines may include turbine rotor and boiler feed pumps.</w:t>
            </w:r>
          </w:p>
          <w:p w:rsidR="00000000" w:rsidRPr="0025119B" w:rsidP="0025119B">
            <w:pPr>
              <w:pStyle w:val="BodyText"/>
            </w:pPr>
            <w:r w:rsidRPr="0025119B">
              <w:t>Work completion details may include plant and maintenance records, job cards and check sheets updating.</w:t>
            </w:r>
          </w:p>
          <w:p w:rsidR="00000000" w:rsidRPr="0025119B" w:rsidP="0025119B">
            <w:pPr>
              <w:pStyle w:val="BodyText"/>
            </w:pPr>
            <w:r w:rsidRPr="0025119B">
              <w:t>Work site environment may be affected by nearby plant</w:t>
            </w:r>
            <w:r w:rsidRPr="0025119B">
              <w:t xml:space="preserve"> or process, eg, heat, noise, dust, oil, water, chemical.</w:t>
            </w:r>
          </w:p>
          <w:p w:rsidR="00000000" w:rsidRPr="0025119B" w:rsidP="0025119B">
            <w:pPr>
              <w:pStyle w:val="BodyText"/>
            </w:pPr>
            <w:r w:rsidRPr="0025119B">
              <w:t>Isolations can refer to electrical or process.</w:t>
            </w:r>
          </w:p>
          <w:p w:rsidR="00000000" w:rsidRPr="0025119B" w:rsidP="0025119B">
            <w:pPr>
              <w:pStyle w:val="BodyText"/>
            </w:pPr>
            <w:r w:rsidRPr="0025119B">
              <w:t>Generic terms are used throughout this Training Package for vocational standard shall be regarded as part of the Range Statement in which competency is</w:t>
            </w:r>
            <w:r w:rsidRPr="0025119B">
              <w:t xml:space="preserve"> demonstrated. The definition of these and other terms are given in Volume 2, Part 1.</w:t>
            </w:r>
          </w:p>
        </w:tc>
      </w:tr>
    </w:tbl>
    <w:p w:rsidR="00F065C9" w:rsidP="0025119B">
      <w:pPr>
        <w:pStyle w:val="BodyText"/>
      </w:pPr>
    </w:p>
    <w:p w:rsidR="00F065C9" w:rsidP="0025119B">
      <w:pPr>
        <w:pStyle w:val="BodyText"/>
      </w:pPr>
    </w:p>
    <w:p w:rsidR="00000000" w:rsidRPr="0025119B" w:rsidP="0025119B">
      <w:pPr>
        <w:pStyle w:val="Heading1"/>
      </w:pPr>
      <w:bookmarkStart w:id="12" w:name="O_296906"/>
      <w:bookmarkEnd w:id="12"/>
      <w:r w:rsidRPr="0025119B">
        <w:t>Unit Sector(s)</w:t>
      </w:r>
    </w:p>
    <w:p w:rsidR="00000000" w:rsidRPr="0025119B" w:rsidP="0025119B">
      <w:pPr>
        <w:pStyle w:val="BodyText"/>
      </w:pPr>
      <w:r w:rsidRPr="0025119B">
        <w:t>Not Applicable</w:t>
      </w:r>
    </w:p>
    <w:p w:rsidR="00000000" w:rsidRPr="0025119B" w:rsidP="0025119B">
      <w:pPr>
        <w:pStyle w:val="AllowPageBreak"/>
      </w:pPr>
    </w:p>
    <w:p w:rsidR="00000000" w:rsidRPr="0025119B" w:rsidP="0025119B">
      <w:pPr>
        <w:pStyle w:val="Heading1"/>
      </w:pPr>
      <w:bookmarkStart w:id="13" w:name="O_230033"/>
      <w:bookmarkEnd w:id="13"/>
      <w:r w:rsidRPr="0025119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065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rPr>
                <w:rStyle w:val="SpecialBold"/>
              </w:rPr>
              <w:t>2</w:t>
            </w:r>
            <w:r w:rsidRPr="0025119B">
              <w:t>.</w:t>
            </w:r>
            <w:r w:rsidRPr="0025119B">
              <w:rPr>
                <w:rStyle w:val="SpecialBold"/>
              </w:rPr>
              <w:t>2</w:t>
            </w:r>
            <w:r w:rsidRPr="0025119B">
              <w:t xml:space="preserve">) </w:t>
            </w:r>
          </w:p>
          <w:p w:rsidR="00000000" w:rsidP="0025119B">
            <w:pPr>
              <w:pStyle w:val="BodyText"/>
              <w:rPr>
                <w:lang w:val="en-NZ"/>
              </w:rPr>
            </w:pPr>
            <w:r w:rsidRPr="0025119B">
              <w:t>Participants are best equipped to achie</w:t>
            </w:r>
            <w:r w:rsidRPr="0025119B">
              <w:t>ve this unit if they have reading, writing and numeracy skills indicated by the following scales. Description of each scale is given in Volume 2, Part 3 Literacy and Numeracy.</w:t>
            </w:r>
          </w:p>
        </w:tc>
      </w:tr>
      <w:tr w:rsidTr="00F065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Reading</w:t>
            </w:r>
          </w:p>
        </w:tc>
        <w:tc>
          <w:tcPr>
            <w:tcW w:w="805"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4</w:t>
            </w:r>
          </w:p>
        </w:tc>
        <w:tc>
          <w:tcPr>
            <w:tcW w:w="1184"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Writing</w:t>
            </w:r>
          </w:p>
        </w:tc>
        <w:tc>
          <w:tcPr>
            <w:tcW w:w="805"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4</w:t>
            </w:r>
          </w:p>
        </w:tc>
        <w:tc>
          <w:tcPr>
            <w:tcW w:w="1172"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t>Numeracy</w:t>
            </w:r>
          </w:p>
        </w:tc>
        <w:tc>
          <w:tcPr>
            <w:tcW w:w="805"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t>4</w:t>
            </w:r>
          </w:p>
        </w:tc>
      </w:tr>
    </w:tbl>
    <w:p w:rsidR="00F065C9" w:rsidP="0025119B">
      <w:pPr>
        <w:pStyle w:val="BodyText"/>
      </w:pPr>
    </w:p>
    <w:p w:rsidR="00F065C9" w:rsidP="0025119B">
      <w:pPr>
        <w:pStyle w:val="BodyText"/>
      </w:pPr>
    </w:p>
    <w:p w:rsidR="00000000" w:rsidRPr="0025119B" w:rsidP="0025119B">
      <w:pPr>
        <w:pStyle w:val="Heading1"/>
      </w:pPr>
      <w:bookmarkStart w:id="14" w:name="O_230035"/>
      <w:bookmarkEnd w:id="14"/>
      <w:r w:rsidRPr="0025119B">
        <w:t>Competency Field</w:t>
      </w:r>
    </w:p>
    <w:tbl>
      <w:tblPr>
        <w:tblW w:w="0" w:type="auto"/>
        <w:tblLayout w:type="fixed"/>
        <w:tblCellMar>
          <w:left w:w="62" w:type="dxa"/>
          <w:right w:w="62" w:type="dxa"/>
        </w:tblCellMar>
        <w:tblLook w:val="0000"/>
      </w:tblPr>
      <w:tblGrid>
        <w:gridCol w:w="2700"/>
        <w:gridCol w:w="5760"/>
      </w:tblGrid>
      <w:tr w:rsidTr="00F065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5119B">
            <w:pPr>
              <w:pStyle w:val="BodyText"/>
              <w:rPr>
                <w:lang w:val="en-NZ"/>
              </w:rPr>
            </w:pPr>
            <w:r w:rsidRPr="0025119B">
              <w:rPr>
                <w:rStyle w:val="SpecialBold"/>
              </w:rPr>
              <w:t>4</w:t>
            </w:r>
            <w:r w:rsidRPr="0025119B">
              <w:t xml:space="preserve">) </w:t>
            </w:r>
          </w:p>
        </w:tc>
      </w:tr>
      <w:tr w:rsidTr="00F065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5119B" w:rsidP="0025119B">
            <w:pPr>
              <w:pStyle w:val="BodyText"/>
            </w:pPr>
            <w:r w:rsidRPr="0025119B">
              <w:t>Maintenance.</w:t>
            </w:r>
          </w:p>
        </w:tc>
      </w:tr>
    </w:tbl>
    <w:p w:rsidR="00F065C9" w:rsidP="0025119B">
      <w:pPr>
        <w:pStyle w:val="BodyText"/>
      </w:pPr>
    </w:p>
    <w:p w:rsidR="00F065C9" w:rsidP="0025119B">
      <w:pPr>
        <w:pStyle w:val="BodyText"/>
      </w:pPr>
    </w:p>
    <w:p w:rsidR="00000000" w:rsidRPr="0025119B" w:rsidP="0025119B"/>
    <w:sectPr w:rsidSect="002511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1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65C9" w:rsidP="00F065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1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5C9" w:rsidP="002511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065C9" w:rsidP="002511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065C9" w:rsidP="002511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1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65C9" w:rsidP="00F065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1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5C9" w:rsidP="0025119B">
    <w:pPr>
      <w:pStyle w:val="Header"/>
      <w:framePr w:wrap="around"/>
    </w:pPr>
    <w:r>
      <w:fldChar w:fldCharType="begin"/>
    </w:r>
    <w:r>
      <w:instrText xml:space="preserve"> TITLE   \* MERGEFORMAT </w:instrText>
    </w:r>
    <w:r>
      <w:fldChar w:fldCharType="separate"/>
    </w:r>
    <w:r>
      <w:t>UEPMNT402A Conduct Complex Levelling and Alignment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65C9" w:rsidP="002511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C436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ECDC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1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119B"/>
    <w:pPr>
      <w:spacing w:before="360" w:after="60"/>
      <w:outlineLvl w:val="0"/>
    </w:pPr>
    <w:rPr>
      <w:sz w:val="32"/>
    </w:rPr>
  </w:style>
  <w:style w:type="paragraph" w:styleId="Heading2">
    <w:name w:val="heading 2"/>
    <w:basedOn w:val="HeadingBase"/>
    <w:next w:val="BodyText"/>
    <w:link w:val="Heading2Char"/>
    <w:qFormat/>
    <w:rsid w:val="0025119B"/>
    <w:pPr>
      <w:keepLines/>
      <w:spacing w:before="240" w:after="120"/>
      <w:outlineLvl w:val="1"/>
    </w:pPr>
    <w:rPr>
      <w:sz w:val="28"/>
      <w:szCs w:val="40"/>
    </w:rPr>
  </w:style>
  <w:style w:type="paragraph" w:styleId="Heading3">
    <w:name w:val="heading 3"/>
    <w:basedOn w:val="HeadingBase"/>
    <w:next w:val="BodyText"/>
    <w:link w:val="Heading3Char"/>
    <w:qFormat/>
    <w:rsid w:val="0025119B"/>
    <w:pPr>
      <w:spacing w:before="180" w:after="120"/>
      <w:outlineLvl w:val="2"/>
    </w:pPr>
    <w:rPr>
      <w:spacing w:val="-10"/>
      <w:kern w:val="32"/>
    </w:rPr>
  </w:style>
  <w:style w:type="paragraph" w:styleId="Heading4">
    <w:name w:val="heading 4"/>
    <w:basedOn w:val="HeadingBase"/>
    <w:next w:val="BodyText"/>
    <w:link w:val="Heading4Char"/>
    <w:qFormat/>
    <w:rsid w:val="0025119B"/>
    <w:pPr>
      <w:spacing w:before="160" w:after="120"/>
      <w:outlineLvl w:val="3"/>
    </w:pPr>
    <w:rPr>
      <w:sz w:val="22"/>
    </w:rPr>
  </w:style>
  <w:style w:type="paragraph" w:styleId="Heading5">
    <w:name w:val="heading 5"/>
    <w:basedOn w:val="HeadingBase"/>
    <w:next w:val="Normal"/>
    <w:link w:val="Heading5Char"/>
    <w:qFormat/>
    <w:rsid w:val="0025119B"/>
    <w:pPr>
      <w:spacing w:before="80"/>
      <w:outlineLvl w:val="4"/>
    </w:pPr>
    <w:rPr>
      <w:color w:val="918585"/>
      <w:sz w:val="20"/>
    </w:rPr>
  </w:style>
  <w:style w:type="paragraph" w:styleId="Heading6">
    <w:name w:val="heading 6"/>
    <w:basedOn w:val="HeadingBase"/>
    <w:next w:val="Normal"/>
    <w:link w:val="Heading6Char"/>
    <w:qFormat/>
    <w:rsid w:val="0025119B"/>
    <w:pPr>
      <w:spacing w:before="60"/>
      <w:outlineLvl w:val="5"/>
    </w:pPr>
    <w:rPr>
      <w:color w:val="918585"/>
      <w:sz w:val="20"/>
    </w:rPr>
  </w:style>
  <w:style w:type="paragraph" w:styleId="Heading7">
    <w:name w:val="heading 7"/>
    <w:basedOn w:val="Normal"/>
    <w:next w:val="Normal"/>
    <w:link w:val="Heading7Char"/>
    <w:qFormat/>
    <w:rsid w:val="0025119B"/>
    <w:pPr>
      <w:ind w:left="720"/>
      <w:outlineLvl w:val="6"/>
    </w:pPr>
    <w:rPr>
      <w:i/>
    </w:rPr>
  </w:style>
  <w:style w:type="paragraph" w:styleId="Heading8">
    <w:name w:val="heading 8"/>
    <w:basedOn w:val="Normal"/>
    <w:next w:val="Normal"/>
    <w:link w:val="Heading8Char"/>
    <w:qFormat/>
    <w:rsid w:val="0025119B"/>
    <w:pPr>
      <w:ind w:left="720"/>
      <w:outlineLvl w:val="7"/>
    </w:pPr>
    <w:rPr>
      <w:i/>
    </w:rPr>
  </w:style>
  <w:style w:type="paragraph" w:styleId="Heading9">
    <w:name w:val="heading 9"/>
    <w:basedOn w:val="Normal"/>
    <w:next w:val="Normal"/>
    <w:link w:val="Heading9Char"/>
    <w:qFormat/>
    <w:rsid w:val="0025119B"/>
    <w:pPr>
      <w:ind w:left="720"/>
      <w:outlineLvl w:val="8"/>
    </w:pPr>
    <w:rPr>
      <w:i/>
    </w:rPr>
  </w:style>
  <w:style w:type="character" w:default="1" w:styleId="DefaultParagraphFont">
    <w:name w:val="Default Paragraph Font"/>
    <w:uiPriority w:val="1"/>
    <w:unhideWhenUsed/>
    <w:rsid w:val="002511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19B"/>
  </w:style>
  <w:style w:type="character" w:customStyle="1" w:styleId="Heading1Char">
    <w:name w:val="Heading 1 Char"/>
    <w:basedOn w:val="DefaultParagraphFont"/>
    <w:link w:val="Heading1"/>
    <w:rsid w:val="0025119B"/>
    <w:rPr>
      <w:rFonts w:ascii="Times New Roman" w:eastAsia="Times New Roman" w:hAnsi="Times New Roman" w:cs="Times New Roman"/>
      <w:b/>
      <w:sz w:val="32"/>
      <w:szCs w:val="20"/>
      <w:lang w:eastAsia="en-US"/>
    </w:rPr>
  </w:style>
  <w:style w:type="paragraph" w:styleId="BodyText">
    <w:name w:val="Body Text"/>
    <w:basedOn w:val="Normal"/>
    <w:link w:val="BodyTextChar"/>
    <w:rsid w:val="002511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119B"/>
    <w:rPr>
      <w:rFonts w:ascii="Times New Roman" w:eastAsia="Times New Roman" w:hAnsi="Times New Roman" w:cs="Times New Roman"/>
      <w:sz w:val="24"/>
      <w:lang w:val="en-US" w:eastAsia="en-US"/>
    </w:rPr>
  </w:style>
  <w:style w:type="paragraph" w:styleId="Footer">
    <w:name w:val="footer"/>
    <w:basedOn w:val="Normal"/>
    <w:link w:val="FooterChar"/>
    <w:rsid w:val="002511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19B"/>
    <w:rPr>
      <w:rFonts w:ascii="Times New Roman" w:eastAsia="Times New Roman" w:hAnsi="Times New Roman" w:cs="Times New Roman"/>
      <w:sz w:val="16"/>
      <w:lang w:val="en-US" w:eastAsia="en-US"/>
    </w:rPr>
  </w:style>
  <w:style w:type="paragraph" w:styleId="ListBullet">
    <w:name w:val="List Bullet"/>
    <w:basedOn w:val="List"/>
    <w:rsid w:val="0025119B"/>
    <w:pPr>
      <w:numPr>
        <w:numId w:val="13"/>
      </w:numPr>
      <w:tabs>
        <w:tab w:val="clear" w:pos="340"/>
      </w:tabs>
      <w:spacing w:before="40" w:after="40"/>
    </w:pPr>
  </w:style>
  <w:style w:type="character" w:customStyle="1" w:styleId="SpecialBold">
    <w:name w:val="Special Bold"/>
    <w:basedOn w:val="DefaultParagraphFont"/>
    <w:rsid w:val="0025119B"/>
    <w:rPr>
      <w:b/>
      <w:spacing w:val="0"/>
    </w:rPr>
  </w:style>
  <w:style w:type="paragraph" w:styleId="Header">
    <w:name w:val="header"/>
    <w:basedOn w:val="Normal"/>
    <w:link w:val="HeaderChar"/>
    <w:rsid w:val="002511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1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119B"/>
    <w:pPr>
      <w:spacing w:before="240" w:after="120"/>
      <w:outlineLvl w:val="0"/>
    </w:pPr>
    <w:rPr>
      <w:rFonts w:ascii="Times New Roman" w:hAnsi="Times New Roman"/>
      <w:b/>
      <w:sz w:val="28"/>
    </w:rPr>
  </w:style>
  <w:style w:type="paragraph" w:customStyle="1" w:styleId="AllowPageBreak">
    <w:name w:val="AllowPageBreak"/>
    <w:rsid w:val="002511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5119B"/>
    <w:pPr>
      <w:numPr>
        <w:numId w:val="2"/>
      </w:numPr>
      <w:tabs>
        <w:tab w:val="clear" w:pos="1021"/>
      </w:tabs>
      <w:ind w:left="1037" w:hanging="357"/>
    </w:pPr>
  </w:style>
  <w:style w:type="character" w:customStyle="1" w:styleId="Heading2Char">
    <w:name w:val="Heading 2 Char"/>
    <w:basedOn w:val="DefaultParagraphFont"/>
    <w:link w:val="Heading2"/>
    <w:rsid w:val="002511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1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11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11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1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1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11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119B"/>
    <w:rPr>
      <w:rFonts w:ascii="Courier New" w:eastAsia="Times New Roman" w:hAnsi="Courier New" w:cs="Times New Roman"/>
      <w:i/>
      <w:szCs w:val="20"/>
      <w:lang w:val="en-US" w:eastAsia="en-US"/>
    </w:rPr>
  </w:style>
  <w:style w:type="paragraph" w:customStyle="1" w:styleId="HeadingBase">
    <w:name w:val="Heading Base"/>
    <w:rsid w:val="002511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19B"/>
    <w:pPr>
      <w:tabs>
        <w:tab w:val="right" w:leader="dot" w:pos="9072"/>
      </w:tabs>
      <w:ind w:left="567"/>
    </w:pPr>
    <w:rPr>
      <w:szCs w:val="22"/>
    </w:rPr>
  </w:style>
  <w:style w:type="paragraph" w:customStyle="1" w:styleId="TOCBase">
    <w:name w:val="TOC Base"/>
    <w:rsid w:val="002511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19B"/>
    <w:pPr>
      <w:tabs>
        <w:tab w:val="right" w:leader="dot" w:pos="9072"/>
      </w:tabs>
      <w:spacing w:before="40" w:after="40"/>
      <w:ind w:left="284"/>
    </w:pPr>
    <w:rPr>
      <w:rFonts w:ascii="Times New Roman" w:hAnsi="Times New Roman"/>
    </w:rPr>
  </w:style>
  <w:style w:type="paragraph" w:styleId="TOC1">
    <w:name w:val="toc 1"/>
    <w:basedOn w:val="TOCBase"/>
    <w:next w:val="Normal"/>
    <w:rsid w:val="002511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119B"/>
    <w:pPr>
      <w:spacing w:before="5040"/>
      <w:jc w:val="center"/>
    </w:pPr>
    <w:rPr>
      <w:sz w:val="48"/>
      <w:szCs w:val="72"/>
      <w:lang w:val="en-US"/>
    </w:rPr>
  </w:style>
  <w:style w:type="character" w:customStyle="1" w:styleId="TitleChar">
    <w:name w:val="Title Char"/>
    <w:basedOn w:val="DefaultParagraphFont"/>
    <w:link w:val="Title"/>
    <w:rsid w:val="002511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19B"/>
    <w:pPr>
      <w:tabs>
        <w:tab w:val="left" w:pos="3600"/>
        <w:tab w:val="left" w:pos="3958"/>
      </w:tabs>
    </w:pPr>
  </w:style>
  <w:style w:type="paragraph" w:styleId="List">
    <w:name w:val="List"/>
    <w:basedOn w:val="BodyText"/>
    <w:next w:val="BodyText"/>
    <w:rsid w:val="0025119B"/>
    <w:pPr>
      <w:tabs>
        <w:tab w:val="left" w:pos="340"/>
      </w:tabs>
      <w:spacing w:before="60" w:after="60"/>
      <w:ind w:left="340" w:hanging="340"/>
    </w:pPr>
  </w:style>
  <w:style w:type="paragraph" w:customStyle="1" w:styleId="Note">
    <w:name w:val="Note"/>
    <w:basedOn w:val="BodyText"/>
    <w:rsid w:val="002511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119B"/>
    <w:pPr>
      <w:framePr w:wrap="auto" w:hAnchor="text" w:y="6049"/>
    </w:pPr>
    <w:rPr>
      <w:color w:val="000000"/>
      <w:sz w:val="40"/>
    </w:rPr>
  </w:style>
  <w:style w:type="paragraph" w:customStyle="1" w:styleId="TOCTitle">
    <w:name w:val="TOCTitle"/>
    <w:basedOn w:val="Heading1"/>
    <w:rsid w:val="0025119B"/>
    <w:pPr>
      <w:spacing w:after="240"/>
      <w:jc w:val="center"/>
      <w:outlineLvl w:val="9"/>
    </w:pPr>
    <w:rPr>
      <w:caps/>
    </w:rPr>
  </w:style>
  <w:style w:type="paragraph" w:customStyle="1" w:styleId="Version">
    <w:name w:val="Version"/>
    <w:rsid w:val="002511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119B"/>
    <w:pPr>
      <w:numPr>
        <w:numId w:val="14"/>
      </w:numPr>
      <w:tabs>
        <w:tab w:val="clear" w:pos="680"/>
      </w:tabs>
    </w:pPr>
  </w:style>
  <w:style w:type="paragraph" w:styleId="Index1">
    <w:name w:val="index 1"/>
    <w:basedOn w:val="Normal"/>
    <w:next w:val="Normal"/>
    <w:semiHidden/>
    <w:rsid w:val="0025119B"/>
    <w:pPr>
      <w:keepNext w:val="0"/>
      <w:tabs>
        <w:tab w:val="right" w:pos="4176"/>
      </w:tabs>
      <w:ind w:left="198" w:hanging="198"/>
    </w:pPr>
    <w:rPr>
      <w:rFonts w:ascii="Garamond" w:hAnsi="Garamond"/>
    </w:rPr>
  </w:style>
  <w:style w:type="paragraph" w:styleId="IndexHeading">
    <w:name w:val="index heading"/>
    <w:basedOn w:val="Normal"/>
    <w:next w:val="Index1"/>
    <w:semiHidden/>
    <w:rsid w:val="0025119B"/>
    <w:pPr>
      <w:spacing w:before="120" w:after="120"/>
    </w:pPr>
    <w:rPr>
      <w:rFonts w:ascii="Arial" w:hAnsi="Arial"/>
      <w:b/>
      <w:color w:val="918585"/>
      <w:sz w:val="24"/>
    </w:rPr>
  </w:style>
  <w:style w:type="paragraph" w:customStyle="1" w:styleId="Chapter">
    <w:name w:val="Chapter"/>
    <w:basedOn w:val="Normal"/>
    <w:rsid w:val="0025119B"/>
    <w:pPr>
      <w:spacing w:before="240"/>
    </w:pPr>
    <w:rPr>
      <w:rFonts w:ascii="Times New Roman" w:hAnsi="Times New Roman"/>
      <w:smallCaps/>
      <w:spacing w:val="80"/>
      <w:sz w:val="28"/>
    </w:rPr>
  </w:style>
  <w:style w:type="paragraph" w:customStyle="1" w:styleId="InChapter">
    <w:name w:val="InChapter"/>
    <w:basedOn w:val="Heading3"/>
    <w:rsid w:val="0025119B"/>
    <w:pPr>
      <w:spacing w:after="240"/>
      <w:outlineLvl w:val="9"/>
    </w:pPr>
    <w:rPr>
      <w:noProof/>
    </w:rPr>
  </w:style>
  <w:style w:type="paragraph" w:styleId="Index2">
    <w:name w:val="index 2"/>
    <w:basedOn w:val="Normal"/>
    <w:next w:val="Normal"/>
    <w:semiHidden/>
    <w:rsid w:val="0025119B"/>
    <w:pPr>
      <w:tabs>
        <w:tab w:val="right" w:pos="4176"/>
      </w:tabs>
      <w:ind w:left="568" w:hanging="284"/>
    </w:pPr>
    <w:rPr>
      <w:rFonts w:ascii="Garamond" w:hAnsi="Garamond"/>
    </w:rPr>
  </w:style>
  <w:style w:type="paragraph" w:customStyle="1" w:styleId="Byline">
    <w:name w:val="Byline"/>
    <w:rsid w:val="002511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19B"/>
    <w:pPr>
      <w:tabs>
        <w:tab w:val="clear" w:pos="3600"/>
        <w:tab w:val="clear" w:pos="3958"/>
      </w:tabs>
      <w:jc w:val="right"/>
    </w:pPr>
  </w:style>
  <w:style w:type="character" w:styleId="Emphasis">
    <w:name w:val="Emphasis"/>
    <w:basedOn w:val="DefaultParagraphFont"/>
    <w:qFormat/>
    <w:rsid w:val="0025119B"/>
    <w:rPr>
      <w:i/>
    </w:rPr>
  </w:style>
  <w:style w:type="paragraph" w:styleId="Caption">
    <w:name w:val="caption"/>
    <w:basedOn w:val="BodyText"/>
    <w:next w:val="Normal"/>
    <w:qFormat/>
    <w:rsid w:val="0025119B"/>
    <w:pPr>
      <w:framePr w:w="2268" w:hSpace="181" w:vSpace="181" w:wrap="around" w:vAnchor="text" w:hAnchor="page" w:x="1135" w:y="285" w:anchorLock="1"/>
    </w:pPr>
    <w:rPr>
      <w:i/>
    </w:rPr>
  </w:style>
  <w:style w:type="paragraph" w:customStyle="1" w:styleId="MiniTOCTitle">
    <w:name w:val="MiniTOCTitle"/>
    <w:basedOn w:val="Heading4"/>
    <w:rsid w:val="0025119B"/>
    <w:pPr>
      <w:spacing w:before="240"/>
      <w:outlineLvl w:val="9"/>
    </w:pPr>
    <w:rPr>
      <w:noProof/>
      <w:sz w:val="24"/>
    </w:rPr>
  </w:style>
  <w:style w:type="paragraph" w:customStyle="1" w:styleId="MiniTOCItem">
    <w:name w:val="MiniTOCItem"/>
    <w:basedOn w:val="ListBullet"/>
    <w:rsid w:val="0025119B"/>
    <w:pPr>
      <w:numPr>
        <w:numId w:val="0"/>
      </w:numPr>
      <w:tabs>
        <w:tab w:val="right" w:leader="dot" w:pos="6521"/>
      </w:tabs>
      <w:spacing w:before="0" w:after="0"/>
    </w:pPr>
  </w:style>
  <w:style w:type="paragraph" w:customStyle="1" w:styleId="TOFTitle">
    <w:name w:val="TOFTitle"/>
    <w:basedOn w:val="TOCTitle"/>
    <w:rsid w:val="0025119B"/>
  </w:style>
  <w:style w:type="paragraph" w:styleId="TableofFigures">
    <w:name w:val="table of figures"/>
    <w:basedOn w:val="Normal"/>
    <w:next w:val="Normal"/>
    <w:semiHidden/>
    <w:rsid w:val="0025119B"/>
    <w:pPr>
      <w:tabs>
        <w:tab w:val="right" w:leader="dot" w:pos="9072"/>
      </w:tabs>
      <w:ind w:left="970" w:hanging="403"/>
    </w:pPr>
    <w:rPr>
      <w:rFonts w:ascii="Times New Roman" w:hAnsi="Times New Roman"/>
      <w:b/>
    </w:rPr>
  </w:style>
  <w:style w:type="paragraph" w:styleId="ListNumber">
    <w:name w:val="List Number"/>
    <w:basedOn w:val="List"/>
    <w:rsid w:val="0025119B"/>
    <w:pPr>
      <w:numPr>
        <w:numId w:val="11"/>
      </w:numPr>
    </w:pPr>
  </w:style>
  <w:style w:type="character" w:customStyle="1" w:styleId="WingdingSymbols">
    <w:name w:val="Wingding Symbols"/>
    <w:rsid w:val="0025119B"/>
    <w:rPr>
      <w:rFonts w:ascii="Wingdings" w:hAnsi="Wingdings"/>
    </w:rPr>
  </w:style>
  <w:style w:type="paragraph" w:customStyle="1" w:styleId="TableHeading">
    <w:name w:val="Table Heading"/>
    <w:basedOn w:val="HeadingBase"/>
    <w:rsid w:val="0025119B"/>
    <w:pPr>
      <w:keepLines/>
      <w:pBdr>
        <w:bottom w:val="single" w:sz="6" w:space="1" w:color="918585"/>
      </w:pBdr>
      <w:spacing w:before="240"/>
    </w:pPr>
  </w:style>
  <w:style w:type="character" w:customStyle="1" w:styleId="HotSpot">
    <w:name w:val="HotSpot"/>
    <w:rsid w:val="0025119B"/>
    <w:rPr>
      <w:color w:val="0033CC"/>
      <w:u w:val="none"/>
    </w:rPr>
  </w:style>
  <w:style w:type="paragraph" w:customStyle="1" w:styleId="BodyTextRight">
    <w:name w:val="Body Text Right"/>
    <w:basedOn w:val="BodyText"/>
    <w:rsid w:val="0025119B"/>
    <w:pPr>
      <w:spacing w:before="0" w:after="0"/>
      <w:jc w:val="right"/>
    </w:pPr>
  </w:style>
  <w:style w:type="paragraph" w:styleId="Index3">
    <w:name w:val="index 3"/>
    <w:basedOn w:val="ListNumber2"/>
    <w:next w:val="Normal"/>
    <w:semiHidden/>
    <w:rsid w:val="0025119B"/>
    <w:pPr>
      <w:numPr>
        <w:numId w:val="0"/>
      </w:numPr>
      <w:tabs>
        <w:tab w:val="right" w:leader="dot" w:pos="4176"/>
      </w:tabs>
    </w:pPr>
  </w:style>
  <w:style w:type="paragraph" w:styleId="ListNumber2">
    <w:name w:val="List Number 2"/>
    <w:basedOn w:val="List2"/>
    <w:rsid w:val="0025119B"/>
    <w:pPr>
      <w:numPr>
        <w:numId w:val="10"/>
      </w:numPr>
      <w:tabs>
        <w:tab w:val="clear" w:pos="1060"/>
      </w:tabs>
    </w:pPr>
  </w:style>
  <w:style w:type="paragraph" w:customStyle="1" w:styleId="MarginNote">
    <w:name w:val="Margin Note"/>
    <w:basedOn w:val="BodyText"/>
    <w:rsid w:val="002511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1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1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119B"/>
    <w:rPr>
      <w:sz w:val="32"/>
    </w:rPr>
  </w:style>
  <w:style w:type="paragraph" w:customStyle="1" w:styleId="HeadingProcedure">
    <w:name w:val="Heading Procedure"/>
    <w:basedOn w:val="HeadingBase"/>
    <w:next w:val="Normal"/>
    <w:rsid w:val="0025119B"/>
    <w:pPr>
      <w:tabs>
        <w:tab w:val="left" w:pos="0"/>
      </w:tabs>
      <w:spacing w:before="120" w:after="60"/>
    </w:pPr>
    <w:rPr>
      <w:i/>
      <w:color w:val="918585"/>
      <w:sz w:val="22"/>
    </w:rPr>
  </w:style>
  <w:style w:type="paragraph" w:customStyle="1" w:styleId="TableBodyText">
    <w:name w:val="Table Body Text"/>
    <w:basedOn w:val="BodyText"/>
    <w:rsid w:val="0025119B"/>
    <w:pPr>
      <w:spacing w:before="60" w:after="60"/>
    </w:pPr>
  </w:style>
  <w:style w:type="paragraph" w:styleId="ListContinue">
    <w:name w:val="List Continue"/>
    <w:basedOn w:val="List"/>
    <w:rsid w:val="0025119B"/>
    <w:pPr>
      <w:ind w:firstLine="0"/>
    </w:pPr>
  </w:style>
  <w:style w:type="paragraph" w:customStyle="1" w:styleId="ListNote">
    <w:name w:val="List Note"/>
    <w:basedOn w:val="List"/>
    <w:rsid w:val="0025119B"/>
    <w:pPr>
      <w:pBdr>
        <w:top w:val="single" w:sz="6" w:space="2" w:color="918585"/>
        <w:bottom w:val="single" w:sz="6" w:space="2" w:color="918585"/>
      </w:pBdr>
      <w:tabs>
        <w:tab w:val="left" w:pos="1021"/>
      </w:tabs>
      <w:ind w:firstLine="0"/>
    </w:pPr>
  </w:style>
  <w:style w:type="paragraph" w:customStyle="1" w:styleId="Warning">
    <w:name w:val="Warning"/>
    <w:basedOn w:val="BodyText"/>
    <w:rsid w:val="0025119B"/>
    <w:pPr>
      <w:shd w:val="clear" w:color="auto" w:fill="D9D9D9"/>
      <w:tabs>
        <w:tab w:val="left" w:pos="992"/>
      </w:tabs>
      <w:ind w:left="119" w:right="119"/>
    </w:pPr>
    <w:rPr>
      <w:sz w:val="20"/>
    </w:rPr>
  </w:style>
  <w:style w:type="paragraph" w:customStyle="1" w:styleId="MarginIcons">
    <w:name w:val="Margin Icons"/>
    <w:basedOn w:val="BodyText"/>
    <w:rsid w:val="002511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19B"/>
    <w:rPr>
      <w:rFonts w:ascii="Courier New" w:hAnsi="Courier New"/>
    </w:rPr>
  </w:style>
  <w:style w:type="paragraph" w:customStyle="1" w:styleId="NoteBullet">
    <w:name w:val="Note Bullet"/>
    <w:basedOn w:val="Note"/>
    <w:rsid w:val="0025119B"/>
    <w:pPr>
      <w:tabs>
        <w:tab w:val="clear" w:pos="680"/>
      </w:tabs>
      <w:spacing w:before="60" w:after="60"/>
    </w:pPr>
  </w:style>
  <w:style w:type="paragraph" w:customStyle="1" w:styleId="SubHeading2">
    <w:name w:val="SubHeading2"/>
    <w:basedOn w:val="HeadingBase"/>
    <w:rsid w:val="0025119B"/>
    <w:pPr>
      <w:spacing w:before="240" w:after="60"/>
    </w:pPr>
    <w:rPr>
      <w:sz w:val="20"/>
    </w:rPr>
  </w:style>
  <w:style w:type="paragraph" w:customStyle="1" w:styleId="SubHeading1">
    <w:name w:val="SubHeading1"/>
    <w:basedOn w:val="HeadingBase"/>
    <w:rsid w:val="0025119B"/>
    <w:pPr>
      <w:spacing w:before="240" w:after="60"/>
    </w:pPr>
    <w:rPr>
      <w:color w:val="918585"/>
      <w:sz w:val="22"/>
    </w:rPr>
  </w:style>
  <w:style w:type="paragraph" w:customStyle="1" w:styleId="SideHeading">
    <w:name w:val="Side Heading"/>
    <w:basedOn w:val="HeadingBase"/>
    <w:rsid w:val="002511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19B"/>
    <w:pPr>
      <w:numPr>
        <w:numId w:val="12"/>
      </w:numPr>
    </w:pPr>
  </w:style>
  <w:style w:type="paragraph" w:styleId="PlainText">
    <w:name w:val="Plain Text"/>
    <w:basedOn w:val="Normal"/>
    <w:link w:val="PlainTextChar"/>
    <w:rsid w:val="0025119B"/>
    <w:rPr>
      <w:sz w:val="20"/>
    </w:rPr>
  </w:style>
  <w:style w:type="character" w:customStyle="1" w:styleId="PlainTextChar">
    <w:name w:val="Plain Text Char"/>
    <w:basedOn w:val="DefaultParagraphFont"/>
    <w:link w:val="PlainText"/>
    <w:rsid w:val="002511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119B"/>
    <w:rPr>
      <w:b/>
      <w:smallCaps/>
    </w:rPr>
  </w:style>
  <w:style w:type="paragraph" w:customStyle="1" w:styleId="TableListNumber">
    <w:name w:val="Table List Number"/>
    <w:basedOn w:val="ListNumber"/>
    <w:rsid w:val="0025119B"/>
    <w:pPr>
      <w:numPr>
        <w:numId w:val="0"/>
      </w:numPr>
    </w:pPr>
  </w:style>
  <w:style w:type="paragraph" w:styleId="TOC4">
    <w:name w:val="toc 4"/>
    <w:basedOn w:val="TOCBase"/>
    <w:next w:val="Normal"/>
    <w:semiHidden/>
    <w:rsid w:val="0025119B"/>
    <w:pPr>
      <w:tabs>
        <w:tab w:val="right" w:leader="dot" w:pos="9071"/>
      </w:tabs>
      <w:ind w:left="1701"/>
    </w:pPr>
  </w:style>
  <w:style w:type="paragraph" w:customStyle="1" w:styleId="ListAlpha">
    <w:name w:val="List Alpha"/>
    <w:basedOn w:val="List"/>
    <w:rsid w:val="0025119B"/>
    <w:pPr>
      <w:numPr>
        <w:numId w:val="9"/>
      </w:numPr>
    </w:pPr>
  </w:style>
  <w:style w:type="paragraph" w:customStyle="1" w:styleId="ListAlpha2">
    <w:name w:val="List Alpha 2"/>
    <w:basedOn w:val="List2"/>
    <w:rsid w:val="0025119B"/>
    <w:pPr>
      <w:numPr>
        <w:numId w:val="8"/>
      </w:numPr>
    </w:pPr>
  </w:style>
  <w:style w:type="paragraph" w:styleId="List2">
    <w:name w:val="List 2"/>
    <w:basedOn w:val="BodyText"/>
    <w:rsid w:val="0025119B"/>
    <w:pPr>
      <w:tabs>
        <w:tab w:val="left" w:pos="680"/>
      </w:tabs>
      <w:spacing w:before="60" w:after="60"/>
      <w:ind w:left="680" w:hanging="340"/>
    </w:pPr>
  </w:style>
  <w:style w:type="paragraph" w:styleId="List3">
    <w:name w:val="List 3"/>
    <w:basedOn w:val="BodyText"/>
    <w:rsid w:val="0025119B"/>
    <w:pPr>
      <w:tabs>
        <w:tab w:val="left" w:pos="1021"/>
      </w:tabs>
      <w:spacing w:before="60" w:after="60"/>
      <w:ind w:left="1020" w:hanging="340"/>
    </w:pPr>
  </w:style>
  <w:style w:type="paragraph" w:styleId="List4">
    <w:name w:val="List 4"/>
    <w:basedOn w:val="BodyText"/>
    <w:rsid w:val="0025119B"/>
    <w:pPr>
      <w:tabs>
        <w:tab w:val="left" w:pos="1361"/>
      </w:tabs>
      <w:spacing w:before="60" w:after="60"/>
      <w:ind w:left="1361" w:hanging="340"/>
    </w:pPr>
  </w:style>
  <w:style w:type="paragraph" w:styleId="List5">
    <w:name w:val="List 5"/>
    <w:basedOn w:val="BodyText"/>
    <w:rsid w:val="0025119B"/>
    <w:pPr>
      <w:tabs>
        <w:tab w:val="left" w:pos="1701"/>
      </w:tabs>
      <w:spacing w:before="60" w:after="60"/>
      <w:ind w:left="1701" w:hanging="340"/>
    </w:pPr>
  </w:style>
  <w:style w:type="paragraph" w:styleId="ListBullet4">
    <w:name w:val="List Bullet 4"/>
    <w:basedOn w:val="List4"/>
    <w:rsid w:val="0025119B"/>
    <w:pPr>
      <w:numPr>
        <w:numId w:val="3"/>
      </w:numPr>
    </w:pPr>
  </w:style>
  <w:style w:type="paragraph" w:styleId="ListBullet5">
    <w:name w:val="List Bullet 5"/>
    <w:basedOn w:val="List5"/>
    <w:rsid w:val="0025119B"/>
    <w:pPr>
      <w:numPr>
        <w:numId w:val="4"/>
      </w:numPr>
    </w:pPr>
  </w:style>
  <w:style w:type="paragraph" w:styleId="ListContinue2">
    <w:name w:val="List Continue 2"/>
    <w:basedOn w:val="List2"/>
    <w:rsid w:val="0025119B"/>
    <w:pPr>
      <w:ind w:firstLine="0"/>
    </w:pPr>
  </w:style>
  <w:style w:type="paragraph" w:styleId="ListContinue3">
    <w:name w:val="List Continue 3"/>
    <w:basedOn w:val="List3"/>
    <w:rsid w:val="0025119B"/>
    <w:pPr>
      <w:ind w:left="1021" w:firstLine="0"/>
    </w:pPr>
  </w:style>
  <w:style w:type="paragraph" w:styleId="ListContinue4">
    <w:name w:val="List Continue 4"/>
    <w:basedOn w:val="List4"/>
    <w:rsid w:val="0025119B"/>
    <w:pPr>
      <w:ind w:firstLine="0"/>
    </w:pPr>
  </w:style>
  <w:style w:type="paragraph" w:styleId="ListContinue5">
    <w:name w:val="List Continue 5"/>
    <w:basedOn w:val="List5"/>
    <w:rsid w:val="0025119B"/>
    <w:pPr>
      <w:ind w:firstLine="0"/>
    </w:pPr>
  </w:style>
  <w:style w:type="paragraph" w:styleId="ListNumber3">
    <w:name w:val="List Number 3"/>
    <w:basedOn w:val="List3"/>
    <w:rsid w:val="0025119B"/>
    <w:pPr>
      <w:numPr>
        <w:numId w:val="5"/>
      </w:numPr>
    </w:pPr>
  </w:style>
  <w:style w:type="paragraph" w:styleId="ListNumber4">
    <w:name w:val="List Number 4"/>
    <w:basedOn w:val="List4"/>
    <w:rsid w:val="0025119B"/>
    <w:pPr>
      <w:numPr>
        <w:numId w:val="6"/>
      </w:numPr>
    </w:pPr>
  </w:style>
  <w:style w:type="paragraph" w:styleId="ListNumber5">
    <w:name w:val="List Number 5"/>
    <w:basedOn w:val="List5"/>
    <w:rsid w:val="0025119B"/>
    <w:pPr>
      <w:numPr>
        <w:numId w:val="7"/>
      </w:numPr>
    </w:pPr>
  </w:style>
  <w:style w:type="paragraph" w:styleId="BlockText">
    <w:name w:val="Block Text"/>
    <w:basedOn w:val="Normal"/>
    <w:rsid w:val="0025119B"/>
    <w:pPr>
      <w:spacing w:after="120"/>
      <w:ind w:left="1440" w:right="1440"/>
    </w:pPr>
  </w:style>
  <w:style w:type="character" w:customStyle="1" w:styleId="Subscript">
    <w:name w:val="Subscript"/>
    <w:basedOn w:val="DefaultParagraphFont"/>
    <w:rsid w:val="0025119B"/>
    <w:rPr>
      <w:sz w:val="16"/>
      <w:vertAlign w:val="subscript"/>
    </w:rPr>
  </w:style>
  <w:style w:type="character" w:customStyle="1" w:styleId="Superscript">
    <w:name w:val="Superscript"/>
    <w:basedOn w:val="DefaultParagraphFont"/>
    <w:rsid w:val="0025119B"/>
    <w:rPr>
      <w:sz w:val="16"/>
      <w:vertAlign w:val="superscript"/>
    </w:rPr>
  </w:style>
  <w:style w:type="character" w:customStyle="1" w:styleId="Symbols">
    <w:name w:val="Symbols"/>
    <w:basedOn w:val="DefaultParagraphFont"/>
    <w:rsid w:val="0025119B"/>
    <w:rPr>
      <w:rFonts w:ascii="Symbol" w:hAnsi="Symbol"/>
    </w:rPr>
  </w:style>
  <w:style w:type="character" w:customStyle="1" w:styleId="MenuOptions">
    <w:name w:val="Menu Options"/>
    <w:basedOn w:val="DefaultParagraphFont"/>
    <w:rsid w:val="0025119B"/>
    <w:rPr>
      <w:rFonts w:ascii="Arial Narrow" w:hAnsi="Arial Narrow"/>
      <w:smallCaps/>
    </w:rPr>
  </w:style>
  <w:style w:type="character" w:customStyle="1" w:styleId="Buttons">
    <w:name w:val="Buttons"/>
    <w:basedOn w:val="DefaultParagraphFont"/>
    <w:rsid w:val="0025119B"/>
    <w:rPr>
      <w:b/>
    </w:rPr>
  </w:style>
  <w:style w:type="character" w:customStyle="1" w:styleId="Underlined">
    <w:name w:val="Underlined"/>
    <w:basedOn w:val="DefaultParagraphFont"/>
    <w:rsid w:val="0025119B"/>
    <w:rPr>
      <w:u w:val="single"/>
    </w:rPr>
  </w:style>
  <w:style w:type="paragraph" w:customStyle="1" w:styleId="TableBodyTextRight">
    <w:name w:val="Table Body Text Right"/>
    <w:basedOn w:val="TableBodyText"/>
    <w:rsid w:val="0025119B"/>
    <w:pPr>
      <w:widowControl w:val="0"/>
      <w:autoSpaceDE w:val="0"/>
      <w:autoSpaceDN w:val="0"/>
      <w:adjustRightInd w:val="0"/>
      <w:jc w:val="right"/>
    </w:pPr>
    <w:rPr>
      <w:rFonts w:cs="Arial"/>
      <w:szCs w:val="18"/>
    </w:rPr>
  </w:style>
  <w:style w:type="paragraph" w:customStyle="1" w:styleId="CopyrightText">
    <w:name w:val="Copyright Text"/>
    <w:basedOn w:val="BodyText"/>
    <w:rsid w:val="0025119B"/>
    <w:rPr>
      <w:sz w:val="18"/>
    </w:rPr>
  </w:style>
  <w:style w:type="paragraph" w:customStyle="1" w:styleId="BodySmallRight">
    <w:name w:val="Body Small Right"/>
    <w:basedOn w:val="BodyTextRight"/>
    <w:rsid w:val="0025119B"/>
    <w:rPr>
      <w:sz w:val="18"/>
      <w:szCs w:val="18"/>
    </w:rPr>
  </w:style>
  <w:style w:type="paragraph" w:customStyle="1" w:styleId="MarginEdition">
    <w:name w:val="Margin Edition"/>
    <w:basedOn w:val="MarginNote"/>
    <w:rsid w:val="0025119B"/>
    <w:pPr>
      <w:spacing w:before="0" w:after="0"/>
    </w:pPr>
    <w:rPr>
      <w:rFonts w:ascii="Times New Roman" w:hAnsi="Times New Roman"/>
      <w:color w:val="999999"/>
    </w:rPr>
  </w:style>
  <w:style w:type="paragraph" w:customStyle="1" w:styleId="Spacer">
    <w:name w:val="Spacer"/>
    <w:basedOn w:val="Normal"/>
    <w:rsid w:val="0025119B"/>
    <w:rPr>
      <w:sz w:val="2"/>
      <w:szCs w:val="2"/>
    </w:rPr>
  </w:style>
  <w:style w:type="character" w:customStyle="1" w:styleId="Small">
    <w:name w:val="Small"/>
    <w:basedOn w:val="DefaultParagraphFont"/>
    <w:rsid w:val="0025119B"/>
    <w:rPr>
      <w:sz w:val="16"/>
    </w:rPr>
  </w:style>
  <w:style w:type="paragraph" w:customStyle="1" w:styleId="WideTable">
    <w:name w:val="Wide Table"/>
    <w:basedOn w:val="Normal"/>
    <w:rsid w:val="0025119B"/>
    <w:pPr>
      <w:ind w:left="-1418"/>
    </w:pPr>
    <w:rPr>
      <w:sz w:val="2"/>
      <w:szCs w:val="2"/>
    </w:rPr>
  </w:style>
  <w:style w:type="character" w:styleId="PageNumber">
    <w:name w:val="page number"/>
    <w:basedOn w:val="DefaultParagraphFont"/>
    <w:rsid w:val="0025119B"/>
  </w:style>
  <w:style w:type="paragraph" w:styleId="Quote">
    <w:name w:val="Quote"/>
    <w:basedOn w:val="Heading1"/>
    <w:link w:val="QuoteChar"/>
    <w:qFormat/>
    <w:rsid w:val="0025119B"/>
    <w:rPr>
      <w:b w:val="0"/>
      <w:sz w:val="72"/>
      <w:szCs w:val="72"/>
      <w:lang w:val="en-NZ"/>
    </w:rPr>
  </w:style>
  <w:style w:type="character" w:customStyle="1" w:styleId="QuoteChar">
    <w:name w:val="Quote Char"/>
    <w:basedOn w:val="DefaultParagraphFont"/>
    <w:link w:val="Quote"/>
    <w:rsid w:val="002511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19B"/>
    <w:pPr>
      <w:pageBreakBefore/>
    </w:pPr>
  </w:style>
  <w:style w:type="paragraph" w:customStyle="1" w:styleId="Border">
    <w:name w:val="Border"/>
    <w:basedOn w:val="Normal"/>
    <w:qFormat/>
    <w:rsid w:val="002511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19B"/>
    <w:rPr>
      <w:b/>
      <w:bCs/>
      <w:i/>
      <w:iCs/>
      <w:color w:val="auto"/>
    </w:rPr>
  </w:style>
  <w:style w:type="paragraph" w:styleId="IntenseQuote">
    <w:name w:val="Intense Quote"/>
    <w:basedOn w:val="Normal"/>
    <w:next w:val="Normal"/>
    <w:link w:val="IntenseQuoteChar"/>
    <w:uiPriority w:val="30"/>
    <w:qFormat/>
    <w:rsid w:val="002511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1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119B"/>
    <w:rPr>
      <w:smallCaps/>
      <w:color w:val="auto"/>
      <w:u w:val="single"/>
    </w:rPr>
  </w:style>
  <w:style w:type="character" w:styleId="IntenseReference">
    <w:name w:val="Intense Reference"/>
    <w:basedOn w:val="DefaultParagraphFont"/>
    <w:uiPriority w:val="32"/>
    <w:qFormat/>
    <w:rsid w:val="0025119B"/>
    <w:rPr>
      <w:b/>
      <w:bCs/>
      <w:smallCaps/>
      <w:color w:val="auto"/>
      <w:spacing w:val="5"/>
      <w:u w:val="single"/>
    </w:rPr>
  </w:style>
  <w:style w:type="paragraph" w:customStyle="1" w:styleId="2ColumnHeading">
    <w:name w:val="2Column Heading"/>
    <w:basedOn w:val="BodyText"/>
    <w:qFormat/>
    <w:rsid w:val="0025119B"/>
    <w:pPr>
      <w:spacing w:after="60"/>
      <w:ind w:left="-2268"/>
    </w:pPr>
    <w:rPr>
      <w:b/>
    </w:rPr>
  </w:style>
  <w:style w:type="paragraph" w:customStyle="1" w:styleId="Heading1TOC">
    <w:name w:val="Heading1 TOC"/>
    <w:basedOn w:val="Normal"/>
    <w:qFormat/>
    <w:rsid w:val="0025119B"/>
    <w:pPr>
      <w:spacing w:before="240" w:after="120"/>
    </w:pPr>
    <w:rPr>
      <w:rFonts w:ascii="Times New Roman" w:hAnsi="Times New Roman"/>
      <w:b/>
      <w:sz w:val="32"/>
    </w:rPr>
  </w:style>
  <w:style w:type="paragraph" w:customStyle="1" w:styleId="Heading2TOC">
    <w:name w:val="Heading2 TOC"/>
    <w:basedOn w:val="Normal"/>
    <w:qFormat/>
    <w:rsid w:val="0025119B"/>
    <w:pPr>
      <w:spacing w:before="240" w:after="60"/>
    </w:pPr>
    <w:rPr>
      <w:rFonts w:ascii="Times New Roman" w:hAnsi="Times New Roman"/>
      <w:b/>
      <w:sz w:val="28"/>
    </w:rPr>
  </w:style>
  <w:style w:type="character" w:customStyle="1" w:styleId="Underline">
    <w:name w:val="Underline"/>
    <w:basedOn w:val="DefaultParagraphFont"/>
    <w:qFormat/>
    <w:rsid w:val="0025119B"/>
    <w:rPr>
      <w:u w:val="single"/>
    </w:rPr>
  </w:style>
  <w:style w:type="character" w:customStyle="1" w:styleId="BoldandItalics">
    <w:name w:val="Bold and Italics"/>
    <w:qFormat/>
    <w:rsid w:val="0025119B"/>
    <w:rPr>
      <w:b/>
      <w:i/>
      <w:u w:val="none"/>
    </w:rPr>
  </w:style>
  <w:style w:type="paragraph" w:styleId="BalloonText">
    <w:name w:val="Balloon Text"/>
    <w:basedOn w:val="Normal"/>
    <w:link w:val="BalloonTextChar"/>
    <w:rsid w:val="0025119B"/>
    <w:rPr>
      <w:rFonts w:ascii="Tahoma" w:hAnsi="Tahoma" w:cs="Tahoma"/>
      <w:sz w:val="16"/>
      <w:szCs w:val="16"/>
    </w:rPr>
  </w:style>
  <w:style w:type="character" w:customStyle="1" w:styleId="BalloonTextChar">
    <w:name w:val="Balloon Text Char"/>
    <w:basedOn w:val="DefaultParagraphFont"/>
    <w:link w:val="BalloonText"/>
    <w:rsid w:val="002511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11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11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2438</Words>
  <Characters>14638</Characters>
  <Application>Microsoft Office Word</Application>
  <DocSecurity>0</DocSecurity>
  <Lines>612</Lines>
  <Paragraphs>244</Paragraphs>
  <ScaleCrop>false</ScaleCrop>
  <Company>Author-it Software Corporation Ltd.</Company>
  <LinksUpToDate>false</LinksUpToDate>
  <CharactersWithSpaces>16917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UEPMNT402A Conduct Complex Levelling and Alignment</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2012-05-26T22:17:00Z</dcterms:created>
  <dcterms:modified xsi:type="dcterms:W3CDTF">2012-05-26T22:17:00Z</dcterms:modified>
</cp:coreProperties>
</file>