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DF0" w:rsidP="001E7DF0">
      <w:pPr>
        <w:pStyle w:val="Title"/>
      </w:pPr>
      <w:r>
        <w:fldChar w:fldCharType="begin"/>
      </w:r>
      <w:r>
        <w:instrText xml:space="preserve"> TITLE   \* MERGEFORMAT </w:instrText>
      </w:r>
      <w:r>
        <w:fldChar w:fldCharType="separate"/>
      </w:r>
      <w:r>
        <w:t>UEPMNT323A Weld using Gas Tungsten Arc Welding Process (GTAW)</w:t>
      </w:r>
      <w:r>
        <w:fldChar w:fldCharType="end"/>
      </w:r>
    </w:p>
    <w:p w:rsidR="001E7DF0" w:rsidP="001E7DF0">
      <w:pPr>
        <w:pStyle w:val="Version"/>
        <w:sectPr w:rsidSect="002B7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810" w:rsidP="002B7810">
      <w:pPr>
        <w:pStyle w:val="SuperHeading"/>
      </w:pPr>
      <w:r w:rsidRPr="002B7810">
        <w:t>UEPMNT323A Weld using Gas Tungsten Arc Welding Process (GTAW)</w:t>
      </w:r>
    </w:p>
    <w:p w:rsidR="00000000" w:rsidRPr="002B7810" w:rsidP="002B7810">
      <w:pPr>
        <w:pStyle w:val="Heading1"/>
      </w:pPr>
      <w:bookmarkStart w:id="1" w:name="O_275173"/>
      <w:bookmarkEnd w:id="1"/>
      <w:r w:rsidRPr="002B7810">
        <w:t>Modification History</w:t>
      </w:r>
    </w:p>
    <w:p w:rsidR="00000000" w:rsidRPr="002B7810" w:rsidP="002B7810">
      <w:pPr>
        <w:pStyle w:val="BodyText"/>
      </w:pPr>
      <w:r w:rsidRPr="002B7810">
        <w:t>Not Applicable</w:t>
      </w:r>
    </w:p>
    <w:p w:rsidR="00000000" w:rsidRPr="002B7810" w:rsidP="002B7810">
      <w:pPr>
        <w:pStyle w:val="AllowPageBreak"/>
      </w:pPr>
    </w:p>
    <w:p w:rsidR="00000000" w:rsidRPr="002B7810" w:rsidP="002B7810">
      <w:pPr>
        <w:pStyle w:val="Heading1"/>
      </w:pPr>
      <w:bookmarkStart w:id="2" w:name="O_229836"/>
      <w:bookmarkEnd w:id="2"/>
      <w:r w:rsidRPr="002B7810">
        <w:t>Unit Descriptor</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1</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This unit deals with the skills and knowledge required to perform General Purpose Gas Tungsten Arc Welding to AS1554 GP.</w:t>
            </w:r>
          </w:p>
        </w:tc>
      </w:tr>
    </w:tbl>
    <w:p w:rsidR="001E7DF0" w:rsidP="002B7810">
      <w:pPr>
        <w:pStyle w:val="BodyText"/>
      </w:pPr>
    </w:p>
    <w:p w:rsidR="001E7DF0" w:rsidP="002B7810">
      <w:pPr>
        <w:pStyle w:val="BodyText"/>
      </w:pPr>
    </w:p>
    <w:p w:rsidR="00000000" w:rsidRPr="002B7810" w:rsidP="002B7810">
      <w:pPr>
        <w:pStyle w:val="Heading1"/>
      </w:pPr>
      <w:bookmarkStart w:id="3" w:name="O_229839"/>
      <w:bookmarkEnd w:id="3"/>
      <w:r w:rsidRPr="002B7810">
        <w:t>Application of the Unit</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3</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This unit is intended to augment formally acquired competenci</w:t>
            </w:r>
            <w:r w:rsidRPr="002B7810">
              <w:t>es. It is suitable for employment-based programs under an approved contract of training.</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3</w:t>
            </w:r>
            <w:r w:rsidRPr="002B7810">
              <w:t>.</w:t>
            </w:r>
            <w:r w:rsidRPr="002B7810">
              <w:rPr>
                <w:rStyle w:val="SpecialBold"/>
              </w:rPr>
              <w:t>1</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The skills and knowledge described in this unit do not require a licence to practise in the workplace. However, practice in this</w:t>
            </w:r>
            <w:r w:rsidRPr="002B7810">
              <w:t xml:space="preserve"> unit is subject to regulations directly related to Occupational Health and Safety and where applicable contracts of training such as apprenticeships and the like.</w:t>
            </w:r>
          </w:p>
        </w:tc>
      </w:tr>
    </w:tbl>
    <w:p w:rsidR="001E7DF0" w:rsidP="002B7810">
      <w:pPr>
        <w:pStyle w:val="BodyText"/>
      </w:pPr>
    </w:p>
    <w:p w:rsidR="001E7DF0" w:rsidP="002B7810">
      <w:pPr>
        <w:pStyle w:val="BodyText"/>
      </w:pPr>
    </w:p>
    <w:p w:rsidR="00000000" w:rsidRPr="002B7810" w:rsidP="002B7810">
      <w:pPr>
        <w:pStyle w:val="Heading1"/>
      </w:pPr>
      <w:bookmarkStart w:id="4" w:name="O_282711"/>
      <w:bookmarkEnd w:id="4"/>
      <w:r w:rsidRPr="002B7810">
        <w:t>Licensing/Regulatory Information</w:t>
      </w:r>
    </w:p>
    <w:p w:rsidR="00000000" w:rsidRPr="002B7810" w:rsidP="002B7810">
      <w:pPr>
        <w:pStyle w:val="BodyText"/>
      </w:pPr>
      <w:r w:rsidRPr="002B7810">
        <w:t>Not Applicable</w:t>
      </w:r>
    </w:p>
    <w:p w:rsidR="00000000" w:rsidRPr="002B7810" w:rsidP="002B7810">
      <w:pPr>
        <w:pStyle w:val="AllowPageBreak"/>
      </w:pPr>
    </w:p>
    <w:p w:rsidR="00000000" w:rsidRPr="002B7810" w:rsidP="002B7810">
      <w:pPr>
        <w:pStyle w:val="Heading1"/>
      </w:pPr>
      <w:bookmarkStart w:id="5" w:name="O_229837"/>
      <w:bookmarkEnd w:id="5"/>
      <w:r w:rsidRPr="002B7810">
        <w:t>Pre-Req</w:t>
      </w:r>
      <w:r w:rsidRPr="002B7810">
        <w:t>uisites</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Prerequisite Unit</w:t>
            </w:r>
            <w:r w:rsidRPr="002B7810">
              <w:t>(</w:t>
            </w:r>
            <w:r w:rsidRPr="002B7810">
              <w:rPr>
                <w:rStyle w:val="SpecialBold"/>
              </w:rPr>
              <w:t>s</w:t>
            </w:r>
            <w:r w:rsidRPr="002B7810">
              <w:t>)</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2</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2</w:t>
            </w:r>
            <w:r w:rsidRPr="002B7810">
              <w:t>.</w:t>
            </w:r>
            <w:r w:rsidRPr="002B7810">
              <w:rPr>
                <w:rStyle w:val="SpecialBold"/>
              </w:rPr>
              <w:t>1</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There are no prerequisite units.</w:t>
            </w:r>
          </w:p>
        </w:tc>
      </w:tr>
    </w:tbl>
    <w:p w:rsidR="001E7DF0" w:rsidP="002B7810">
      <w:pPr>
        <w:pStyle w:val="BodyText"/>
      </w:pPr>
    </w:p>
    <w:p w:rsidR="001E7DF0" w:rsidP="002B7810">
      <w:pPr>
        <w:pStyle w:val="BodyText"/>
      </w:pPr>
    </w:p>
    <w:p w:rsidR="00000000" w:rsidRPr="002B7810" w:rsidP="002B7810">
      <w:pPr>
        <w:pStyle w:val="Heading1"/>
      </w:pPr>
      <w:bookmarkStart w:id="6" w:name="O_285422"/>
      <w:bookmarkEnd w:id="6"/>
      <w:r w:rsidRPr="002B7810">
        <w:t>Employability Skills Information</w:t>
      </w:r>
    </w:p>
    <w:p w:rsidR="00000000" w:rsidRPr="002B7810" w:rsidP="002B7810">
      <w:pPr>
        <w:pStyle w:val="BodyText"/>
      </w:pPr>
      <w:r w:rsidRPr="002B7810">
        <w:t>Refer to the Evidence Guide</w:t>
      </w:r>
    </w:p>
    <w:p w:rsidR="00000000" w:rsidRPr="002B7810" w:rsidP="002B7810">
      <w:pPr>
        <w:pStyle w:val="AllowPageBreak"/>
      </w:pPr>
    </w:p>
    <w:p w:rsidR="00000000" w:rsidRPr="002B7810" w:rsidP="002B7810">
      <w:pPr>
        <w:pStyle w:val="Heading1"/>
      </w:pPr>
      <w:bookmarkStart w:id="7" w:name="O_293219"/>
      <w:bookmarkEnd w:id="7"/>
      <w:r w:rsidRPr="002B7810">
        <w:t>Elements and Performance Criteria Pre-Content</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5</w:t>
            </w:r>
            <w:r w:rsidRPr="002B781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Performance criteria describe the required performance needed to demonstrate achievement of the element. Assessment of performance is to be consistent with the Evidence Guide.</w:t>
            </w:r>
          </w:p>
        </w:tc>
      </w:tr>
    </w:tbl>
    <w:p w:rsidR="00000000" w:rsidRPr="002B7810" w:rsidP="002B7810">
      <w:pPr>
        <w:pStyle w:val="BodyText"/>
      </w:pPr>
    </w:p>
    <w:p w:rsidR="00000000" w:rsidRPr="002B7810" w:rsidP="002B7810">
      <w:pPr>
        <w:pStyle w:val="AllowPageBreak"/>
      </w:pPr>
    </w:p>
    <w:p w:rsidR="00000000" w:rsidRPr="002B7810" w:rsidP="002B7810">
      <w:pPr>
        <w:pStyle w:val="Heading1"/>
      </w:pPr>
      <w:bookmarkStart w:id="8" w:name="O_239887"/>
      <w:bookmarkEnd w:id="8"/>
      <w:r w:rsidRPr="002B78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E7D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PERFORMANCE CRITERIA</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w:t>
            </w:r>
          </w:p>
        </w:tc>
        <w:tc>
          <w:tcPr>
            <w:tcW w:w="2296" w:type="dxa"/>
            <w:vMerge w:val="restart"/>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1.1</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Work requirements are identified from request/work orders or equivalent and clarified/confirmed with appropriate parties or by site inspection</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1.2</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Occupational Health and Safety standards, statutory requirements, relevant Australian standards, codes of practice, manufacturers' specifications, environmental requirements and enterprise procedures are identified, applied and monitored throughout</w:t>
            </w:r>
            <w:r w:rsidRPr="002B7810">
              <w:t xml:space="preserve"> the work procedure</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1.3</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Resources required to satisfy the work plan are identified, obtained and inspected for compliance with the job specifications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1.4</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Relevant plans, drawings and text are selected and interpreted in accordance with the work plan</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1.5</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Correct size, type and quantity of materials/components are determined, obtained and inspected for compliance with the job specifications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1.6</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Work is planned in detail including sequencing and prioritising and considerations made, where appropriate, for the maintenance of plant security and capacity in accordance with system/site requirements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1.7</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 xml:space="preserve">Coordination requirements, including requests </w:t>
            </w:r>
            <w:r w:rsidRPr="002B7810">
              <w:t>for isolations where appropriate, are resolved with others involved, affected or required by the work</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1.8</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Potential hazards are identified and prevention and/or control measures are selected in accordance with the work plan and site procedures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1.9</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Wo</w:t>
            </w:r>
            <w:r w:rsidRPr="002B7810">
              <w:t>rk area is prepared in accordance with work requirements and site procedures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1.10</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 xml:space="preserve">Where appropriate, the teams and individuals roles and responsibilities within the team are identified and, where required, assist in the provision </w:t>
            </w:r>
            <w:r w:rsidRPr="002B7810">
              <w:t xml:space="preserve">of the on-the-job training </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w:t>
            </w:r>
          </w:p>
        </w:tc>
        <w:tc>
          <w:tcPr>
            <w:tcW w:w="2296" w:type="dxa"/>
            <w:vMerge w:val="restart"/>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Weld materials</w:t>
            </w: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2.1</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Materials for welding are prepared and aligned in accordance with the work plan and specifications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2.2</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Distortion prevention measures are identified and applied in accordance with job requirements.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2.3</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Test runs are undertaken in accordance with the work plan and job requirements.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2.4</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Materials are welded using GTAW process to Australian Standards No. 1554 General Purpose Quality, or equivalent, in accordance with the work plan and specifications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2.5</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Welds are cleaned using appropriate tools and techniques in accordance with the work plan</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2.6</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Welds are inspected visually and defects identified and repaired using appropriate techniques and in accordance with the work plan.</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w:t>
            </w:r>
          </w:p>
        </w:tc>
        <w:tc>
          <w:tcPr>
            <w:tcW w:w="2296"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Complete the work</w:t>
            </w: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3.1</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Work is completed and appropriate personnel notified in accordance with site/enterprise requirements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3.2</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Work area is cleared of waste, cleaned, restored and secured in accordance with site/enterprise procedures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3.3</w:t>
            </w:r>
          </w:p>
        </w:tc>
        <w:tc>
          <w:tcPr>
            <w:tcW w:w="48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Plant, tools and equipment ar</w:t>
            </w:r>
            <w:r w:rsidRPr="002B7810">
              <w:t>e maintained and stored in accordance with site/enterprise procedures</w:t>
            </w:r>
          </w:p>
        </w:tc>
      </w:tr>
      <w:tr w:rsidTr="001E7D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3.4</w:t>
            </w:r>
          </w:p>
        </w:tc>
        <w:tc>
          <w:tcPr>
            <w:tcW w:w="48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Work completion details are finalised in accordance with site/enterprise procedures</w:t>
            </w:r>
          </w:p>
        </w:tc>
      </w:tr>
    </w:tbl>
    <w:p w:rsidR="001E7DF0" w:rsidP="002B7810">
      <w:pPr>
        <w:pStyle w:val="BodyText"/>
      </w:pPr>
    </w:p>
    <w:p w:rsidR="001E7DF0" w:rsidP="002B7810">
      <w:pPr>
        <w:pStyle w:val="BodyText"/>
      </w:pPr>
    </w:p>
    <w:p w:rsidR="00000000" w:rsidRPr="002B7810" w:rsidP="002B7810">
      <w:pPr>
        <w:pStyle w:val="Heading1"/>
      </w:pPr>
      <w:bookmarkStart w:id="9" w:name="O_263678"/>
      <w:bookmarkEnd w:id="9"/>
      <w:r w:rsidRPr="002B7810">
        <w:t>Required Skills and Knowledge</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REQUIRED SKILLS AND KNOWLEDGE</w:t>
            </w:r>
          </w:p>
        </w:tc>
      </w:tr>
      <w:tr w:rsidTr="001E7D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6</w:t>
            </w:r>
            <w:r w:rsidRPr="002B7810">
              <w:t>) This describes the essential skills and knowledge and their level, required for this unit.</w:t>
            </w:r>
          </w:p>
        </w:tc>
      </w:tr>
      <w:tr w:rsidTr="001E7D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Evidence shall show that knowledge has been acquired of welding using gas tungsten arc welding process (GTAW).</w:t>
            </w:r>
          </w:p>
          <w:p w:rsidR="00000000" w:rsidP="002B7810">
            <w:pPr>
              <w:pStyle w:val="BodyText"/>
              <w:rPr>
                <w:lang w:val="en-NZ"/>
              </w:rPr>
            </w:pPr>
            <w:r w:rsidRPr="002B7810">
              <w:t>The extent of the Essential Knowledge and Associated Skills required follows:</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Evidence shall show that knowledge has been acquired for safe working practices of:</w:t>
            </w:r>
          </w:p>
          <w:p w:rsidR="00000000" w:rsidRPr="002B7810" w:rsidP="002B7810">
            <w:pPr>
              <w:pStyle w:val="ListBullet3"/>
            </w:pPr>
            <w:r w:rsidRPr="002B7810">
              <w:t xml:space="preserve">Occupational Health and Safety standards </w:t>
            </w:r>
          </w:p>
          <w:p w:rsidR="00000000" w:rsidRPr="002B7810" w:rsidP="002B7810">
            <w:pPr>
              <w:pStyle w:val="ListBullet3"/>
            </w:pPr>
            <w:r w:rsidRPr="002B7810">
              <w:t xml:space="preserve">Relevant Australian standards </w:t>
            </w:r>
          </w:p>
          <w:p w:rsidR="00000000" w:rsidRPr="002B7810" w:rsidP="002B7810">
            <w:pPr>
              <w:pStyle w:val="ListBullet3"/>
            </w:pPr>
            <w:r w:rsidRPr="002B7810">
              <w:t xml:space="preserve">Basic metallurgy </w:t>
            </w:r>
          </w:p>
          <w:p w:rsidR="00000000" w:rsidRPr="002B7810" w:rsidP="002B7810">
            <w:pPr>
              <w:pStyle w:val="ListBullet3"/>
            </w:pPr>
            <w:r w:rsidRPr="002B7810">
              <w:t xml:space="preserve">Hand and portable power tools </w:t>
            </w:r>
          </w:p>
          <w:p w:rsidR="00000000" w:rsidRPr="002B7810" w:rsidP="002B7810">
            <w:pPr>
              <w:pStyle w:val="ListBullet3"/>
            </w:pPr>
            <w:r w:rsidRPr="002B7810">
              <w:t xml:space="preserve">Welding and heating techniques </w:t>
            </w:r>
          </w:p>
          <w:p w:rsidR="00000000" w:rsidRPr="002B7810" w:rsidP="002B7810">
            <w:pPr>
              <w:pStyle w:val="ListBullet3"/>
            </w:pPr>
            <w:r w:rsidRPr="002B7810">
              <w:t xml:space="preserve">GTAW consumables </w:t>
            </w:r>
          </w:p>
          <w:p w:rsidR="00000000" w:rsidRPr="002B7810" w:rsidP="002B7810">
            <w:pPr>
              <w:pStyle w:val="ListBullet3"/>
            </w:pPr>
            <w:r w:rsidRPr="002B7810">
              <w:t xml:space="preserve">Weld and material preparation techniques </w:t>
            </w:r>
          </w:p>
          <w:p w:rsidR="00000000" w:rsidRPr="002B7810" w:rsidP="002B7810">
            <w:pPr>
              <w:pStyle w:val="ListBullet3"/>
            </w:pPr>
            <w:r w:rsidRPr="002B7810">
              <w:t xml:space="preserve">Distortion control techniques </w:t>
            </w:r>
          </w:p>
          <w:p w:rsidR="00000000" w:rsidRPr="002B7810" w:rsidP="002B7810">
            <w:pPr>
              <w:pStyle w:val="ListBullet3"/>
            </w:pPr>
            <w:r w:rsidRPr="002B7810">
              <w:t xml:space="preserve">Welding jigs </w:t>
            </w:r>
          </w:p>
          <w:p w:rsidR="00000000" w:rsidRPr="002B7810" w:rsidP="002B7810">
            <w:pPr>
              <w:pStyle w:val="ListBullet3"/>
            </w:pPr>
            <w:r w:rsidRPr="002B7810">
              <w:t xml:space="preserve">Weld testing techniques </w:t>
            </w:r>
          </w:p>
          <w:p w:rsidR="00000000" w:rsidRPr="002B7810" w:rsidP="002B7810">
            <w:pPr>
              <w:pStyle w:val="ListBullet3"/>
            </w:pPr>
            <w:r w:rsidRPr="002B7810">
              <w:t xml:space="preserve">Fabrication and assembly techniques </w:t>
            </w:r>
          </w:p>
          <w:p w:rsidR="00000000" w:rsidRPr="002B7810" w:rsidP="002B7810">
            <w:pPr>
              <w:pStyle w:val="ListBullet3"/>
            </w:pPr>
            <w:r w:rsidRPr="002B7810">
              <w:t xml:space="preserve">Hazardous fumes and gases </w:t>
            </w:r>
          </w:p>
          <w:p w:rsidR="00000000" w:rsidRPr="002B7810" w:rsidP="002B7810">
            <w:pPr>
              <w:pStyle w:val="ListBullet3"/>
            </w:pPr>
            <w:r w:rsidRPr="002B7810">
              <w:t xml:space="preserve">Materials and their various profiles </w:t>
            </w:r>
          </w:p>
          <w:p w:rsidR="00000000" w:rsidRPr="002B7810" w:rsidP="002B7810">
            <w:pPr>
              <w:pStyle w:val="ListBullet3"/>
            </w:pPr>
            <w:r w:rsidRPr="002B7810">
              <w:t xml:space="preserve">Welding and heating equipment and its basic maintenance </w:t>
            </w:r>
          </w:p>
          <w:p w:rsidR="00000000" w:rsidRPr="002B7810" w:rsidP="002B7810">
            <w:pPr>
              <w:pStyle w:val="ListBullet3"/>
            </w:pPr>
            <w:r w:rsidRPr="002B7810">
              <w:t xml:space="preserve">Welding symbols </w:t>
            </w:r>
          </w:p>
          <w:p w:rsidR="00000000" w:rsidP="002B7810">
            <w:pPr>
              <w:pStyle w:val="ListBullet3"/>
              <w:rPr>
                <w:lang w:val="en-NZ"/>
              </w:rPr>
            </w:pPr>
            <w:r w:rsidRPr="002B7810">
              <w:t>Communication principles</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Specific skills needed to achieve the Performance Criteria:</w:t>
            </w:r>
          </w:p>
          <w:p w:rsidR="00000000" w:rsidRPr="002B7810" w:rsidP="002B7810">
            <w:pPr>
              <w:pStyle w:val="ListBullet3"/>
            </w:pPr>
            <w:r w:rsidRPr="002B7810">
              <w:t>Apply Occupational Health and</w:t>
            </w:r>
            <w:r w:rsidRPr="002B7810">
              <w:t xml:space="preserve"> Safety standards </w:t>
            </w:r>
          </w:p>
          <w:p w:rsidR="00000000" w:rsidRPr="002B7810" w:rsidP="002B7810">
            <w:pPr>
              <w:pStyle w:val="ListBullet3"/>
            </w:pPr>
            <w:r w:rsidRPr="002B7810">
              <w:t xml:space="preserve">Apply relevant Australian standards </w:t>
            </w:r>
          </w:p>
          <w:p w:rsidR="00000000" w:rsidRPr="002B7810" w:rsidP="002B7810">
            <w:pPr>
              <w:pStyle w:val="ListBullet3"/>
            </w:pPr>
            <w:r w:rsidRPr="002B7810">
              <w:t xml:space="preserve">Use welding, cutting and heating equipment </w:t>
            </w:r>
          </w:p>
          <w:p w:rsidR="00000000" w:rsidRPr="002B7810" w:rsidP="002B7810">
            <w:pPr>
              <w:pStyle w:val="ListBullet3"/>
            </w:pPr>
            <w:r w:rsidRPr="002B7810">
              <w:t xml:space="preserve">Maintain welding and heating equipment </w:t>
            </w:r>
          </w:p>
          <w:p w:rsidR="00000000" w:rsidRPr="002B7810" w:rsidP="002B7810">
            <w:pPr>
              <w:pStyle w:val="ListBullet3"/>
            </w:pPr>
            <w:r w:rsidRPr="002B7810">
              <w:t xml:space="preserve">Use hand and portable power tools </w:t>
            </w:r>
          </w:p>
          <w:p w:rsidR="00000000" w:rsidRPr="002B7810" w:rsidP="002B7810">
            <w:pPr>
              <w:pStyle w:val="ListBullet3"/>
            </w:pPr>
            <w:r w:rsidRPr="002B7810">
              <w:t xml:space="preserve">Use and update drawings, manuals and plans </w:t>
            </w:r>
          </w:p>
          <w:p w:rsidR="00000000" w:rsidRPr="002B7810" w:rsidP="002B7810">
            <w:pPr>
              <w:pStyle w:val="ListBullet3"/>
            </w:pPr>
            <w:r w:rsidRPr="002B7810">
              <w:t xml:space="preserve">Select materials </w:t>
            </w:r>
          </w:p>
          <w:p w:rsidR="00000000" w:rsidRPr="002B7810" w:rsidP="002B7810">
            <w:pPr>
              <w:pStyle w:val="ListBullet3"/>
            </w:pPr>
            <w:r w:rsidRPr="002B7810">
              <w:t xml:space="preserve">Apply relevant standards </w:t>
            </w:r>
          </w:p>
          <w:p w:rsidR="00000000" w:rsidRPr="002B7810" w:rsidP="002B7810">
            <w:pPr>
              <w:pStyle w:val="ListBullet3"/>
            </w:pPr>
            <w:r w:rsidRPr="002B7810">
              <w:t xml:space="preserve">Control distortion </w:t>
            </w:r>
          </w:p>
          <w:p w:rsidR="00000000" w:rsidRPr="002B7810" w:rsidP="002B7810">
            <w:pPr>
              <w:pStyle w:val="ListBullet3"/>
            </w:pPr>
            <w:r w:rsidRPr="002B7810">
              <w:t xml:space="preserve">Inspect and identify defects in welds </w:t>
            </w:r>
          </w:p>
          <w:p w:rsidR="00000000" w:rsidRPr="002B7810" w:rsidP="002B7810">
            <w:pPr>
              <w:pStyle w:val="ListBullet3"/>
            </w:pPr>
            <w:r w:rsidRPr="002B7810">
              <w:t xml:space="preserve">Inspect and finalise job </w:t>
            </w:r>
          </w:p>
          <w:p w:rsidR="00000000" w:rsidRPr="002B7810" w:rsidP="002B7810">
            <w:pPr>
              <w:pStyle w:val="ListBullet3"/>
            </w:pPr>
            <w:r w:rsidRPr="002B7810">
              <w:t xml:space="preserve">Utilise jigs and templates </w:t>
            </w:r>
          </w:p>
          <w:p w:rsidR="00000000" w:rsidRPr="002B7810" w:rsidP="002B7810">
            <w:pPr>
              <w:pStyle w:val="ListBullet3"/>
            </w:pPr>
            <w:r w:rsidRPr="002B7810">
              <w:t>Communicate effectively.</w:t>
            </w:r>
          </w:p>
        </w:tc>
      </w:tr>
    </w:tbl>
    <w:p w:rsidR="001E7DF0" w:rsidP="002B7810">
      <w:pPr>
        <w:pStyle w:val="BodyText"/>
      </w:pPr>
    </w:p>
    <w:p w:rsidR="001E7DF0" w:rsidP="002B7810">
      <w:pPr>
        <w:pStyle w:val="BodyText"/>
      </w:pPr>
    </w:p>
    <w:p w:rsidR="00000000" w:rsidRPr="002B7810" w:rsidP="002B7810">
      <w:pPr>
        <w:pStyle w:val="Heading1"/>
      </w:pPr>
      <w:bookmarkStart w:id="10" w:name="O_247870"/>
      <w:bookmarkEnd w:id="10"/>
      <w:r w:rsidRPr="002B7810">
        <w:t>Evidence Guide</w:t>
      </w:r>
    </w:p>
    <w:tbl>
      <w:tblPr>
        <w:tblW w:w="0" w:type="auto"/>
        <w:tblLayout w:type="fixed"/>
        <w:tblCellMar>
          <w:left w:w="62" w:type="dxa"/>
          <w:right w:w="62" w:type="dxa"/>
        </w:tblCellMar>
        <w:tblLook w:val="0000"/>
      </w:tblPr>
      <w:tblGrid>
        <w:gridCol w:w="2160"/>
        <w:gridCol w:w="1620"/>
        <w:gridCol w:w="4680"/>
      </w:tblGrid>
      <w:tr w:rsidTr="001E7D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EVIDENCE GUIDE</w:t>
            </w:r>
          </w:p>
        </w:tc>
      </w:tr>
      <w:tr w:rsidTr="001E7D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B7810">
            <w:pPr>
              <w:pStyle w:val="BodyText"/>
              <w:rPr>
                <w:lang w:val="en-NZ"/>
              </w:rPr>
            </w:pPr>
            <w:r w:rsidRPr="002B7810">
              <w:t>The Eviden</w:t>
            </w:r>
            <w:r w:rsidRPr="002B7810">
              <w:t>ce Guide forms an integral part of this unit and shall be used in conjunction with all components parts of this unit and, performed in accordance with the Assessment Guidelines of this Training Package.</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1</w:t>
            </w:r>
            <w:r w:rsidRPr="002B7810">
              <w:t xml:space="preserve">) </w:t>
            </w:r>
          </w:p>
          <w:p w:rsidR="00000000" w:rsidRPr="002B7810" w:rsidP="002B7810">
            <w:pPr>
              <w:pStyle w:val="BodyText"/>
            </w:pPr>
            <w:r w:rsidRPr="002B7810">
              <w:t xml:space="preserve">Longitude competency </w:t>
            </w:r>
            <w:r w:rsidRPr="002B7810">
              <w:t>development approaches to assessment, such as Profiling, require data to be reliably gathered in a form that can be consistently interpreted over time. This approach is best utilised in Apprenticeship programs and reduces assessment intervention. It is the</w:t>
            </w:r>
            <w:r w:rsidRPr="002B7810">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2B7810">
              <w:t xml:space="preserve"> in some circumstances, assessment in part or full can occur outside the workplace, however, it must be in accord with Industry and regulatory policy.</w:t>
            </w:r>
          </w:p>
          <w:p w:rsidR="00000000" w:rsidRPr="002B7810" w:rsidP="002B7810">
            <w:pPr>
              <w:pStyle w:val="BodyText"/>
            </w:pPr>
            <w:r w:rsidRPr="002B7810">
              <w:t>Methods chosen for a particular assessment will be influenced by various factors. These include the exten</w:t>
            </w:r>
            <w:r w:rsidRPr="002B7810">
              <w:t>t of the assessment, the most effective locations for the assessment activities to take place, access to physical resources, additional safety measures that may be required and the critical nature of the competencies being assessed.</w:t>
            </w:r>
          </w:p>
          <w:p w:rsidR="00000000" w:rsidRPr="002B7810" w:rsidP="002B7810">
            <w:pPr>
              <w:pStyle w:val="BodyText"/>
            </w:pPr>
            <w:r w:rsidRPr="002B7810">
              <w:t>The critical safety nat</w:t>
            </w:r>
            <w:r w:rsidRPr="002B7810">
              <w:t>ure of working with electricity, electrical equipment, gas or any other hazardous substance/material carries risk in deeming a person competent. Hence, sources of evidence need to be 'rich' in nature so as to minimise error in judgment.</w:t>
            </w:r>
          </w:p>
          <w:p w:rsidR="00000000" w:rsidP="002B7810">
            <w:pPr>
              <w:pStyle w:val="BodyText"/>
              <w:rPr>
                <w:lang w:val="en-NZ"/>
              </w:rPr>
            </w:pPr>
            <w:r w:rsidRPr="002B7810">
              <w:t>Activities associat</w:t>
            </w:r>
            <w:r w:rsidRPr="002B7810">
              <w:t>ed with normal every day work have a bearing on the decision as to how much and how detailed the data gathered will contribute to its 'richness'. Some skills are more critical to safety and operational requirements while the same skills may be more or less</w:t>
            </w:r>
            <w:r w:rsidRPr="002B7810">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1E7D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2</w:t>
            </w:r>
            <w:r w:rsidRPr="002B7810">
              <w:t xml:space="preserve">) </w:t>
            </w:r>
          </w:p>
          <w:p w:rsidR="00000000" w:rsidP="002B7810">
            <w:pPr>
              <w:pStyle w:val="BodyText"/>
              <w:rPr>
                <w:lang w:val="en-NZ"/>
              </w:rPr>
            </w:pPr>
            <w:r w:rsidRPr="002B7810">
              <w:t>Before the critical aspects of evidence are considered all prerequisites shall be met.</w:t>
            </w:r>
          </w:p>
        </w:tc>
      </w:tr>
      <w:tr w:rsidTr="001E7D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Evidence for competence in this unit shall be considered holistically.  Each elemen</w:t>
            </w:r>
            <w:r w:rsidRPr="002B7810">
              <w:t>t and associated Performance Criteria shall be demonstrated on at least two occasions in accordance with the "Assessment Guidelines - UEP06".  Evidence shall also comprise:</w:t>
            </w:r>
          </w:p>
          <w:p w:rsidR="00000000" w:rsidP="002B7810">
            <w:pPr>
              <w:pStyle w:val="ListBullet"/>
              <w:rPr>
                <w:lang w:val="en-NZ"/>
              </w:rPr>
            </w:pPr>
            <w:r w:rsidRPr="002B7810">
              <w:t>A representative body of Performance Criteria demonstrated within the timeframes t</w:t>
            </w:r>
            <w:r w:rsidRPr="002B7810">
              <w:t>ypically expected of the discipline, work function and industrial environment. In particular this shall incorporate evidence that shows a candidate is able to:</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ListBullet3"/>
            </w:pPr>
            <w:r w:rsidRPr="002B7810">
              <w:t xml:space="preserve">Implement Occupational Health and Safety workplace procedures and practices including </w:t>
            </w:r>
            <w:r w:rsidRPr="002B7810">
              <w:t>the use of risk control measures as specified in the Performance Criteria and Range Statement</w:t>
            </w:r>
          </w:p>
          <w:p w:rsidR="00000000" w:rsidRPr="002B7810" w:rsidP="002B7810">
            <w:pPr>
              <w:pStyle w:val="ListBullet3"/>
            </w:pPr>
            <w:r w:rsidRPr="002B7810">
              <w:t>Apply sustainable energy principles and practices as specified in the Performance Criteria and Range Statement</w:t>
            </w:r>
          </w:p>
          <w:p w:rsidR="00000000" w:rsidRPr="002B7810" w:rsidP="002B7810">
            <w:pPr>
              <w:pStyle w:val="ListBullet3"/>
            </w:pPr>
            <w:r w:rsidRPr="002B7810">
              <w:t>Demonstrate an understanding of the essential knowledge and associated skills as described in 6) Essential Knowledge and Associated Skills of this unit</w:t>
            </w:r>
          </w:p>
          <w:p w:rsidR="00000000" w:rsidRPr="002B7810" w:rsidP="002B7810">
            <w:pPr>
              <w:pStyle w:val="ListBullet3"/>
            </w:pPr>
            <w:r w:rsidRPr="002B7810">
              <w:t>Demonstrate an appropriate level of skills enabling employment</w:t>
            </w:r>
          </w:p>
          <w:p w:rsidR="00000000" w:rsidP="002B7810">
            <w:pPr>
              <w:pStyle w:val="ListBullet3"/>
              <w:rPr>
                <w:lang w:val="en-NZ"/>
              </w:rPr>
            </w:pPr>
            <w:r w:rsidRPr="002B7810">
              <w:t xml:space="preserve">Conduct work observing the relevant Anti </w:t>
            </w:r>
            <w:r w:rsidRPr="002B7810">
              <w:t>Discrimination legislation, regulations, polices and workplace procedures</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B7810">
            <w:pPr>
              <w:pStyle w:val="ListBullet"/>
              <w:rPr>
                <w:lang w:val="en-NZ"/>
              </w:rPr>
            </w:pPr>
            <w:r w:rsidRPr="002B7810">
              <w:t>Demonstrated performance across a representative range of contexts from the prescribed items below:</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ListBullet3"/>
            </w:pPr>
            <w:r w:rsidRPr="002B7810">
              <w:t>The knowledge and application of relevant sections of: Occupational Health and Safety legislation; Statutory legislation; Enterprise/site safety procedures; Enterprise/site emergency procedures</w:t>
            </w:r>
          </w:p>
          <w:p w:rsidR="00000000" w:rsidRPr="002B7810" w:rsidP="002B7810">
            <w:pPr>
              <w:pStyle w:val="ListBullet3"/>
            </w:pPr>
            <w:r w:rsidRPr="002B7810">
              <w:t>Preparation and planning of work</w:t>
            </w:r>
          </w:p>
          <w:p w:rsidR="00000000" w:rsidRPr="002B7810" w:rsidP="002B7810">
            <w:pPr>
              <w:pStyle w:val="ListBullet3"/>
            </w:pPr>
            <w:r w:rsidRPr="002B7810">
              <w:t>Welding techniques and procedures</w:t>
            </w:r>
          </w:p>
          <w:p w:rsidR="00000000" w:rsidRPr="002B7810" w:rsidP="002B7810">
            <w:pPr>
              <w:pStyle w:val="ListBullet3"/>
            </w:pPr>
            <w:r w:rsidRPr="002B7810">
              <w:t>Relevant standards and procedures</w:t>
            </w:r>
          </w:p>
          <w:p w:rsidR="00000000" w:rsidRPr="002B7810" w:rsidP="002B7810">
            <w:pPr>
              <w:pStyle w:val="ListBullet3"/>
            </w:pPr>
            <w:r w:rsidRPr="002B7810">
              <w:t>Completion of work procedures</w:t>
            </w:r>
          </w:p>
          <w:p w:rsidR="00000000" w:rsidP="002B7810">
            <w:pPr>
              <w:pStyle w:val="ListBullet3"/>
              <w:rPr>
                <w:lang w:val="en-NZ"/>
              </w:rPr>
            </w:pPr>
            <w:r w:rsidRPr="002B7810">
              <w:t>Dealing with an unplanned event by drawing on essential knowledge and skills to provide appropriate solutions incorporated in the holistic assessment with the</w:t>
            </w:r>
            <w:r w:rsidRPr="002B7810">
              <w:t xml:space="preserve"> above listed items</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3</w:t>
            </w:r>
            <w:r w:rsidRPr="002B7810">
              <w:t xml:space="preserve">) </w:t>
            </w:r>
          </w:p>
          <w:p w:rsidR="00000000" w:rsidRPr="002B7810" w:rsidP="002B7810">
            <w:pPr>
              <w:pStyle w:val="BodyText"/>
            </w:pPr>
            <w:r w:rsidRPr="002B7810">
              <w:t>This unit should be assessed as it relates to normal work practice using procedures, information and resources typical of a workplace. This should include:</w:t>
            </w:r>
          </w:p>
          <w:p w:rsidR="00000000" w:rsidRPr="002B7810" w:rsidP="002B7810">
            <w:pPr>
              <w:pStyle w:val="ListBullet"/>
            </w:pPr>
            <w:r w:rsidRPr="002B7810">
              <w:t>OHS policy and work procedures and instructions.</w:t>
            </w:r>
          </w:p>
          <w:p w:rsidR="00000000" w:rsidRPr="002B7810" w:rsidP="002B7810">
            <w:pPr>
              <w:pStyle w:val="ListBullet"/>
            </w:pPr>
            <w:r w:rsidRPr="002B7810">
              <w:t>Suitable work environment, facilities, equipment and materials to undertake actual work as prescribed by this unit.</w:t>
            </w:r>
          </w:p>
          <w:p w:rsidR="00000000" w:rsidRPr="002B7810" w:rsidP="002B7810">
            <w:pPr>
              <w:pStyle w:val="BodyText"/>
            </w:pPr>
            <w:r w:rsidRPr="002B7810">
              <w:t>Competency Standards should be assessed in the workplace or simulated workplace and under the normal range of workplace conditions.</w:t>
            </w:r>
          </w:p>
          <w:p w:rsidR="00000000" w:rsidP="002B7810">
            <w:pPr>
              <w:pStyle w:val="BodyText"/>
              <w:rPr>
                <w:lang w:val="en-NZ"/>
              </w:rPr>
            </w:pPr>
            <w:r w:rsidRPr="002B7810">
              <w:t>Assessment of this unit will be supported with documentary evidence, by means of endorsement stating type and application of</w:t>
            </w:r>
            <w:r w:rsidRPr="002B7810">
              <w:t xml:space="preserve"> work.</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In addition to the resources listed above in Context of assessment', evidence should show competency working, in limited spaces, with different types of plant and equipment as well as different structural/construction types and method and in a va</w:t>
            </w:r>
            <w:r w:rsidRPr="002B7810">
              <w:t>riety of environments.</w:t>
            </w:r>
          </w:p>
        </w:tc>
      </w:tr>
      <w:tr w:rsidTr="001E7D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4</w:t>
            </w:r>
            <w:r w:rsidRPr="002B7810">
              <w:t xml:space="preserve">) </w:t>
            </w:r>
          </w:p>
          <w:p w:rsidR="00000000" w:rsidRPr="002B7810" w:rsidP="002B7810">
            <w:pPr>
              <w:pStyle w:val="BodyText"/>
            </w:pPr>
            <w:r w:rsidRPr="002B7810">
              <w:t>This unit shall be assessed by methods given in Volume 1, Part 3 "Assessment Guidelines".</w:t>
            </w:r>
          </w:p>
          <w:p w:rsidR="00000000" w:rsidP="002B7810">
            <w:pPr>
              <w:pStyle w:val="BodyText"/>
              <w:rPr>
                <w:lang w:val="en-NZ"/>
              </w:rPr>
            </w:pPr>
            <w:r w:rsidRPr="002B7810">
              <w:t>Note:</w:t>
            </w:r>
            <w:r w:rsidRPr="002B7810">
              <w:br/>
              <w:t>Competent performance with inherent safe working practices is expected in the Industry to which this unit ap</w:t>
            </w:r>
            <w:r w:rsidRPr="002B7810">
              <w:t>plies. This requires that the specified essential knowledge and associated skills are assessed in a structured environment which is primarily intended for learning/assessment and incorporates all necessary equipment and facilities for learners to develop a</w:t>
            </w:r>
            <w:r w:rsidRPr="002B7810">
              <w:t>nd demonstrate the essential knowledge and skills described in this unit.</w:t>
            </w:r>
          </w:p>
        </w:tc>
      </w:tr>
      <w:tr w:rsidTr="001E7D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8</w:t>
            </w:r>
            <w:r w:rsidRPr="002B7810">
              <w:t>.</w:t>
            </w:r>
            <w:r w:rsidRPr="002B7810">
              <w:rPr>
                <w:rStyle w:val="SpecialBold"/>
              </w:rPr>
              <w:t>5</w:t>
            </w:r>
            <w:r w:rsidRPr="002B7810">
              <w:t xml:space="preserve">) </w:t>
            </w:r>
          </w:p>
        </w:tc>
      </w:tr>
      <w:tr w:rsidTr="001E7D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There are no recommended concurrent assessments with this unit, however in some cases efficiencies may be gained in terms of learning and assessment effort being concurrently managed with allied competency standard units where listed.</w:t>
            </w:r>
          </w:p>
        </w:tc>
      </w:tr>
      <w:tr w:rsidTr="001E7D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Nil</w:t>
            </w:r>
          </w:p>
        </w:tc>
        <w:tc>
          <w:tcPr>
            <w:tcW w:w="4680" w:type="dxa"/>
            <w:tcBorders>
              <w:top w:val="nil"/>
              <w:left w:val="nil"/>
              <w:bottom w:val="nil"/>
              <w:right w:val="nil"/>
            </w:tcBorders>
            <w:tcMar>
              <w:top w:w="0" w:type="dxa"/>
              <w:left w:w="62" w:type="dxa"/>
              <w:bottom w:w="0" w:type="dxa"/>
              <w:right w:w="62" w:type="dxa"/>
            </w:tcMar>
          </w:tcPr>
          <w:p w:rsidR="00000000" w:rsidRPr="002B7810" w:rsidP="002B7810">
            <w:pPr>
              <w:pStyle w:val="BodyText"/>
            </w:pPr>
          </w:p>
        </w:tc>
      </w:tr>
    </w:tbl>
    <w:p w:rsidR="00000000" w:rsidRPr="002B7810" w:rsidP="002B7810">
      <w:pPr>
        <w:pStyle w:val="BodyText"/>
      </w:pPr>
    </w:p>
    <w:tbl>
      <w:tblPr>
        <w:tblW w:w="0" w:type="auto"/>
        <w:tblLayout w:type="fixed"/>
        <w:tblCellMar>
          <w:left w:w="62" w:type="dxa"/>
          <w:right w:w="62" w:type="dxa"/>
        </w:tblCellMar>
        <w:tblLook w:val="0000"/>
      </w:tblPr>
      <w:tblGrid>
        <w:gridCol w:w="326"/>
        <w:gridCol w:w="1834"/>
        <w:gridCol w:w="4737"/>
        <w:gridCol w:w="1563"/>
      </w:tblGrid>
      <w:tr w:rsidTr="001E7D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B7810" w:rsidP="002B7810">
            <w:pPr>
              <w:pStyle w:val="BodyText"/>
            </w:pPr>
            <w:r w:rsidRPr="002B781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6</w:t>
            </w:r>
            <w:r w:rsidRPr="002B7810">
              <w:t xml:space="preserve">) </w:t>
            </w:r>
          </w:p>
          <w:p w:rsidR="00000000" w:rsidP="002B7810">
            <w:pPr>
              <w:pStyle w:val="BodyText"/>
              <w:rPr>
                <w:lang w:val="en-NZ"/>
              </w:rPr>
            </w:pPr>
            <w:r w:rsidRPr="002B7810">
              <w:t>Evidence that particular key competencies have been achieved within this unit is in the context of the following Performance Criteria of evidence. See Volume 2, Part 4 for an explanation of Key competencies and levels of this Traini</w:t>
            </w:r>
            <w:r w:rsidRPr="002B7810">
              <w:t>ng Package.</w:t>
            </w:r>
          </w:p>
        </w:tc>
      </w:tr>
      <w:tr w:rsidTr="001E7D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r w:rsidRPr="002B781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r w:rsidRPr="002B781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rPr>
                <w:rStyle w:val="SpecialBold"/>
              </w:rPr>
              <w:t>Performance Level</w:t>
            </w: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2</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2</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1</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2</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1</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2</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p>
          <w:p w:rsidR="00000000" w:rsidP="002B7810">
            <w:pPr>
              <w:pStyle w:val="BodyText"/>
              <w:rPr>
                <w:lang w:val="en-NZ"/>
              </w:rPr>
            </w:pPr>
            <w:r w:rsidRPr="002B7810">
              <w:t>1</w:t>
            </w:r>
          </w:p>
        </w:tc>
      </w:tr>
      <w:tr w:rsidTr="001E7D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p>
        </w:tc>
      </w:tr>
      <w:tr w:rsidTr="001E7DF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7D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B7810" w:rsidP="002B7810">
            <w:pPr>
              <w:pStyle w:val="BodyText"/>
            </w:pPr>
            <w:r w:rsidRPr="002B781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B7810" w:rsidP="002B7810">
            <w:pPr>
              <w:pStyle w:val="BodyText"/>
            </w:pPr>
            <w:r w:rsidRPr="002B7810">
              <w:rPr>
                <w:rStyle w:val="SpecialBold"/>
              </w:rPr>
              <w:t>8</w:t>
            </w:r>
            <w:r w:rsidRPr="002B7810">
              <w:t>.</w:t>
            </w:r>
            <w:r w:rsidRPr="002B7810">
              <w:rPr>
                <w:rStyle w:val="SpecialBold"/>
              </w:rPr>
              <w:t>7</w:t>
            </w:r>
            <w:r w:rsidRPr="002B7810">
              <w:t xml:space="preserve">) </w:t>
            </w:r>
          </w:p>
          <w:p w:rsidR="00000000" w:rsidP="002B7810">
            <w:pPr>
              <w:pStyle w:val="BodyText"/>
              <w:rPr>
                <w:lang w:val="en-NZ"/>
              </w:rPr>
            </w:pPr>
            <w:r w:rsidRPr="002B7810">
              <w:t>Evidence that c</w:t>
            </w:r>
            <w:r w:rsidRPr="002B7810">
              <w:t xml:space="preserve">ompetency in this unit incorporates skills enabling employment is in the context of the following performance. See Volume 2, Part 5 for definitions and an explanation of skills enabling employment. </w:t>
            </w:r>
          </w:p>
        </w:tc>
      </w:tr>
      <w:tr w:rsidTr="001E7D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r w:rsidRPr="002B781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rPr>
                <w:rStyle w:val="SpecialBold"/>
              </w:rPr>
              <w:t>Example of Application</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Completion of tasks within an acceptable timeframe and performance with some supervision.</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Comprehension and application of theoretical knowledge to well-developed skills.</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Focused on improvement in own and other team member's performance in the workplace.</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Working unders</w:t>
            </w:r>
            <w:r w:rsidRPr="002B7810">
              <w:t>tanding of the processes and systems which apply to the workplace.</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Achieving work tasks in a timely manner and ensuring that the work team achieves its stated work goals.</w:t>
            </w:r>
          </w:p>
        </w:tc>
      </w:tr>
      <w:tr w:rsidTr="001E7D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810">
            <w:pPr>
              <w:pStyle w:val="BodyText"/>
              <w:rPr>
                <w:lang w:val="en-NZ"/>
              </w:rPr>
            </w:pPr>
            <w:r w:rsidRPr="002B7810">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810">
            <w:pPr>
              <w:pStyle w:val="BodyText"/>
              <w:rPr>
                <w:lang w:val="en-NZ"/>
              </w:rPr>
            </w:pPr>
            <w:r w:rsidRPr="002B7810">
              <w:t>Refer to the following example of application:</w:t>
            </w:r>
          </w:p>
        </w:tc>
      </w:tr>
      <w:tr w:rsidTr="001E7D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B7810" w:rsidP="002B7810">
            <w:pPr>
              <w:pStyle w:val="BodyText"/>
            </w:pPr>
            <w:r w:rsidRPr="002B7810">
              <w:t>Seek advice and apply solutions to problems relevant to the workplace environment.</w:t>
            </w:r>
          </w:p>
        </w:tc>
      </w:tr>
    </w:tbl>
    <w:p w:rsidR="001E7DF0" w:rsidP="002B7810">
      <w:pPr>
        <w:pStyle w:val="BodyText"/>
      </w:pPr>
    </w:p>
    <w:p w:rsidR="001E7DF0" w:rsidP="002B7810">
      <w:pPr>
        <w:pStyle w:val="BodyText"/>
      </w:pPr>
    </w:p>
    <w:p w:rsidR="00000000" w:rsidRPr="002B7810" w:rsidP="002B7810">
      <w:pPr>
        <w:pStyle w:val="Heading1"/>
      </w:pPr>
      <w:bookmarkStart w:id="11" w:name="O_255854"/>
      <w:bookmarkEnd w:id="11"/>
      <w:r w:rsidRPr="002B7810">
        <w:t>Range Statement</w:t>
      </w:r>
    </w:p>
    <w:tbl>
      <w:tblPr>
        <w:tblW w:w="0" w:type="auto"/>
        <w:tblLayout w:type="fixed"/>
        <w:tblCellMar>
          <w:left w:w="62" w:type="dxa"/>
          <w:right w:w="62" w:type="dxa"/>
        </w:tblCellMar>
        <w:tblLook w:val="0000"/>
      </w:tblPr>
      <w:tblGrid>
        <w:gridCol w:w="8460"/>
      </w:tblGrid>
      <w:tr w:rsidTr="001E7D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RANGE STATEMENT</w:t>
            </w:r>
          </w:p>
        </w:tc>
      </w:tr>
      <w:tr w:rsidTr="001E7D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7</w:t>
            </w:r>
            <w:r w:rsidRPr="002B7810">
              <w:t xml:space="preserve">) This relates to the competency standard unit as a whole providing the range of contexts and conditions </w:t>
            </w:r>
            <w:r w:rsidRPr="002B7810">
              <w:t>to which the Performance Criteria apply. It allows for different work environments and situations that will affect performance.</w:t>
            </w:r>
          </w:p>
        </w:tc>
      </w:tr>
      <w:tr w:rsidTr="001E7D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Welding equipment may include TIG welder, leads, argon, tungsten tips and filler rods.</w:t>
            </w:r>
          </w:p>
          <w:p w:rsidR="00000000" w:rsidRPr="002B7810" w:rsidP="002B7810">
            <w:pPr>
              <w:pStyle w:val="BodyText"/>
            </w:pPr>
            <w:r w:rsidRPr="002B7810">
              <w:t>Materials may include mild steel, stainl</w:t>
            </w:r>
            <w:r w:rsidRPr="002B7810">
              <w:t>ess steel, aluminium, high and low carbon steels, high and low alloy steels in the appropriate profile, i.e. angle, plate, pipe and channel</w:t>
            </w:r>
          </w:p>
          <w:p w:rsidR="00000000" w:rsidRPr="002B7810" w:rsidP="002B7810">
            <w:pPr>
              <w:pStyle w:val="BodyText"/>
            </w:pPr>
            <w:r w:rsidRPr="002B7810">
              <w:t>Distortion prevention measures may include bracing, pre-setting, tacking, bolting and clamping.</w:t>
            </w:r>
          </w:p>
          <w:p w:rsidR="00000000" w:rsidRPr="002B7810" w:rsidP="002B7810">
            <w:pPr>
              <w:pStyle w:val="BodyText"/>
            </w:pPr>
            <w:r w:rsidRPr="002B7810">
              <w:t>Appropriate tools ma</w:t>
            </w:r>
            <w:r w:rsidRPr="002B7810">
              <w:t>y include wire brush and angle grinder.</w:t>
            </w:r>
          </w:p>
          <w:p w:rsidR="00000000" w:rsidRPr="002B7810" w:rsidP="002B7810">
            <w:pPr>
              <w:pStyle w:val="BodyText"/>
            </w:pPr>
            <w:r w:rsidRPr="002B7810">
              <w:t>Visual inspection may include dye check, magnetic particle and pressure tests.</w:t>
            </w:r>
          </w:p>
          <w:p w:rsidR="00000000" w:rsidRPr="002B7810" w:rsidP="002B7810">
            <w:pPr>
              <w:pStyle w:val="BodyText"/>
            </w:pPr>
            <w:r w:rsidRPr="002B7810">
              <w:t>Maintenance may refer to replacing tips and gas nozzles and cleaning tips, nozzles and welders.</w:t>
            </w:r>
          </w:p>
          <w:p w:rsidR="00000000" w:rsidRPr="002B7810" w:rsidP="002B7810">
            <w:pPr>
              <w:pStyle w:val="BodyText"/>
            </w:pPr>
            <w:r w:rsidRPr="002B7810">
              <w:t>Work completion details may include plant</w:t>
            </w:r>
            <w:r w:rsidRPr="002B7810">
              <w:t xml:space="preserve"> and maintenance records, job cards, check sheets, on device labelling updates and reporting and/or documenting equipment defects.</w:t>
            </w:r>
          </w:p>
          <w:p w:rsidR="00000000" w:rsidRPr="002B7810" w:rsidP="002B7810">
            <w:pPr>
              <w:pStyle w:val="BodyText"/>
            </w:pPr>
            <w:r w:rsidRPr="002B7810">
              <w:t>Work site environment may be affected by nearby plant or processes, e.g. chemical, heat, dust, noise, gas and oil.</w:t>
            </w:r>
          </w:p>
          <w:p w:rsidR="00000000" w:rsidRPr="002B7810" w:rsidP="002B7810">
            <w:pPr>
              <w:pStyle w:val="BodyText"/>
            </w:pPr>
            <w:r w:rsidRPr="002B7810">
              <w:t>Isolations can refer to electrical/mechanical or other associated processes.</w:t>
            </w:r>
          </w:p>
          <w:p w:rsidR="00000000" w:rsidRPr="002B7810" w:rsidP="002B7810">
            <w:pPr>
              <w:pStyle w:val="BodyText"/>
            </w:pPr>
            <w:r w:rsidRPr="002B7810">
              <w:t>Generic terms are used throughout this Training Package for vocational standard shall be regarded as part of the Range Statement in which competency is demonstrated. The definitio</w:t>
            </w:r>
            <w:r w:rsidRPr="002B7810">
              <w:t>n of these and other terms are given in Volume 2, Part 1.</w:t>
            </w:r>
          </w:p>
        </w:tc>
      </w:tr>
    </w:tbl>
    <w:p w:rsidR="001E7DF0" w:rsidP="002B7810">
      <w:pPr>
        <w:pStyle w:val="BodyText"/>
      </w:pPr>
    </w:p>
    <w:p w:rsidR="001E7DF0" w:rsidP="002B7810">
      <w:pPr>
        <w:pStyle w:val="BodyText"/>
      </w:pPr>
    </w:p>
    <w:p w:rsidR="00000000" w:rsidRPr="002B7810" w:rsidP="002B7810">
      <w:pPr>
        <w:pStyle w:val="Heading1"/>
      </w:pPr>
      <w:bookmarkStart w:id="12" w:name="O_296867"/>
      <w:bookmarkEnd w:id="12"/>
      <w:r w:rsidRPr="002B7810">
        <w:t>Unit Sector(s)</w:t>
      </w:r>
    </w:p>
    <w:p w:rsidR="00000000" w:rsidRPr="002B7810" w:rsidP="002B7810">
      <w:pPr>
        <w:pStyle w:val="BodyText"/>
      </w:pPr>
      <w:r w:rsidRPr="002B7810">
        <w:t>Not Applicable</w:t>
      </w:r>
    </w:p>
    <w:p w:rsidR="00000000" w:rsidRPr="002B7810" w:rsidP="002B7810">
      <w:pPr>
        <w:pStyle w:val="AllowPageBreak"/>
      </w:pPr>
    </w:p>
    <w:p w:rsidR="00000000" w:rsidRPr="002B7810" w:rsidP="002B7810">
      <w:pPr>
        <w:pStyle w:val="Heading1"/>
      </w:pPr>
      <w:bookmarkStart w:id="13" w:name="O_229838"/>
      <w:bookmarkEnd w:id="13"/>
      <w:r w:rsidRPr="002B781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E7D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2</w:t>
            </w:r>
            <w:r w:rsidRPr="002B7810">
              <w:t>.</w:t>
            </w:r>
            <w:r w:rsidRPr="002B7810">
              <w:rPr>
                <w:rStyle w:val="SpecialBold"/>
              </w:rPr>
              <w:t>2</w:t>
            </w:r>
            <w:r w:rsidRPr="002B7810">
              <w:t xml:space="preserve">) </w:t>
            </w:r>
          </w:p>
          <w:p w:rsidR="00000000" w:rsidP="002B7810">
            <w:pPr>
              <w:pStyle w:val="BodyText"/>
              <w:rPr>
                <w:lang w:val="en-NZ"/>
              </w:rPr>
            </w:pPr>
            <w:r w:rsidRPr="002B7810">
              <w:t>Participants are best equipped to achieve this unit if they have re</w:t>
            </w:r>
            <w:r w:rsidRPr="002B7810">
              <w:t>ading, writing and numeracy skills indicated by the following scales. Description of each scale is given in Volume 2, Part 3 Literacy and Numeracy</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Reading</w:t>
            </w:r>
          </w:p>
        </w:tc>
        <w:tc>
          <w:tcPr>
            <w:tcW w:w="805"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w:t>
            </w:r>
          </w:p>
        </w:tc>
        <w:tc>
          <w:tcPr>
            <w:tcW w:w="1184"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Writing</w:t>
            </w:r>
          </w:p>
        </w:tc>
        <w:tc>
          <w:tcPr>
            <w:tcW w:w="805"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3</w:t>
            </w:r>
          </w:p>
        </w:tc>
        <w:tc>
          <w:tcPr>
            <w:tcW w:w="1172"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t>Numeracy</w:t>
            </w:r>
          </w:p>
        </w:tc>
        <w:tc>
          <w:tcPr>
            <w:tcW w:w="805"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3</w:t>
            </w:r>
          </w:p>
        </w:tc>
      </w:tr>
    </w:tbl>
    <w:p w:rsidR="001E7DF0" w:rsidP="002B7810">
      <w:pPr>
        <w:pStyle w:val="BodyText"/>
      </w:pPr>
    </w:p>
    <w:p w:rsidR="001E7DF0" w:rsidP="002B7810">
      <w:pPr>
        <w:pStyle w:val="BodyText"/>
      </w:pPr>
    </w:p>
    <w:p w:rsidR="00000000" w:rsidRPr="002B7810" w:rsidP="002B7810">
      <w:pPr>
        <w:pStyle w:val="Heading1"/>
      </w:pPr>
      <w:bookmarkStart w:id="14" w:name="O_229840"/>
      <w:bookmarkEnd w:id="14"/>
      <w:r w:rsidRPr="002B7810">
        <w:t>Competency Field</w:t>
      </w:r>
    </w:p>
    <w:tbl>
      <w:tblPr>
        <w:tblW w:w="0" w:type="auto"/>
        <w:tblLayout w:type="fixed"/>
        <w:tblCellMar>
          <w:left w:w="62" w:type="dxa"/>
          <w:right w:w="62" w:type="dxa"/>
        </w:tblCellMar>
        <w:tblLook w:val="0000"/>
      </w:tblPr>
      <w:tblGrid>
        <w:gridCol w:w="2700"/>
        <w:gridCol w:w="5760"/>
      </w:tblGrid>
      <w:tr w:rsidTr="001E7D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7810">
            <w:pPr>
              <w:pStyle w:val="BodyText"/>
              <w:rPr>
                <w:lang w:val="en-NZ"/>
              </w:rPr>
            </w:pPr>
            <w:r w:rsidRPr="002B7810">
              <w:rPr>
                <w:rStyle w:val="SpecialBold"/>
              </w:rPr>
              <w:t>4</w:t>
            </w:r>
            <w:r w:rsidRPr="002B7810">
              <w:t xml:space="preserve">) </w:t>
            </w:r>
          </w:p>
        </w:tc>
      </w:tr>
      <w:tr w:rsidTr="001E7D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810" w:rsidP="002B7810">
            <w:pPr>
              <w:pStyle w:val="BodyText"/>
            </w:pPr>
            <w:r w:rsidRPr="002B7810">
              <w:t>Maintenance</w:t>
            </w:r>
          </w:p>
        </w:tc>
      </w:tr>
    </w:tbl>
    <w:p w:rsidR="001E7DF0" w:rsidP="002B7810">
      <w:pPr>
        <w:pStyle w:val="BodyText"/>
      </w:pPr>
    </w:p>
    <w:p w:rsidR="001E7DF0" w:rsidP="002B7810">
      <w:pPr>
        <w:pStyle w:val="BodyText"/>
      </w:pPr>
    </w:p>
    <w:p w:rsidR="00000000" w:rsidRPr="002B7810" w:rsidP="002B7810"/>
    <w:sectPr w:rsidSect="002B7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DF0" w:rsidP="001E7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F0" w:rsidP="002B7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7DF0" w:rsidP="002B78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7DF0" w:rsidP="002B78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DF0" w:rsidP="001E7D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F0" w:rsidP="002B7810">
    <w:pPr>
      <w:pStyle w:val="Header"/>
      <w:framePr w:wrap="around"/>
    </w:pPr>
    <w:r>
      <w:fldChar w:fldCharType="begin"/>
    </w:r>
    <w:r>
      <w:instrText xml:space="preserve"> TITLE   \* MERGEFORMAT </w:instrText>
    </w:r>
    <w:r>
      <w:fldChar w:fldCharType="separate"/>
    </w:r>
    <w:r>
      <w:t>UEPMNT323A Weld using Gas Tungsten Arc Welding Process (GTAW)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DF0" w:rsidP="002B78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B69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1023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8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810"/>
    <w:pPr>
      <w:spacing w:before="360" w:after="60"/>
      <w:outlineLvl w:val="0"/>
    </w:pPr>
    <w:rPr>
      <w:sz w:val="32"/>
    </w:rPr>
  </w:style>
  <w:style w:type="paragraph" w:styleId="Heading2">
    <w:name w:val="heading 2"/>
    <w:basedOn w:val="HeadingBase"/>
    <w:next w:val="BodyText"/>
    <w:link w:val="Heading2Char"/>
    <w:qFormat/>
    <w:rsid w:val="002B7810"/>
    <w:pPr>
      <w:keepLines/>
      <w:spacing w:before="240" w:after="120"/>
      <w:outlineLvl w:val="1"/>
    </w:pPr>
    <w:rPr>
      <w:sz w:val="28"/>
      <w:szCs w:val="40"/>
    </w:rPr>
  </w:style>
  <w:style w:type="paragraph" w:styleId="Heading3">
    <w:name w:val="heading 3"/>
    <w:basedOn w:val="HeadingBase"/>
    <w:next w:val="BodyText"/>
    <w:link w:val="Heading3Char"/>
    <w:qFormat/>
    <w:rsid w:val="002B7810"/>
    <w:pPr>
      <w:spacing w:before="180" w:after="120"/>
      <w:outlineLvl w:val="2"/>
    </w:pPr>
    <w:rPr>
      <w:spacing w:val="-10"/>
      <w:kern w:val="32"/>
    </w:rPr>
  </w:style>
  <w:style w:type="paragraph" w:styleId="Heading4">
    <w:name w:val="heading 4"/>
    <w:basedOn w:val="HeadingBase"/>
    <w:next w:val="BodyText"/>
    <w:link w:val="Heading4Char"/>
    <w:qFormat/>
    <w:rsid w:val="002B7810"/>
    <w:pPr>
      <w:spacing w:before="160" w:after="120"/>
      <w:outlineLvl w:val="3"/>
    </w:pPr>
    <w:rPr>
      <w:sz w:val="22"/>
    </w:rPr>
  </w:style>
  <w:style w:type="paragraph" w:styleId="Heading5">
    <w:name w:val="heading 5"/>
    <w:basedOn w:val="HeadingBase"/>
    <w:next w:val="Normal"/>
    <w:link w:val="Heading5Char"/>
    <w:qFormat/>
    <w:rsid w:val="002B7810"/>
    <w:pPr>
      <w:spacing w:before="80"/>
      <w:outlineLvl w:val="4"/>
    </w:pPr>
    <w:rPr>
      <w:color w:val="918585"/>
      <w:sz w:val="20"/>
    </w:rPr>
  </w:style>
  <w:style w:type="paragraph" w:styleId="Heading6">
    <w:name w:val="heading 6"/>
    <w:basedOn w:val="HeadingBase"/>
    <w:next w:val="Normal"/>
    <w:link w:val="Heading6Char"/>
    <w:qFormat/>
    <w:rsid w:val="002B7810"/>
    <w:pPr>
      <w:spacing w:before="60"/>
      <w:outlineLvl w:val="5"/>
    </w:pPr>
    <w:rPr>
      <w:color w:val="918585"/>
      <w:sz w:val="20"/>
    </w:rPr>
  </w:style>
  <w:style w:type="paragraph" w:styleId="Heading7">
    <w:name w:val="heading 7"/>
    <w:basedOn w:val="Normal"/>
    <w:next w:val="Normal"/>
    <w:link w:val="Heading7Char"/>
    <w:qFormat/>
    <w:rsid w:val="002B7810"/>
    <w:pPr>
      <w:ind w:left="720"/>
      <w:outlineLvl w:val="6"/>
    </w:pPr>
    <w:rPr>
      <w:i/>
    </w:rPr>
  </w:style>
  <w:style w:type="paragraph" w:styleId="Heading8">
    <w:name w:val="heading 8"/>
    <w:basedOn w:val="Normal"/>
    <w:next w:val="Normal"/>
    <w:link w:val="Heading8Char"/>
    <w:qFormat/>
    <w:rsid w:val="002B7810"/>
    <w:pPr>
      <w:ind w:left="720"/>
      <w:outlineLvl w:val="7"/>
    </w:pPr>
    <w:rPr>
      <w:i/>
    </w:rPr>
  </w:style>
  <w:style w:type="paragraph" w:styleId="Heading9">
    <w:name w:val="heading 9"/>
    <w:basedOn w:val="Normal"/>
    <w:next w:val="Normal"/>
    <w:link w:val="Heading9Char"/>
    <w:qFormat/>
    <w:rsid w:val="002B7810"/>
    <w:pPr>
      <w:ind w:left="720"/>
      <w:outlineLvl w:val="8"/>
    </w:pPr>
    <w:rPr>
      <w:i/>
    </w:rPr>
  </w:style>
  <w:style w:type="character" w:default="1" w:styleId="DefaultParagraphFont">
    <w:name w:val="Default Paragraph Font"/>
    <w:uiPriority w:val="1"/>
    <w:unhideWhenUsed/>
    <w:rsid w:val="002B7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810"/>
  </w:style>
  <w:style w:type="character" w:customStyle="1" w:styleId="Heading1Char">
    <w:name w:val="Heading 1 Char"/>
    <w:link w:val="Heading1"/>
    <w:rsid w:val="002B7810"/>
    <w:rPr>
      <w:rFonts w:ascii="Times New Roman" w:eastAsia="Times New Roman" w:hAnsi="Times New Roman" w:cs="Times New Roman"/>
      <w:b/>
      <w:sz w:val="32"/>
      <w:szCs w:val="20"/>
      <w:lang w:eastAsia="en-US"/>
    </w:rPr>
  </w:style>
  <w:style w:type="paragraph" w:styleId="BodyText">
    <w:name w:val="Body Text"/>
    <w:basedOn w:val="Normal"/>
    <w:link w:val="BodyTextChar"/>
    <w:rsid w:val="002B7810"/>
    <w:pPr>
      <w:spacing w:before="120" w:after="120"/>
      <w:contextualSpacing/>
    </w:pPr>
    <w:rPr>
      <w:rFonts w:ascii="Times New Roman" w:hAnsi="Times New Roman"/>
      <w:sz w:val="24"/>
      <w:szCs w:val="22"/>
    </w:rPr>
  </w:style>
  <w:style w:type="character" w:customStyle="1" w:styleId="BodyTextChar">
    <w:name w:val="Body Text Char"/>
    <w:link w:val="BodyText"/>
    <w:rsid w:val="002B7810"/>
    <w:rPr>
      <w:rFonts w:ascii="Times New Roman" w:eastAsia="Times New Roman" w:hAnsi="Times New Roman" w:cs="Times New Roman"/>
      <w:sz w:val="24"/>
      <w:lang w:val="en-US" w:eastAsia="en-US"/>
    </w:rPr>
  </w:style>
  <w:style w:type="paragraph" w:styleId="Footer">
    <w:name w:val="footer"/>
    <w:basedOn w:val="Normal"/>
    <w:link w:val="FooterChar"/>
    <w:rsid w:val="002B7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7810"/>
    <w:rPr>
      <w:rFonts w:ascii="Times New Roman" w:eastAsia="Times New Roman" w:hAnsi="Times New Roman" w:cs="Times New Roman"/>
      <w:sz w:val="16"/>
      <w:lang w:val="en-US" w:eastAsia="en-US"/>
    </w:rPr>
  </w:style>
  <w:style w:type="paragraph" w:styleId="ListBullet">
    <w:name w:val="List Bullet"/>
    <w:basedOn w:val="List"/>
    <w:rsid w:val="002B7810"/>
    <w:pPr>
      <w:numPr>
        <w:numId w:val="13"/>
      </w:numPr>
      <w:tabs>
        <w:tab w:val="clear" w:pos="340"/>
      </w:tabs>
      <w:spacing w:before="40" w:after="40"/>
    </w:pPr>
  </w:style>
  <w:style w:type="character" w:customStyle="1" w:styleId="SpecialBold">
    <w:name w:val="Special Bold"/>
    <w:rsid w:val="002B7810"/>
    <w:rPr>
      <w:b/>
      <w:spacing w:val="0"/>
    </w:rPr>
  </w:style>
  <w:style w:type="paragraph" w:styleId="Header">
    <w:name w:val="header"/>
    <w:basedOn w:val="Normal"/>
    <w:link w:val="HeaderChar"/>
    <w:rsid w:val="002B7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78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810"/>
    <w:pPr>
      <w:spacing w:before="240" w:after="120"/>
      <w:outlineLvl w:val="0"/>
    </w:pPr>
    <w:rPr>
      <w:rFonts w:ascii="Times New Roman" w:hAnsi="Times New Roman"/>
      <w:b/>
      <w:sz w:val="28"/>
    </w:rPr>
  </w:style>
  <w:style w:type="paragraph" w:customStyle="1" w:styleId="AllowPageBreak">
    <w:name w:val="AllowPageBreak"/>
    <w:rsid w:val="002B78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7810"/>
    <w:pPr>
      <w:numPr>
        <w:numId w:val="2"/>
      </w:numPr>
      <w:tabs>
        <w:tab w:val="clear" w:pos="1021"/>
      </w:tabs>
      <w:ind w:left="1037" w:hanging="357"/>
    </w:pPr>
  </w:style>
  <w:style w:type="character" w:customStyle="1" w:styleId="Heading2Char">
    <w:name w:val="Heading 2 Char"/>
    <w:link w:val="Heading2"/>
    <w:rsid w:val="002B7810"/>
    <w:rPr>
      <w:rFonts w:ascii="Times New Roman" w:eastAsia="Times New Roman" w:hAnsi="Times New Roman" w:cs="Times New Roman"/>
      <w:b/>
      <w:sz w:val="28"/>
      <w:szCs w:val="40"/>
      <w:lang w:eastAsia="en-US"/>
    </w:rPr>
  </w:style>
  <w:style w:type="character" w:customStyle="1" w:styleId="Heading3Char">
    <w:name w:val="Heading 3 Char"/>
    <w:link w:val="Heading3"/>
    <w:rsid w:val="002B78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7810"/>
    <w:rPr>
      <w:rFonts w:ascii="Times New Roman" w:eastAsia="Times New Roman" w:hAnsi="Times New Roman" w:cs="Times New Roman"/>
      <w:b/>
      <w:szCs w:val="20"/>
      <w:lang w:eastAsia="en-US"/>
    </w:rPr>
  </w:style>
  <w:style w:type="character" w:customStyle="1" w:styleId="Heading5Char">
    <w:name w:val="Heading 5 Char"/>
    <w:link w:val="Heading5"/>
    <w:rsid w:val="002B78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7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8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8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810"/>
    <w:rPr>
      <w:rFonts w:ascii="Courier New" w:eastAsia="Times New Roman" w:hAnsi="Courier New" w:cs="Times New Roman"/>
      <w:i/>
      <w:szCs w:val="20"/>
      <w:lang w:val="en-US" w:eastAsia="en-US"/>
    </w:rPr>
  </w:style>
  <w:style w:type="paragraph" w:customStyle="1" w:styleId="HeadingBase">
    <w:name w:val="Heading Base"/>
    <w:rsid w:val="002B7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810"/>
    <w:pPr>
      <w:tabs>
        <w:tab w:val="right" w:leader="dot" w:pos="9072"/>
      </w:tabs>
      <w:ind w:left="567"/>
    </w:pPr>
    <w:rPr>
      <w:szCs w:val="22"/>
    </w:rPr>
  </w:style>
  <w:style w:type="paragraph" w:customStyle="1" w:styleId="TOCBase">
    <w:name w:val="TOC Base"/>
    <w:rsid w:val="002B7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810"/>
    <w:pPr>
      <w:tabs>
        <w:tab w:val="right" w:leader="dot" w:pos="9072"/>
      </w:tabs>
      <w:spacing w:before="40" w:after="40"/>
      <w:ind w:left="284"/>
    </w:pPr>
    <w:rPr>
      <w:rFonts w:ascii="Times New Roman" w:hAnsi="Times New Roman"/>
    </w:rPr>
  </w:style>
  <w:style w:type="paragraph" w:styleId="TOC1">
    <w:name w:val="toc 1"/>
    <w:basedOn w:val="TOCBase"/>
    <w:next w:val="Normal"/>
    <w:rsid w:val="002B78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810"/>
    <w:pPr>
      <w:spacing w:before="5040"/>
      <w:jc w:val="center"/>
    </w:pPr>
    <w:rPr>
      <w:sz w:val="48"/>
      <w:szCs w:val="72"/>
      <w:lang w:val="en-US"/>
    </w:rPr>
  </w:style>
  <w:style w:type="character" w:customStyle="1" w:styleId="TitleChar">
    <w:name w:val="Title Char"/>
    <w:link w:val="Title"/>
    <w:rsid w:val="002B7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810"/>
    <w:pPr>
      <w:tabs>
        <w:tab w:val="left" w:pos="3600"/>
        <w:tab w:val="left" w:pos="3958"/>
      </w:tabs>
    </w:pPr>
  </w:style>
  <w:style w:type="paragraph" w:styleId="List">
    <w:name w:val="List"/>
    <w:basedOn w:val="BodyText"/>
    <w:next w:val="BodyText"/>
    <w:rsid w:val="002B7810"/>
    <w:pPr>
      <w:tabs>
        <w:tab w:val="left" w:pos="340"/>
      </w:tabs>
      <w:spacing w:before="60" w:after="60"/>
      <w:ind w:left="340" w:hanging="340"/>
    </w:pPr>
  </w:style>
  <w:style w:type="paragraph" w:customStyle="1" w:styleId="Note">
    <w:name w:val="Note"/>
    <w:basedOn w:val="BodyText"/>
    <w:rsid w:val="002B7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810"/>
    <w:pPr>
      <w:framePr w:wrap="auto" w:hAnchor="text" w:y="6049"/>
    </w:pPr>
    <w:rPr>
      <w:color w:val="000000"/>
      <w:sz w:val="40"/>
    </w:rPr>
  </w:style>
  <w:style w:type="paragraph" w:customStyle="1" w:styleId="TOCTitle">
    <w:name w:val="TOCTitle"/>
    <w:basedOn w:val="Heading1"/>
    <w:rsid w:val="002B7810"/>
    <w:pPr>
      <w:spacing w:after="240"/>
      <w:jc w:val="center"/>
      <w:outlineLvl w:val="9"/>
    </w:pPr>
    <w:rPr>
      <w:caps/>
    </w:rPr>
  </w:style>
  <w:style w:type="paragraph" w:customStyle="1" w:styleId="Version">
    <w:name w:val="Version"/>
    <w:rsid w:val="002B78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810"/>
    <w:pPr>
      <w:numPr>
        <w:numId w:val="14"/>
      </w:numPr>
      <w:tabs>
        <w:tab w:val="clear" w:pos="680"/>
      </w:tabs>
    </w:pPr>
  </w:style>
  <w:style w:type="paragraph" w:styleId="Index1">
    <w:name w:val="index 1"/>
    <w:basedOn w:val="Normal"/>
    <w:next w:val="Normal"/>
    <w:semiHidden/>
    <w:rsid w:val="002B7810"/>
    <w:pPr>
      <w:keepNext w:val="0"/>
      <w:tabs>
        <w:tab w:val="right" w:pos="4176"/>
      </w:tabs>
      <w:ind w:left="198" w:hanging="198"/>
    </w:pPr>
    <w:rPr>
      <w:rFonts w:ascii="Garamond" w:hAnsi="Garamond"/>
    </w:rPr>
  </w:style>
  <w:style w:type="paragraph" w:styleId="IndexHeading">
    <w:name w:val="index heading"/>
    <w:basedOn w:val="Normal"/>
    <w:next w:val="Index1"/>
    <w:semiHidden/>
    <w:rsid w:val="002B7810"/>
    <w:pPr>
      <w:spacing w:before="120" w:after="120"/>
    </w:pPr>
    <w:rPr>
      <w:rFonts w:ascii="Arial" w:hAnsi="Arial"/>
      <w:b/>
      <w:color w:val="918585"/>
      <w:sz w:val="24"/>
    </w:rPr>
  </w:style>
  <w:style w:type="paragraph" w:customStyle="1" w:styleId="Chapter">
    <w:name w:val="Chapter"/>
    <w:basedOn w:val="Normal"/>
    <w:rsid w:val="002B7810"/>
    <w:pPr>
      <w:spacing w:before="240"/>
    </w:pPr>
    <w:rPr>
      <w:rFonts w:ascii="Times New Roman" w:hAnsi="Times New Roman"/>
      <w:smallCaps/>
      <w:spacing w:val="80"/>
      <w:sz w:val="28"/>
    </w:rPr>
  </w:style>
  <w:style w:type="paragraph" w:customStyle="1" w:styleId="InChapter">
    <w:name w:val="InChapter"/>
    <w:basedOn w:val="Heading3"/>
    <w:rsid w:val="002B7810"/>
    <w:pPr>
      <w:spacing w:after="240"/>
      <w:outlineLvl w:val="9"/>
    </w:pPr>
    <w:rPr>
      <w:noProof/>
    </w:rPr>
  </w:style>
  <w:style w:type="paragraph" w:styleId="Index2">
    <w:name w:val="index 2"/>
    <w:basedOn w:val="Normal"/>
    <w:next w:val="Normal"/>
    <w:semiHidden/>
    <w:rsid w:val="002B7810"/>
    <w:pPr>
      <w:tabs>
        <w:tab w:val="right" w:pos="4176"/>
      </w:tabs>
      <w:ind w:left="568" w:hanging="284"/>
    </w:pPr>
    <w:rPr>
      <w:rFonts w:ascii="Garamond" w:hAnsi="Garamond"/>
    </w:rPr>
  </w:style>
  <w:style w:type="paragraph" w:customStyle="1" w:styleId="Byline">
    <w:name w:val="Byline"/>
    <w:rsid w:val="002B7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810"/>
    <w:pPr>
      <w:tabs>
        <w:tab w:val="clear" w:pos="3600"/>
        <w:tab w:val="clear" w:pos="3958"/>
      </w:tabs>
      <w:jc w:val="right"/>
    </w:pPr>
  </w:style>
  <w:style w:type="character" w:styleId="Emphasis">
    <w:name w:val="Emphasis"/>
    <w:qFormat/>
    <w:rsid w:val="002B7810"/>
    <w:rPr>
      <w:i/>
    </w:rPr>
  </w:style>
  <w:style w:type="paragraph" w:styleId="Caption">
    <w:name w:val="caption"/>
    <w:basedOn w:val="BodyText"/>
    <w:next w:val="Normal"/>
    <w:qFormat/>
    <w:rsid w:val="002B7810"/>
    <w:pPr>
      <w:framePr w:w="2268" w:hSpace="181" w:vSpace="181" w:wrap="around" w:vAnchor="text" w:hAnchor="page" w:x="1135" w:y="285" w:anchorLock="1"/>
    </w:pPr>
    <w:rPr>
      <w:i/>
    </w:rPr>
  </w:style>
  <w:style w:type="paragraph" w:customStyle="1" w:styleId="MiniTOCTitle">
    <w:name w:val="MiniTOCTitle"/>
    <w:basedOn w:val="Heading4"/>
    <w:rsid w:val="002B7810"/>
    <w:pPr>
      <w:spacing w:before="240"/>
      <w:outlineLvl w:val="9"/>
    </w:pPr>
    <w:rPr>
      <w:noProof/>
      <w:sz w:val="24"/>
    </w:rPr>
  </w:style>
  <w:style w:type="paragraph" w:customStyle="1" w:styleId="MiniTOCItem">
    <w:name w:val="MiniTOCItem"/>
    <w:basedOn w:val="ListBullet"/>
    <w:rsid w:val="002B7810"/>
    <w:pPr>
      <w:numPr>
        <w:numId w:val="0"/>
      </w:numPr>
      <w:tabs>
        <w:tab w:val="right" w:leader="dot" w:pos="6521"/>
      </w:tabs>
      <w:spacing w:before="0" w:after="0"/>
    </w:pPr>
  </w:style>
  <w:style w:type="paragraph" w:customStyle="1" w:styleId="TOFTitle">
    <w:name w:val="TOFTitle"/>
    <w:basedOn w:val="TOCTitle"/>
    <w:rsid w:val="002B7810"/>
  </w:style>
  <w:style w:type="paragraph" w:styleId="TableofFigures">
    <w:name w:val="table of figures"/>
    <w:basedOn w:val="Normal"/>
    <w:next w:val="Normal"/>
    <w:semiHidden/>
    <w:rsid w:val="002B7810"/>
    <w:pPr>
      <w:tabs>
        <w:tab w:val="right" w:leader="dot" w:pos="9072"/>
      </w:tabs>
      <w:ind w:left="970" w:hanging="403"/>
    </w:pPr>
    <w:rPr>
      <w:rFonts w:ascii="Times New Roman" w:hAnsi="Times New Roman"/>
      <w:b/>
    </w:rPr>
  </w:style>
  <w:style w:type="paragraph" w:styleId="ListNumber">
    <w:name w:val="List Number"/>
    <w:basedOn w:val="List"/>
    <w:rsid w:val="002B7810"/>
    <w:pPr>
      <w:numPr>
        <w:numId w:val="11"/>
      </w:numPr>
    </w:pPr>
  </w:style>
  <w:style w:type="character" w:customStyle="1" w:styleId="WingdingSymbols">
    <w:name w:val="Wingding Symbols"/>
    <w:rsid w:val="002B7810"/>
    <w:rPr>
      <w:rFonts w:ascii="Wingdings" w:hAnsi="Wingdings"/>
    </w:rPr>
  </w:style>
  <w:style w:type="paragraph" w:customStyle="1" w:styleId="TableHeading">
    <w:name w:val="Table Heading"/>
    <w:basedOn w:val="HeadingBase"/>
    <w:rsid w:val="002B7810"/>
    <w:pPr>
      <w:keepLines/>
      <w:pBdr>
        <w:bottom w:val="single" w:sz="6" w:space="1" w:color="918585"/>
      </w:pBdr>
      <w:spacing w:before="240"/>
    </w:pPr>
  </w:style>
  <w:style w:type="character" w:customStyle="1" w:styleId="HotSpot">
    <w:name w:val="HotSpot"/>
    <w:rsid w:val="002B7810"/>
    <w:rPr>
      <w:color w:val="0033CC"/>
      <w:u w:val="none"/>
    </w:rPr>
  </w:style>
  <w:style w:type="paragraph" w:customStyle="1" w:styleId="BodyTextRight">
    <w:name w:val="Body Text Right"/>
    <w:basedOn w:val="BodyText"/>
    <w:rsid w:val="002B7810"/>
    <w:pPr>
      <w:spacing w:before="0" w:after="0"/>
      <w:jc w:val="right"/>
    </w:pPr>
  </w:style>
  <w:style w:type="paragraph" w:styleId="Index3">
    <w:name w:val="index 3"/>
    <w:basedOn w:val="ListNumber2"/>
    <w:next w:val="Normal"/>
    <w:semiHidden/>
    <w:rsid w:val="002B7810"/>
    <w:pPr>
      <w:numPr>
        <w:numId w:val="0"/>
      </w:numPr>
      <w:tabs>
        <w:tab w:val="right" w:leader="dot" w:pos="4176"/>
      </w:tabs>
    </w:pPr>
  </w:style>
  <w:style w:type="paragraph" w:styleId="ListNumber2">
    <w:name w:val="List Number 2"/>
    <w:basedOn w:val="List2"/>
    <w:rsid w:val="002B7810"/>
    <w:pPr>
      <w:numPr>
        <w:numId w:val="10"/>
      </w:numPr>
      <w:tabs>
        <w:tab w:val="clear" w:pos="1060"/>
      </w:tabs>
    </w:pPr>
  </w:style>
  <w:style w:type="paragraph" w:customStyle="1" w:styleId="MarginNote">
    <w:name w:val="Margin Note"/>
    <w:basedOn w:val="BodyText"/>
    <w:rsid w:val="002B7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78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810"/>
    <w:rPr>
      <w:sz w:val="32"/>
    </w:rPr>
  </w:style>
  <w:style w:type="paragraph" w:customStyle="1" w:styleId="HeadingProcedure">
    <w:name w:val="Heading Procedure"/>
    <w:basedOn w:val="HeadingBase"/>
    <w:next w:val="Normal"/>
    <w:rsid w:val="002B7810"/>
    <w:pPr>
      <w:tabs>
        <w:tab w:val="left" w:pos="0"/>
      </w:tabs>
      <w:spacing w:before="120" w:after="60"/>
    </w:pPr>
    <w:rPr>
      <w:i/>
      <w:color w:val="918585"/>
      <w:sz w:val="22"/>
    </w:rPr>
  </w:style>
  <w:style w:type="paragraph" w:customStyle="1" w:styleId="TableBodyText">
    <w:name w:val="Table Body Text"/>
    <w:basedOn w:val="BodyText"/>
    <w:rsid w:val="002B7810"/>
    <w:pPr>
      <w:spacing w:before="60" w:after="60"/>
    </w:pPr>
  </w:style>
  <w:style w:type="paragraph" w:styleId="ListContinue">
    <w:name w:val="List Continue"/>
    <w:basedOn w:val="List"/>
    <w:rsid w:val="002B7810"/>
    <w:pPr>
      <w:ind w:firstLine="0"/>
    </w:pPr>
  </w:style>
  <w:style w:type="paragraph" w:customStyle="1" w:styleId="ListNote">
    <w:name w:val="List Note"/>
    <w:basedOn w:val="List"/>
    <w:rsid w:val="002B7810"/>
    <w:pPr>
      <w:pBdr>
        <w:top w:val="single" w:sz="6" w:space="2" w:color="918585"/>
        <w:bottom w:val="single" w:sz="6" w:space="2" w:color="918585"/>
      </w:pBdr>
      <w:tabs>
        <w:tab w:val="left" w:pos="1021"/>
      </w:tabs>
      <w:ind w:firstLine="0"/>
    </w:pPr>
  </w:style>
  <w:style w:type="paragraph" w:customStyle="1" w:styleId="Warning">
    <w:name w:val="Warning"/>
    <w:basedOn w:val="BodyText"/>
    <w:rsid w:val="002B7810"/>
    <w:pPr>
      <w:shd w:val="clear" w:color="auto" w:fill="D9D9D9"/>
      <w:tabs>
        <w:tab w:val="left" w:pos="992"/>
      </w:tabs>
      <w:ind w:left="119" w:right="119"/>
    </w:pPr>
    <w:rPr>
      <w:sz w:val="20"/>
    </w:rPr>
  </w:style>
  <w:style w:type="paragraph" w:customStyle="1" w:styleId="MarginIcons">
    <w:name w:val="Margin Icons"/>
    <w:basedOn w:val="BodyText"/>
    <w:rsid w:val="002B78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7810"/>
    <w:rPr>
      <w:rFonts w:ascii="Courier New" w:hAnsi="Courier New"/>
    </w:rPr>
  </w:style>
  <w:style w:type="paragraph" w:customStyle="1" w:styleId="NoteBullet">
    <w:name w:val="Note Bullet"/>
    <w:basedOn w:val="Note"/>
    <w:rsid w:val="002B7810"/>
    <w:pPr>
      <w:tabs>
        <w:tab w:val="clear" w:pos="680"/>
      </w:tabs>
      <w:spacing w:before="60" w:after="60"/>
    </w:pPr>
  </w:style>
  <w:style w:type="paragraph" w:customStyle="1" w:styleId="SubHeading2">
    <w:name w:val="SubHeading2"/>
    <w:basedOn w:val="HeadingBase"/>
    <w:rsid w:val="002B7810"/>
    <w:pPr>
      <w:spacing w:before="240" w:after="60"/>
    </w:pPr>
    <w:rPr>
      <w:sz w:val="20"/>
    </w:rPr>
  </w:style>
  <w:style w:type="paragraph" w:customStyle="1" w:styleId="SubHeading1">
    <w:name w:val="SubHeading1"/>
    <w:basedOn w:val="HeadingBase"/>
    <w:rsid w:val="002B7810"/>
    <w:pPr>
      <w:spacing w:before="240" w:after="60"/>
    </w:pPr>
    <w:rPr>
      <w:color w:val="918585"/>
      <w:sz w:val="22"/>
    </w:rPr>
  </w:style>
  <w:style w:type="paragraph" w:customStyle="1" w:styleId="SideHeading">
    <w:name w:val="Side Heading"/>
    <w:basedOn w:val="HeadingBase"/>
    <w:rsid w:val="002B7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810"/>
    <w:pPr>
      <w:numPr>
        <w:numId w:val="12"/>
      </w:numPr>
    </w:pPr>
  </w:style>
  <w:style w:type="paragraph" w:styleId="PlainText">
    <w:name w:val="Plain Text"/>
    <w:basedOn w:val="Normal"/>
    <w:link w:val="PlainTextChar"/>
    <w:rsid w:val="002B7810"/>
    <w:rPr>
      <w:sz w:val="20"/>
    </w:rPr>
  </w:style>
  <w:style w:type="character" w:customStyle="1" w:styleId="PlainTextChar">
    <w:name w:val="Plain Text Char"/>
    <w:basedOn w:val="DefaultParagraphFont"/>
    <w:link w:val="PlainText"/>
    <w:rsid w:val="002B7810"/>
    <w:rPr>
      <w:rFonts w:ascii="Courier New" w:eastAsia="Times New Roman" w:hAnsi="Courier New" w:cs="Times New Roman"/>
      <w:sz w:val="20"/>
      <w:szCs w:val="20"/>
      <w:lang w:val="en-US" w:eastAsia="en-US"/>
    </w:rPr>
  </w:style>
  <w:style w:type="character" w:customStyle="1" w:styleId="MenuOption">
    <w:name w:val="Menu Option"/>
    <w:rsid w:val="002B7810"/>
    <w:rPr>
      <w:b/>
      <w:smallCaps/>
    </w:rPr>
  </w:style>
  <w:style w:type="paragraph" w:customStyle="1" w:styleId="TableListNumber">
    <w:name w:val="Table List Number"/>
    <w:basedOn w:val="ListNumber"/>
    <w:rsid w:val="002B7810"/>
    <w:pPr>
      <w:numPr>
        <w:numId w:val="0"/>
      </w:numPr>
    </w:pPr>
  </w:style>
  <w:style w:type="paragraph" w:styleId="TOC4">
    <w:name w:val="toc 4"/>
    <w:basedOn w:val="TOCBase"/>
    <w:next w:val="Normal"/>
    <w:semiHidden/>
    <w:rsid w:val="002B7810"/>
    <w:pPr>
      <w:tabs>
        <w:tab w:val="right" w:leader="dot" w:pos="9071"/>
      </w:tabs>
      <w:ind w:left="1701"/>
    </w:pPr>
  </w:style>
  <w:style w:type="paragraph" w:customStyle="1" w:styleId="ListAlpha">
    <w:name w:val="List Alpha"/>
    <w:basedOn w:val="List"/>
    <w:rsid w:val="002B7810"/>
    <w:pPr>
      <w:numPr>
        <w:numId w:val="9"/>
      </w:numPr>
    </w:pPr>
  </w:style>
  <w:style w:type="paragraph" w:customStyle="1" w:styleId="ListAlpha2">
    <w:name w:val="List Alpha 2"/>
    <w:basedOn w:val="List2"/>
    <w:rsid w:val="002B7810"/>
    <w:pPr>
      <w:numPr>
        <w:numId w:val="8"/>
      </w:numPr>
    </w:pPr>
  </w:style>
  <w:style w:type="paragraph" w:styleId="List2">
    <w:name w:val="List 2"/>
    <w:basedOn w:val="BodyText"/>
    <w:rsid w:val="002B7810"/>
    <w:pPr>
      <w:tabs>
        <w:tab w:val="left" w:pos="680"/>
      </w:tabs>
      <w:spacing w:before="60" w:after="60"/>
      <w:ind w:left="680" w:hanging="340"/>
    </w:pPr>
  </w:style>
  <w:style w:type="paragraph" w:styleId="List3">
    <w:name w:val="List 3"/>
    <w:basedOn w:val="BodyText"/>
    <w:rsid w:val="002B7810"/>
    <w:pPr>
      <w:tabs>
        <w:tab w:val="left" w:pos="1021"/>
      </w:tabs>
      <w:spacing w:before="60" w:after="60"/>
      <w:ind w:left="1020" w:hanging="340"/>
    </w:pPr>
  </w:style>
  <w:style w:type="paragraph" w:styleId="List4">
    <w:name w:val="List 4"/>
    <w:basedOn w:val="BodyText"/>
    <w:rsid w:val="002B7810"/>
    <w:pPr>
      <w:tabs>
        <w:tab w:val="left" w:pos="1361"/>
      </w:tabs>
      <w:spacing w:before="60" w:after="60"/>
      <w:ind w:left="1361" w:hanging="340"/>
    </w:pPr>
  </w:style>
  <w:style w:type="paragraph" w:styleId="List5">
    <w:name w:val="List 5"/>
    <w:basedOn w:val="BodyText"/>
    <w:rsid w:val="002B7810"/>
    <w:pPr>
      <w:tabs>
        <w:tab w:val="left" w:pos="1701"/>
      </w:tabs>
      <w:spacing w:before="60" w:after="60"/>
      <w:ind w:left="1701" w:hanging="340"/>
    </w:pPr>
  </w:style>
  <w:style w:type="paragraph" w:styleId="ListBullet4">
    <w:name w:val="List Bullet 4"/>
    <w:basedOn w:val="List4"/>
    <w:rsid w:val="002B7810"/>
    <w:pPr>
      <w:numPr>
        <w:numId w:val="3"/>
      </w:numPr>
    </w:pPr>
  </w:style>
  <w:style w:type="paragraph" w:styleId="ListBullet5">
    <w:name w:val="List Bullet 5"/>
    <w:basedOn w:val="List5"/>
    <w:rsid w:val="002B7810"/>
    <w:pPr>
      <w:numPr>
        <w:numId w:val="4"/>
      </w:numPr>
    </w:pPr>
  </w:style>
  <w:style w:type="paragraph" w:styleId="ListContinue2">
    <w:name w:val="List Continue 2"/>
    <w:basedOn w:val="List2"/>
    <w:rsid w:val="002B7810"/>
    <w:pPr>
      <w:ind w:firstLine="0"/>
    </w:pPr>
  </w:style>
  <w:style w:type="paragraph" w:styleId="ListContinue3">
    <w:name w:val="List Continue 3"/>
    <w:basedOn w:val="List3"/>
    <w:rsid w:val="002B7810"/>
    <w:pPr>
      <w:ind w:left="1021" w:firstLine="0"/>
    </w:pPr>
  </w:style>
  <w:style w:type="paragraph" w:styleId="ListContinue4">
    <w:name w:val="List Continue 4"/>
    <w:basedOn w:val="List4"/>
    <w:rsid w:val="002B7810"/>
    <w:pPr>
      <w:ind w:firstLine="0"/>
    </w:pPr>
  </w:style>
  <w:style w:type="paragraph" w:styleId="ListContinue5">
    <w:name w:val="List Continue 5"/>
    <w:basedOn w:val="List5"/>
    <w:rsid w:val="002B7810"/>
    <w:pPr>
      <w:ind w:firstLine="0"/>
    </w:pPr>
  </w:style>
  <w:style w:type="paragraph" w:styleId="ListNumber3">
    <w:name w:val="List Number 3"/>
    <w:basedOn w:val="List3"/>
    <w:rsid w:val="002B7810"/>
    <w:pPr>
      <w:numPr>
        <w:numId w:val="5"/>
      </w:numPr>
    </w:pPr>
  </w:style>
  <w:style w:type="paragraph" w:styleId="ListNumber4">
    <w:name w:val="List Number 4"/>
    <w:basedOn w:val="List4"/>
    <w:rsid w:val="002B7810"/>
    <w:pPr>
      <w:numPr>
        <w:numId w:val="6"/>
      </w:numPr>
    </w:pPr>
  </w:style>
  <w:style w:type="paragraph" w:styleId="ListNumber5">
    <w:name w:val="List Number 5"/>
    <w:basedOn w:val="List5"/>
    <w:rsid w:val="002B7810"/>
    <w:pPr>
      <w:numPr>
        <w:numId w:val="7"/>
      </w:numPr>
    </w:pPr>
  </w:style>
  <w:style w:type="paragraph" w:styleId="BlockText">
    <w:name w:val="Block Text"/>
    <w:basedOn w:val="Normal"/>
    <w:rsid w:val="002B7810"/>
    <w:pPr>
      <w:spacing w:after="120"/>
      <w:ind w:left="1440" w:right="1440"/>
    </w:pPr>
  </w:style>
  <w:style w:type="character" w:customStyle="1" w:styleId="Subscript">
    <w:name w:val="Subscript"/>
    <w:rsid w:val="002B7810"/>
    <w:rPr>
      <w:sz w:val="16"/>
      <w:vertAlign w:val="subscript"/>
    </w:rPr>
  </w:style>
  <w:style w:type="character" w:customStyle="1" w:styleId="Superscript">
    <w:name w:val="Superscript"/>
    <w:rsid w:val="002B7810"/>
    <w:rPr>
      <w:sz w:val="16"/>
      <w:vertAlign w:val="superscript"/>
    </w:rPr>
  </w:style>
  <w:style w:type="character" w:customStyle="1" w:styleId="Symbols">
    <w:name w:val="Symbols"/>
    <w:rsid w:val="002B7810"/>
    <w:rPr>
      <w:rFonts w:ascii="Symbol" w:hAnsi="Symbol"/>
    </w:rPr>
  </w:style>
  <w:style w:type="character" w:customStyle="1" w:styleId="MenuOptions">
    <w:name w:val="Menu Options"/>
    <w:rsid w:val="002B7810"/>
    <w:rPr>
      <w:rFonts w:ascii="Arial Narrow" w:hAnsi="Arial Narrow"/>
      <w:smallCaps/>
    </w:rPr>
  </w:style>
  <w:style w:type="character" w:customStyle="1" w:styleId="Buttons">
    <w:name w:val="Buttons"/>
    <w:rsid w:val="002B7810"/>
    <w:rPr>
      <w:b/>
    </w:rPr>
  </w:style>
  <w:style w:type="character" w:customStyle="1" w:styleId="Underlined">
    <w:name w:val="Underlined"/>
    <w:rsid w:val="002B7810"/>
    <w:rPr>
      <w:u w:val="single"/>
    </w:rPr>
  </w:style>
  <w:style w:type="paragraph" w:customStyle="1" w:styleId="TableBodyTextRight">
    <w:name w:val="Table Body Text Right"/>
    <w:basedOn w:val="TableBodyText"/>
    <w:rsid w:val="002B7810"/>
    <w:pPr>
      <w:widowControl w:val="0"/>
      <w:autoSpaceDE w:val="0"/>
      <w:autoSpaceDN w:val="0"/>
      <w:adjustRightInd w:val="0"/>
      <w:jc w:val="right"/>
    </w:pPr>
    <w:rPr>
      <w:rFonts w:cs="Arial"/>
      <w:szCs w:val="18"/>
    </w:rPr>
  </w:style>
  <w:style w:type="paragraph" w:customStyle="1" w:styleId="CopyrightText">
    <w:name w:val="Copyright Text"/>
    <w:basedOn w:val="BodyText"/>
    <w:rsid w:val="002B7810"/>
    <w:rPr>
      <w:sz w:val="18"/>
    </w:rPr>
  </w:style>
  <w:style w:type="paragraph" w:customStyle="1" w:styleId="BodySmallRight">
    <w:name w:val="Body Small Right"/>
    <w:basedOn w:val="BodyTextRight"/>
    <w:rsid w:val="002B7810"/>
    <w:rPr>
      <w:sz w:val="18"/>
      <w:szCs w:val="18"/>
    </w:rPr>
  </w:style>
  <w:style w:type="paragraph" w:customStyle="1" w:styleId="MarginEdition">
    <w:name w:val="Margin Edition"/>
    <w:basedOn w:val="MarginNote"/>
    <w:rsid w:val="002B7810"/>
    <w:pPr>
      <w:spacing w:before="0" w:after="0"/>
    </w:pPr>
    <w:rPr>
      <w:rFonts w:ascii="Times New Roman" w:hAnsi="Times New Roman"/>
      <w:color w:val="999999"/>
    </w:rPr>
  </w:style>
  <w:style w:type="paragraph" w:customStyle="1" w:styleId="Spacer">
    <w:name w:val="Spacer"/>
    <w:basedOn w:val="Normal"/>
    <w:rsid w:val="002B7810"/>
    <w:rPr>
      <w:sz w:val="2"/>
      <w:szCs w:val="2"/>
    </w:rPr>
  </w:style>
  <w:style w:type="character" w:customStyle="1" w:styleId="Small">
    <w:name w:val="Small"/>
    <w:rsid w:val="002B7810"/>
    <w:rPr>
      <w:sz w:val="16"/>
    </w:rPr>
  </w:style>
  <w:style w:type="paragraph" w:customStyle="1" w:styleId="WideTable">
    <w:name w:val="Wide Table"/>
    <w:basedOn w:val="Normal"/>
    <w:rsid w:val="002B7810"/>
    <w:pPr>
      <w:ind w:left="-1418"/>
    </w:pPr>
    <w:rPr>
      <w:sz w:val="2"/>
      <w:szCs w:val="2"/>
    </w:rPr>
  </w:style>
  <w:style w:type="character" w:styleId="PageNumber">
    <w:name w:val="page number"/>
    <w:rsid w:val="002B7810"/>
  </w:style>
  <w:style w:type="paragraph" w:styleId="Quote">
    <w:name w:val="Quote"/>
    <w:basedOn w:val="Heading1"/>
    <w:link w:val="QuoteChar"/>
    <w:qFormat/>
    <w:rsid w:val="002B7810"/>
    <w:rPr>
      <w:b w:val="0"/>
      <w:sz w:val="72"/>
      <w:szCs w:val="72"/>
      <w:lang w:val="en-NZ"/>
    </w:rPr>
  </w:style>
  <w:style w:type="character" w:customStyle="1" w:styleId="QuoteChar">
    <w:name w:val="Quote Char"/>
    <w:link w:val="Quote"/>
    <w:rsid w:val="002B7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810"/>
    <w:pPr>
      <w:pageBreakBefore/>
    </w:pPr>
  </w:style>
  <w:style w:type="paragraph" w:customStyle="1" w:styleId="Border">
    <w:name w:val="Border"/>
    <w:basedOn w:val="Normal"/>
    <w:qFormat/>
    <w:rsid w:val="002B7810"/>
    <w:pPr>
      <w:pBdr>
        <w:top w:val="single" w:sz="18" w:space="1" w:color="auto"/>
      </w:pBdr>
    </w:pPr>
    <w:rPr>
      <w:rFonts w:ascii="Times New Roman" w:hAnsi="Times New Roman"/>
      <w:color w:val="FFFFFF"/>
      <w:sz w:val="2"/>
    </w:rPr>
  </w:style>
  <w:style w:type="character" w:styleId="IntenseEmphasis">
    <w:name w:val="Intense Emphasis"/>
    <w:uiPriority w:val="21"/>
    <w:qFormat/>
    <w:rsid w:val="002B7810"/>
    <w:rPr>
      <w:b/>
      <w:bCs/>
      <w:i/>
      <w:iCs/>
      <w:color w:val="auto"/>
    </w:rPr>
  </w:style>
  <w:style w:type="paragraph" w:styleId="IntenseQuote">
    <w:name w:val="Intense Quote"/>
    <w:basedOn w:val="Normal"/>
    <w:next w:val="Normal"/>
    <w:link w:val="IntenseQuoteChar"/>
    <w:uiPriority w:val="30"/>
    <w:qFormat/>
    <w:rsid w:val="002B78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7810"/>
    <w:rPr>
      <w:rFonts w:ascii="Courier New" w:eastAsia="Times New Roman" w:hAnsi="Courier New" w:cs="Times New Roman"/>
      <w:b/>
      <w:bCs/>
      <w:i/>
      <w:iCs/>
      <w:szCs w:val="20"/>
      <w:lang w:val="en-US" w:eastAsia="en-US"/>
    </w:rPr>
  </w:style>
  <w:style w:type="character" w:styleId="SubtleReference">
    <w:name w:val="Subtle Reference"/>
    <w:uiPriority w:val="31"/>
    <w:qFormat/>
    <w:rsid w:val="002B7810"/>
    <w:rPr>
      <w:smallCaps/>
      <w:color w:val="auto"/>
      <w:u w:val="single"/>
    </w:rPr>
  </w:style>
  <w:style w:type="character" w:styleId="IntenseReference">
    <w:name w:val="Intense Reference"/>
    <w:uiPriority w:val="32"/>
    <w:qFormat/>
    <w:rsid w:val="002B7810"/>
    <w:rPr>
      <w:b/>
      <w:bCs/>
      <w:smallCaps/>
      <w:color w:val="auto"/>
      <w:spacing w:val="5"/>
      <w:u w:val="single"/>
    </w:rPr>
  </w:style>
  <w:style w:type="paragraph" w:customStyle="1" w:styleId="2ColumnHeading">
    <w:name w:val="2Column Heading"/>
    <w:basedOn w:val="BodyText"/>
    <w:qFormat/>
    <w:rsid w:val="002B7810"/>
    <w:pPr>
      <w:spacing w:after="60"/>
      <w:ind w:left="-2268"/>
    </w:pPr>
    <w:rPr>
      <w:b/>
    </w:rPr>
  </w:style>
  <w:style w:type="paragraph" w:customStyle="1" w:styleId="Heading1TOC">
    <w:name w:val="Heading1 TOC"/>
    <w:basedOn w:val="Normal"/>
    <w:qFormat/>
    <w:rsid w:val="002B7810"/>
    <w:pPr>
      <w:spacing w:before="240" w:after="120"/>
    </w:pPr>
    <w:rPr>
      <w:rFonts w:ascii="Times New Roman" w:hAnsi="Times New Roman"/>
      <w:b/>
      <w:sz w:val="32"/>
    </w:rPr>
  </w:style>
  <w:style w:type="paragraph" w:customStyle="1" w:styleId="Heading2TOC">
    <w:name w:val="Heading2 TOC"/>
    <w:basedOn w:val="Normal"/>
    <w:qFormat/>
    <w:rsid w:val="002B7810"/>
    <w:pPr>
      <w:spacing w:before="240" w:after="60"/>
    </w:pPr>
    <w:rPr>
      <w:rFonts w:ascii="Times New Roman" w:hAnsi="Times New Roman"/>
      <w:b/>
      <w:sz w:val="28"/>
    </w:rPr>
  </w:style>
  <w:style w:type="character" w:customStyle="1" w:styleId="Underline">
    <w:name w:val="Underline"/>
    <w:qFormat/>
    <w:rsid w:val="002B7810"/>
    <w:rPr>
      <w:u w:val="single"/>
    </w:rPr>
  </w:style>
  <w:style w:type="character" w:customStyle="1" w:styleId="BoldandItalics">
    <w:name w:val="Bold and Italics"/>
    <w:qFormat/>
    <w:rsid w:val="002B7810"/>
    <w:rPr>
      <w:b/>
      <w:i/>
      <w:u w:val="none"/>
    </w:rPr>
  </w:style>
  <w:style w:type="paragraph" w:styleId="BalloonText">
    <w:name w:val="Balloon Text"/>
    <w:basedOn w:val="Normal"/>
    <w:link w:val="BalloonTextChar"/>
    <w:rsid w:val="002B7810"/>
    <w:rPr>
      <w:rFonts w:ascii="Tahoma" w:hAnsi="Tahoma" w:cs="Tahoma"/>
      <w:sz w:val="16"/>
      <w:szCs w:val="16"/>
    </w:rPr>
  </w:style>
  <w:style w:type="character" w:customStyle="1" w:styleId="BalloonTextChar">
    <w:name w:val="Balloon Text Char"/>
    <w:link w:val="BalloonText"/>
    <w:rsid w:val="002B78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8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78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2399</Words>
  <Characters>14227</Characters>
  <Application>Microsoft Office Word</Application>
  <DocSecurity>0</DocSecurity>
  <Lines>598</Lines>
  <Paragraphs>249</Paragraphs>
  <ScaleCrop>false</ScaleCrop>
  <Company>Author-it Software Corporation Ltd.</Company>
  <LinksUpToDate>false</LinksUpToDate>
  <CharactersWithSpaces>16465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UEPMNT323A Weld using Gas Tungsten Arc Welding Process (GTAW)</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2012-05-26T22:14:00Z</dcterms:created>
  <dcterms:modified xsi:type="dcterms:W3CDTF">2012-05-26T22:14:00Z</dcterms:modified>
</cp:coreProperties>
</file>