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90B" w:rsidP="00737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UEPOPS502 Manage permit to work system</w:t>
      </w:r>
      <w:r>
        <w:fldChar w:fldCharType="end"/>
      </w:r>
    </w:p>
    <w:p w:rsidR="0073790B" w:rsidP="0073790B">
      <w:pPr>
        <w:pStyle w:val="Version"/>
        <w:sectPr w:rsidSect="00330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283" w:rsidP="00330283">
      <w:pPr>
        <w:pStyle w:val="SuperHeading"/>
      </w:pPr>
      <w:r w:rsidRPr="00330283">
        <w:t>UEPOPS502 Manage permit to work system</w:t>
      </w:r>
    </w:p>
    <w:p w:rsidR="00000000" w:rsidRPr="00330283" w:rsidP="00330283">
      <w:pPr>
        <w:pStyle w:val="Heading1"/>
      </w:pPr>
      <w:bookmarkStart w:id="1" w:name="O_984578"/>
      <w:bookmarkEnd w:id="1"/>
      <w:r w:rsidRPr="003302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Release 1.</w:t>
            </w:r>
            <w:r w:rsidRPr="00330283">
              <w:t xml:space="preserve"> This is the first release of this unit of competency in the UEP Generation Training Package.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2" w:name="O_984579"/>
      <w:bookmarkEnd w:id="2"/>
      <w:r w:rsidRPr="003302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This unit involves the skills and knowledge required to manage the development, implementation and r</w:t>
            </w:r>
            <w:r w:rsidRPr="00330283">
              <w:t>eview of the permit to work system in a power generation facility.</w:t>
            </w:r>
          </w:p>
          <w:p w:rsidR="00000000" w:rsidRPr="00330283" w:rsidP="00330283">
            <w:pPr>
              <w:pStyle w:val="BodyText"/>
            </w:pPr>
            <w:r w:rsidRPr="00330283">
              <w:t>Permits to work are a formal system used to control high risk activities in power generation facilities, they specify the control measures to be used. They ensure that all hazards and preca</w:t>
            </w:r>
            <w:r w:rsidRPr="00330283">
              <w:t xml:space="preserve">utions have been considered before any hazardous work begins.  </w:t>
            </w:r>
          </w:p>
          <w:p w:rsidR="00000000" w:rsidRPr="00330283" w:rsidP="00330283">
            <w:pPr>
              <w:pStyle w:val="BodyText"/>
            </w:pPr>
            <w:r w:rsidRPr="00330283">
              <w:t>Competency in this unit requires the ability to plan for implementation of permit to work procedures,</w:t>
            </w:r>
            <w:r w:rsidRPr="00330283">
              <w:rPr>
                <w:rStyle w:val="SpecialBold"/>
              </w:rPr>
              <w:t xml:space="preserve"> </w:t>
            </w:r>
            <w:r w:rsidRPr="00330283">
              <w:t>develop permit to work system and procedures, manage permit to work system</w:t>
            </w:r>
            <w:r w:rsidRPr="00330283">
              <w:rPr>
                <w:rStyle w:val="SpecialBold"/>
              </w:rPr>
              <w:t xml:space="preserve"> </w:t>
            </w:r>
            <w:r w:rsidRPr="00330283">
              <w:t>and audit permi</w:t>
            </w:r>
            <w:r w:rsidRPr="00330283">
              <w:t xml:space="preserve">t to work procedures. Individuals will, in general, work as an operator with responsibility for managing the permit to work system in a power generation facility. </w:t>
            </w:r>
          </w:p>
          <w:p w:rsidR="00000000" w:rsidRPr="00330283" w:rsidP="00330283">
            <w:pPr>
              <w:pStyle w:val="BodyText"/>
            </w:pPr>
            <w:r w:rsidRPr="00330283">
              <w:t>Power generation plant operators are typically trained and authorised to isolate, prepare pl</w:t>
            </w:r>
            <w:r w:rsidRPr="00330283">
              <w:t>ant and issue permits to work.</w:t>
            </w:r>
          </w:p>
          <w:p w:rsidR="00000000" w:rsidRPr="00330283" w:rsidP="00330283">
            <w:pPr>
              <w:pStyle w:val="BodyText"/>
            </w:pPr>
            <w:r w:rsidRPr="00330283">
              <w:t>No licensing, legislative or certification requirements apply to this unit at the time of publication.</w:t>
            </w:r>
          </w:p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Note: Workplace practice</w:t>
            </w:r>
          </w:p>
          <w:p w:rsidR="00000000" w:rsidRPr="00330283" w:rsidP="00330283">
            <w:pPr>
              <w:pStyle w:val="BodyText"/>
            </w:pPr>
            <w:r w:rsidRPr="00330283">
              <w:t>The application of the skills and knowledge described in this unit may require a licence or train</w:t>
            </w:r>
            <w:r w:rsidRPr="00330283">
              <w:t>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3" w:name="O_984580"/>
      <w:bookmarkEnd w:id="3"/>
      <w:r w:rsidRPr="003302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UEPOPS</w:t>
            </w:r>
            <w:r w:rsidRPr="00330283">
              <w:t>403 Coordinate permit to work system</w:t>
            </w:r>
          </w:p>
          <w:p w:rsidR="00000000" w:rsidRPr="00330283" w:rsidP="00330283">
            <w:pPr>
              <w:pStyle w:val="BodyText"/>
            </w:pPr>
            <w:r w:rsidRPr="00330283">
              <w:t>UEPOPS402 Conduct multiple energy source isolation procedures for permit to work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4" w:name="O_984581"/>
      <w:bookmarkEnd w:id="4"/>
      <w:r w:rsidRPr="003302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Operations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5" w:name="O_984582"/>
      <w:bookmarkEnd w:id="5"/>
      <w:r w:rsidRPr="003302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Electricity generation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6" w:name="O_984583"/>
      <w:bookmarkEnd w:id="6"/>
      <w:r w:rsidRPr="003302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PERFORMANCE CRITERIA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Performance criteria describe the performance needed to demonstrate achievement of the element.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Plan for implementation of permit to work</w:t>
            </w:r>
            <w:r w:rsidRPr="00330283">
              <w:t xml:space="preserve"> </w:t>
            </w:r>
            <w:r w:rsidRPr="00330283">
              <w:rPr>
                <w:rStyle w:val="SpecialBold"/>
              </w:rPr>
              <w:t xml:space="preserve">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 xml:space="preserve">Statistical records are consulted on permit to work implementation, in accordance with workplace procedures 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Requirements for the development of permit to work procedures are identified and confirmed, in accordance with workplace procedu</w:t>
            </w:r>
            <w:r w:rsidRPr="00330283">
              <w:t xml:space="preserve">res and legislation 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 xml:space="preserve">Key stakeholders or equipment affected by the permit to work system are identified, in accordance with workplace procedures  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Consultation with key stakeholders to determine contingency plan implementation and timetable of review is carried out, in accordance with workplace policies and procedures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Develop permit to work system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Permit to work procedures are p</w:t>
            </w:r>
            <w:r w:rsidRPr="00330283">
              <w:t>lanned and developed in accordance with workplace procedures and Work, Health and Safety (WHS)/Occupational Health and Safety (OHS) legislation requirements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 xml:space="preserve">Resources are obtained and utilised for development of permit to work system, in accordance </w:t>
            </w:r>
            <w:r w:rsidRPr="00330283">
              <w:t>with workplace procedures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Permit to work procedures are documented and approved, in accordance with workplace procedures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Implement</w:t>
            </w:r>
            <w:r w:rsidRPr="00330283">
              <w:t xml:space="preserve"> </w:t>
            </w:r>
            <w:r w:rsidRPr="00330283">
              <w:rPr>
                <w:rStyle w:val="SpecialBold"/>
              </w:rPr>
              <w:t>permit to work system</w:t>
            </w:r>
            <w:r w:rsidRPr="00330283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Permit to work system incidents are identified, managed and recorded, in accordance with workplace procedures and legislation requirements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Permit to work incidents are investigated and assessed, in accordance with workplace procedures and legislatio</w:t>
            </w:r>
            <w:r w:rsidRPr="00330283">
              <w:t>n requirements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Results and recommendations of incident investigations are documented and confirmed with appropriate personnel, in accordance with workplace procedures and legislation requirements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rPr>
                <w:rStyle w:val="SpecialBold"/>
              </w:rPr>
              <w:t>Audit permit to work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t>Permit to work</w:t>
            </w:r>
            <w:r w:rsidRPr="00330283">
              <w:t xml:space="preserve"> system is audited and results are evaluated and managed, in accordance with workplace procedures</w:t>
            </w:r>
          </w:p>
        </w:tc>
      </w:tr>
      <w:tr w:rsidTr="003302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83">
            <w:pPr>
              <w:pStyle w:val="BodyText"/>
              <w:rPr>
                <w:lang w:val="en-NZ"/>
              </w:rPr>
            </w:pPr>
            <w:r w:rsidRPr="0033028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 xml:space="preserve">Audit results are documented and reports including recommendations are confirmed with appropriate personnel, in accordance with workplace procedures </w:t>
            </w:r>
            <w:r w:rsidRPr="00330283">
              <w:t>and legislation requirements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7" w:name="O_984584"/>
      <w:bookmarkEnd w:id="7"/>
      <w:r w:rsidRPr="003302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Foundation skills essential to performance are explicit in the performance criteria of this unit of competency.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8" w:name="O_984585"/>
      <w:bookmarkEnd w:id="8"/>
      <w:r w:rsidRPr="003302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Range is restricted to essential operat</w:t>
            </w:r>
            <w:r w:rsidRPr="00330283">
              <w:t>ing conditions and any other variables essential to the work environment.</w:t>
            </w:r>
          </w:p>
          <w:p w:rsidR="00000000" w:rsidRPr="00330283" w:rsidP="00330283">
            <w:pPr>
              <w:pStyle w:val="BodyText"/>
            </w:pPr>
            <w:r w:rsidRPr="00330283">
              <w:t>Non-essential conditions may be found in the Companion Volume Implementation Guide.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9" w:name="O_984586"/>
      <w:bookmarkEnd w:id="9"/>
      <w:r w:rsidRPr="003302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83" w:rsidP="00330283">
            <w:pPr>
              <w:pStyle w:val="BodyText"/>
            </w:pPr>
            <w:r w:rsidRPr="00330283">
              <w:t>This unit replaces and is equivalent to UEPOPS502B Manage permit to work system.</w:t>
            </w:r>
          </w:p>
        </w:tc>
      </w:tr>
    </w:tbl>
    <w:p w:rsidR="00000000" w:rsidRPr="00330283" w:rsidP="00330283">
      <w:pPr>
        <w:pStyle w:val="NoPaddingFontSize1"/>
      </w:pPr>
    </w:p>
    <w:p w:rsidR="00000000" w:rsidRPr="00330283" w:rsidP="00330283">
      <w:pPr>
        <w:pStyle w:val="AllowPageBreak"/>
      </w:pPr>
    </w:p>
    <w:p w:rsidR="00000000" w:rsidRPr="00330283" w:rsidP="00330283">
      <w:pPr>
        <w:pStyle w:val="Heading1"/>
      </w:pPr>
      <w:bookmarkStart w:id="10" w:name="O_984593"/>
      <w:bookmarkEnd w:id="10"/>
      <w:r w:rsidRPr="00330283">
        <w:t>Links</w:t>
      </w:r>
    </w:p>
    <w:p w:rsidR="00000000" w:rsidRPr="00330283" w:rsidP="0073790B">
      <w:pPr>
        <w:pStyle w:val="BodyText"/>
      </w:pPr>
      <w:r w:rsidRPr="00330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1092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30283" w:rsidP="00330283"/>
    <w:sectPr w:rsidSect="003302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83" w:rsidRPr="0073790B" w:rsidP="00737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0B" w:rsidP="0033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90B" w:rsidP="0033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90B" w:rsidP="00330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283" w:rsidRPr="0073790B" w:rsidP="00737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0B" w:rsidRPr="002D2AF8" w:rsidP="0033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UEPOPS502 Manage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3790B" w:rsidP="00330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283"/>
  </w:style>
  <w:style w:type="character" w:customStyle="1" w:styleId="Heading1Char">
    <w:name w:val="Heading 1 Char"/>
    <w:basedOn w:val="DefaultParagraphFont"/>
    <w:link w:val="Heading1"/>
    <w:rsid w:val="00330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2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0283"/>
    <w:rPr>
      <w:b/>
      <w:spacing w:val="0"/>
    </w:rPr>
  </w:style>
  <w:style w:type="paragraph" w:customStyle="1" w:styleId="SuperHeading">
    <w:name w:val="SuperHeading"/>
    <w:basedOn w:val="Normal"/>
    <w:rsid w:val="00330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0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2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02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0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2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283"/>
    <w:rPr>
      <w:i/>
    </w:rPr>
  </w:style>
  <w:style w:type="paragraph" w:styleId="Caption">
    <w:name w:val="caption"/>
    <w:basedOn w:val="BodyText"/>
    <w:next w:val="Normal"/>
    <w:qFormat/>
    <w:rsid w:val="00330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283"/>
  </w:style>
  <w:style w:type="paragraph" w:styleId="TableofFigures">
    <w:name w:val="table of figures"/>
    <w:basedOn w:val="Normal"/>
    <w:next w:val="Normal"/>
    <w:semiHidden/>
    <w:rsid w:val="00330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2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0283"/>
    <w:rPr>
      <w:rFonts w:ascii="Wingdings" w:hAnsi="Wingdings"/>
    </w:rPr>
  </w:style>
  <w:style w:type="paragraph" w:customStyle="1" w:styleId="TableHeading">
    <w:name w:val="Table Heading"/>
    <w:basedOn w:val="HeadingBase"/>
    <w:rsid w:val="00330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283"/>
    <w:rPr>
      <w:color w:val="0033CC"/>
      <w:u w:val="none"/>
    </w:rPr>
  </w:style>
  <w:style w:type="paragraph" w:customStyle="1" w:styleId="BodyTextRight">
    <w:name w:val="Body Text Right"/>
    <w:basedOn w:val="BodyText"/>
    <w:rsid w:val="00330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2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283"/>
    <w:rPr>
      <w:sz w:val="32"/>
    </w:rPr>
  </w:style>
  <w:style w:type="paragraph" w:customStyle="1" w:styleId="HeadingProcedure">
    <w:name w:val="Heading Procedure"/>
    <w:basedOn w:val="HeadingBase"/>
    <w:next w:val="Normal"/>
    <w:rsid w:val="00330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283"/>
    <w:pPr>
      <w:spacing w:before="60" w:after="60"/>
    </w:pPr>
  </w:style>
  <w:style w:type="paragraph" w:styleId="ListContinue">
    <w:name w:val="List Continue"/>
    <w:basedOn w:val="List"/>
    <w:rsid w:val="00330283"/>
    <w:pPr>
      <w:ind w:firstLine="0"/>
    </w:pPr>
  </w:style>
  <w:style w:type="paragraph" w:customStyle="1" w:styleId="ListNote">
    <w:name w:val="List Note"/>
    <w:basedOn w:val="List"/>
    <w:rsid w:val="00330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283"/>
    <w:rPr>
      <w:rFonts w:ascii="Courier New" w:hAnsi="Courier New"/>
    </w:rPr>
  </w:style>
  <w:style w:type="paragraph" w:customStyle="1" w:styleId="NoteBullet">
    <w:name w:val="Note Bullet"/>
    <w:basedOn w:val="Note"/>
    <w:rsid w:val="00330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2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0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283"/>
    <w:rPr>
      <w:b/>
      <w:smallCaps/>
    </w:rPr>
  </w:style>
  <w:style w:type="paragraph" w:customStyle="1" w:styleId="TableListNumber">
    <w:name w:val="Table List Number"/>
    <w:basedOn w:val="ListNumber"/>
    <w:rsid w:val="00330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283"/>
    <w:pPr>
      <w:numPr>
        <w:numId w:val="7"/>
      </w:numPr>
    </w:pPr>
  </w:style>
  <w:style w:type="paragraph" w:customStyle="1" w:styleId="ListAlpha2">
    <w:name w:val="List Alpha 2"/>
    <w:basedOn w:val="List2"/>
    <w:rsid w:val="00330283"/>
    <w:pPr>
      <w:numPr>
        <w:numId w:val="6"/>
      </w:numPr>
    </w:pPr>
  </w:style>
  <w:style w:type="paragraph" w:styleId="List2">
    <w:name w:val="List 2"/>
    <w:basedOn w:val="BodyText"/>
    <w:rsid w:val="00330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2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2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0283"/>
    <w:pPr>
      <w:numPr>
        <w:numId w:val="2"/>
      </w:numPr>
    </w:pPr>
  </w:style>
  <w:style w:type="paragraph" w:styleId="ListContinue2">
    <w:name w:val="List Continue 2"/>
    <w:basedOn w:val="List2"/>
    <w:rsid w:val="00330283"/>
    <w:pPr>
      <w:ind w:firstLine="0"/>
    </w:pPr>
  </w:style>
  <w:style w:type="paragraph" w:styleId="ListContinue3">
    <w:name w:val="List Continue 3"/>
    <w:basedOn w:val="List3"/>
    <w:rsid w:val="00330283"/>
    <w:pPr>
      <w:ind w:left="1021" w:firstLine="0"/>
    </w:pPr>
  </w:style>
  <w:style w:type="paragraph" w:styleId="ListContinue4">
    <w:name w:val="List Continue 4"/>
    <w:basedOn w:val="List4"/>
    <w:rsid w:val="00330283"/>
    <w:pPr>
      <w:ind w:firstLine="0"/>
    </w:pPr>
  </w:style>
  <w:style w:type="paragraph" w:styleId="ListContinue5">
    <w:name w:val="List Continue 5"/>
    <w:basedOn w:val="List5"/>
    <w:rsid w:val="00330283"/>
    <w:pPr>
      <w:ind w:firstLine="0"/>
    </w:pPr>
  </w:style>
  <w:style w:type="paragraph" w:styleId="ListNumber3">
    <w:name w:val="List Number 3"/>
    <w:basedOn w:val="List3"/>
    <w:rsid w:val="00330283"/>
    <w:pPr>
      <w:numPr>
        <w:numId w:val="3"/>
      </w:numPr>
    </w:pPr>
  </w:style>
  <w:style w:type="paragraph" w:styleId="ListNumber4">
    <w:name w:val="List Number 4"/>
    <w:basedOn w:val="List4"/>
    <w:rsid w:val="00330283"/>
    <w:pPr>
      <w:numPr>
        <w:numId w:val="4"/>
      </w:numPr>
    </w:pPr>
  </w:style>
  <w:style w:type="paragraph" w:styleId="ListNumber5">
    <w:name w:val="List Number 5"/>
    <w:basedOn w:val="List5"/>
    <w:rsid w:val="00330283"/>
    <w:pPr>
      <w:numPr>
        <w:numId w:val="5"/>
      </w:numPr>
    </w:pPr>
  </w:style>
  <w:style w:type="paragraph" w:styleId="BlockText">
    <w:name w:val="Block Text"/>
    <w:basedOn w:val="Normal"/>
    <w:rsid w:val="00330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283"/>
    <w:rPr>
      <w:sz w:val="16"/>
      <w:vertAlign w:val="superscript"/>
    </w:rPr>
  </w:style>
  <w:style w:type="character" w:customStyle="1" w:styleId="Symbols">
    <w:name w:val="Symbols"/>
    <w:basedOn w:val="DefaultParagraphFont"/>
    <w:rsid w:val="00330283"/>
    <w:rPr>
      <w:rFonts w:ascii="Symbol" w:hAnsi="Symbol"/>
    </w:rPr>
  </w:style>
  <w:style w:type="character" w:customStyle="1" w:styleId="MenuOptions">
    <w:name w:val="Menu Options"/>
    <w:basedOn w:val="DefaultParagraphFont"/>
    <w:rsid w:val="00330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283"/>
    <w:rPr>
      <w:b/>
    </w:rPr>
  </w:style>
  <w:style w:type="character" w:customStyle="1" w:styleId="Underlined">
    <w:name w:val="Underlined"/>
    <w:basedOn w:val="DefaultParagraphFont"/>
    <w:rsid w:val="00330283"/>
    <w:rPr>
      <w:u w:val="single"/>
    </w:rPr>
  </w:style>
  <w:style w:type="paragraph" w:customStyle="1" w:styleId="TableBodyTextRight">
    <w:name w:val="Table Body Text Right"/>
    <w:basedOn w:val="TableBodyText"/>
    <w:rsid w:val="00330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283"/>
    <w:rPr>
      <w:sz w:val="18"/>
    </w:rPr>
  </w:style>
  <w:style w:type="paragraph" w:customStyle="1" w:styleId="BodySmallRight">
    <w:name w:val="Body Small Right"/>
    <w:basedOn w:val="BodyTextRight"/>
    <w:rsid w:val="00330283"/>
    <w:rPr>
      <w:sz w:val="18"/>
      <w:szCs w:val="18"/>
    </w:rPr>
  </w:style>
  <w:style w:type="paragraph" w:customStyle="1" w:styleId="MarginEdition">
    <w:name w:val="Margin Edition"/>
    <w:basedOn w:val="MarginNote"/>
    <w:rsid w:val="00330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283"/>
    <w:rPr>
      <w:sz w:val="2"/>
      <w:szCs w:val="2"/>
    </w:rPr>
  </w:style>
  <w:style w:type="character" w:customStyle="1" w:styleId="Small">
    <w:name w:val="Small"/>
    <w:basedOn w:val="DefaultParagraphFont"/>
    <w:rsid w:val="00330283"/>
    <w:rPr>
      <w:sz w:val="16"/>
    </w:rPr>
  </w:style>
  <w:style w:type="paragraph" w:customStyle="1" w:styleId="WideTable">
    <w:name w:val="Wide Table"/>
    <w:basedOn w:val="Normal"/>
    <w:rsid w:val="00330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283"/>
  </w:style>
  <w:style w:type="paragraph" w:styleId="Quote">
    <w:name w:val="Quote"/>
    <w:basedOn w:val="Heading1"/>
    <w:link w:val="QuoteChar"/>
    <w:qFormat/>
    <w:rsid w:val="00330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283"/>
    <w:pPr>
      <w:pageBreakBefore/>
    </w:pPr>
  </w:style>
  <w:style w:type="paragraph" w:customStyle="1" w:styleId="Border">
    <w:name w:val="Border"/>
    <w:basedOn w:val="Normal"/>
    <w:qFormat/>
    <w:rsid w:val="00330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283"/>
    <w:rPr>
      <w:u w:val="single"/>
    </w:rPr>
  </w:style>
  <w:style w:type="character" w:customStyle="1" w:styleId="BoldandItalics">
    <w:name w:val="Bold and Italics"/>
    <w:qFormat/>
    <w:rsid w:val="00330283"/>
    <w:rPr>
      <w:b/>
      <w:i/>
      <w:u w:val="none"/>
    </w:rPr>
  </w:style>
  <w:style w:type="paragraph" w:styleId="BalloonText">
    <w:name w:val="Balloon Text"/>
    <w:basedOn w:val="Normal"/>
    <w:link w:val="BalloonTextChar"/>
    <w:rsid w:val="00330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283"/>
    <w:pPr>
      <w:spacing w:before="0" w:after="0"/>
    </w:pPr>
  </w:style>
  <w:style w:type="paragraph" w:customStyle="1" w:styleId="BodyTextBold">
    <w:name w:val="Body Text Bold"/>
    <w:basedOn w:val="BodyText"/>
    <w:qFormat/>
    <w:rsid w:val="00330283"/>
    <w:rPr>
      <w:b/>
    </w:rPr>
  </w:style>
  <w:style w:type="character" w:styleId="Hyperlink">
    <w:name w:val="Hyperlink"/>
    <w:basedOn w:val="DefaultParagraphFont"/>
    <w:uiPriority w:val="99"/>
    <w:unhideWhenUsed/>
    <w:rsid w:val="00737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4051</Characters>
  <Application>Microsoft Office Word</Application>
  <DocSecurity>0</DocSecurity>
  <Lines>162</Lines>
  <Paragraphs>79</Paragraphs>
  <ScaleCrop>false</ScaleCrop>
  <Company>Author-it Software Corporation Ltd.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UEPOPS502 Manage permit to 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2021-04-21T08:09:00Z</dcterms:created>
  <dcterms:modified xsi:type="dcterms:W3CDTF">2021-04-21T08:09:00Z</dcterms:modified>
</cp:coreProperties>
</file>