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2F7" w:rsidP="00A32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UEPOPS451 Coordinate the use of contingency plans</w:t>
      </w:r>
      <w:r>
        <w:fldChar w:fldCharType="end"/>
      </w:r>
    </w:p>
    <w:p w:rsidR="00A322F7" w:rsidP="00A322F7">
      <w:pPr>
        <w:pStyle w:val="Version"/>
        <w:sectPr w:rsidSect="00B77B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BCD" w:rsidP="00B77BCD">
      <w:pPr>
        <w:pStyle w:val="SuperHeading"/>
      </w:pPr>
      <w:r w:rsidRPr="00B77BCD">
        <w:t>UEPOPS451 Coordinate the use of contingency plans</w:t>
      </w:r>
    </w:p>
    <w:p w:rsidR="00000000" w:rsidRPr="00B77BCD" w:rsidP="00B77BCD">
      <w:pPr>
        <w:pStyle w:val="Heading1"/>
      </w:pPr>
      <w:bookmarkStart w:id="1" w:name="O_984445"/>
      <w:bookmarkEnd w:id="1"/>
      <w:r w:rsidRPr="00B77B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7B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rPr>
                <w:rStyle w:val="SpecialBold"/>
              </w:rPr>
              <w:t>Release 1.</w:t>
            </w:r>
            <w:r w:rsidRPr="00B77BCD">
              <w:t xml:space="preserve"> This is the first release of this unit of competency in the UEP Generation Training Package.</w:t>
            </w:r>
          </w:p>
        </w:tc>
      </w:tr>
    </w:tbl>
    <w:p w:rsidR="00000000" w:rsidRPr="00B77BCD" w:rsidP="00B77BCD">
      <w:pPr>
        <w:pStyle w:val="NoPaddingFontSize1"/>
      </w:pPr>
    </w:p>
    <w:p w:rsidR="00000000" w:rsidRPr="00B77BCD" w:rsidP="00B77BCD">
      <w:pPr>
        <w:pStyle w:val="AllowPageBreak"/>
      </w:pPr>
    </w:p>
    <w:p w:rsidR="00000000" w:rsidRPr="00B77BCD" w:rsidP="00B77BCD">
      <w:pPr>
        <w:pStyle w:val="Heading1"/>
      </w:pPr>
      <w:bookmarkStart w:id="2" w:name="O_984446"/>
      <w:bookmarkEnd w:id="2"/>
      <w:r w:rsidRPr="00B77B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7B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t>This unit involves the skills and knowledge required to coordinate the use of contingency pl</w:t>
            </w:r>
            <w:r w:rsidRPr="00B77BCD">
              <w:t>ans that are developed to support the integrity of power generation facilities.</w:t>
            </w:r>
          </w:p>
          <w:p w:rsidR="00000000" w:rsidRPr="00B77BCD" w:rsidP="00B77BCD">
            <w:pPr>
              <w:pStyle w:val="BodyText"/>
            </w:pPr>
            <w:r w:rsidRPr="00B77BCD">
              <w:t>A contingency plan is a course of action designed to help a power generation facility respond to a significant event. A contingency plan should include any event that might dis</w:t>
            </w:r>
            <w:r w:rsidRPr="00B77BCD">
              <w:t xml:space="preserve">rupt power generation facility operations. </w:t>
            </w:r>
          </w:p>
          <w:p w:rsidR="00000000" w:rsidRPr="00B77BCD" w:rsidP="00B77BCD">
            <w:pPr>
              <w:pStyle w:val="BodyText"/>
            </w:pPr>
            <w:r w:rsidRPr="00B77BCD">
              <w:t>Competency in this unit requires the ability to identify contingencies, identify preferred contingency plans and complete all documentation. Individuals will, in general, work as coordinator in risk management, i</w:t>
            </w:r>
            <w:r w:rsidRPr="00B77BCD">
              <w:t>n a power generation facility.</w:t>
            </w:r>
          </w:p>
          <w:p w:rsidR="00000000" w:rsidRPr="00B77BCD" w:rsidP="00B77BCD">
            <w:pPr>
              <w:pStyle w:val="BodyText"/>
            </w:pPr>
            <w:r w:rsidRPr="00B77BCD">
              <w:t>Power generation plant operators are typically trained and authorised to isolate, prepare plant and issue permits to work.</w:t>
            </w:r>
          </w:p>
          <w:p w:rsidR="00000000" w:rsidRPr="00B77BCD" w:rsidP="00B77BCD">
            <w:pPr>
              <w:pStyle w:val="BodyText"/>
            </w:pPr>
            <w:r w:rsidRPr="00B77BCD">
              <w:t>No licensing, legislative or certification requirements apply to this unit at the time of publication.</w:t>
            </w:r>
          </w:p>
          <w:p w:rsidR="00000000" w:rsidRPr="00B77BCD" w:rsidP="00B77BCD">
            <w:pPr>
              <w:pStyle w:val="BodyText"/>
            </w:pPr>
            <w:r w:rsidRPr="00B77BCD">
              <w:rPr>
                <w:rStyle w:val="SpecialBold"/>
              </w:rPr>
              <w:t>Note: Workplace practice</w:t>
            </w:r>
          </w:p>
          <w:p w:rsidR="00000000" w:rsidRPr="00B77BCD" w:rsidP="00B77BCD">
            <w:pPr>
              <w:pStyle w:val="BodyText"/>
            </w:pPr>
            <w:r w:rsidRPr="00B77BCD">
              <w:t>The application of the skills and knowledge described in this unit may require a licence or training permit to practice in the workplace where work is carried out on gas and electrical installations. Additional conditions may appl</w:t>
            </w:r>
            <w:r w:rsidRPr="00B77BCD">
              <w:t>y under state and territory legislative and regulatory licensing requirements.</w:t>
            </w:r>
          </w:p>
        </w:tc>
      </w:tr>
    </w:tbl>
    <w:p w:rsidR="00000000" w:rsidRPr="00B77BCD" w:rsidP="00B77BCD">
      <w:pPr>
        <w:pStyle w:val="NoPaddingFontSize1"/>
      </w:pPr>
    </w:p>
    <w:p w:rsidR="00000000" w:rsidRPr="00B77BCD" w:rsidP="00B77BCD">
      <w:pPr>
        <w:pStyle w:val="AllowPageBreak"/>
      </w:pPr>
    </w:p>
    <w:p w:rsidR="00000000" w:rsidRPr="00B77BCD" w:rsidP="00B77BCD">
      <w:pPr>
        <w:pStyle w:val="Heading1"/>
      </w:pPr>
      <w:bookmarkStart w:id="3" w:name="O_984447"/>
      <w:bookmarkEnd w:id="3"/>
      <w:r w:rsidRPr="00B77B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7B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t>UEPOPS370 Facilitate the use of contingency plans</w:t>
            </w:r>
          </w:p>
        </w:tc>
      </w:tr>
    </w:tbl>
    <w:p w:rsidR="00000000" w:rsidRPr="00B77BCD" w:rsidP="00B77BCD">
      <w:pPr>
        <w:pStyle w:val="NoPaddingFontSize1"/>
      </w:pPr>
    </w:p>
    <w:p w:rsidR="00000000" w:rsidRPr="00B77BCD" w:rsidP="00B77BCD">
      <w:pPr>
        <w:pStyle w:val="AllowPageBreak"/>
      </w:pPr>
    </w:p>
    <w:p w:rsidR="00000000" w:rsidRPr="00B77BCD" w:rsidP="00B77BCD">
      <w:pPr>
        <w:pStyle w:val="Heading1"/>
      </w:pPr>
      <w:bookmarkStart w:id="4" w:name="O_984448"/>
      <w:bookmarkEnd w:id="4"/>
      <w:r w:rsidRPr="00B77B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7B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t>Operations</w:t>
            </w:r>
          </w:p>
        </w:tc>
      </w:tr>
    </w:tbl>
    <w:p w:rsidR="00000000" w:rsidRPr="00B77BCD" w:rsidP="00B77BCD">
      <w:pPr>
        <w:pStyle w:val="NoPaddingFontSize1"/>
      </w:pPr>
    </w:p>
    <w:p w:rsidR="00000000" w:rsidRPr="00B77BCD" w:rsidP="00B77BCD">
      <w:pPr>
        <w:pStyle w:val="AllowPageBreak"/>
      </w:pPr>
    </w:p>
    <w:p w:rsidR="00000000" w:rsidRPr="00B77BCD" w:rsidP="00B77BCD">
      <w:pPr>
        <w:pStyle w:val="Heading1"/>
      </w:pPr>
      <w:bookmarkStart w:id="5" w:name="O_984449"/>
      <w:bookmarkEnd w:id="5"/>
      <w:r w:rsidRPr="00B77B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7B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t>Electricity generation</w:t>
            </w:r>
          </w:p>
        </w:tc>
      </w:tr>
    </w:tbl>
    <w:p w:rsidR="00000000" w:rsidRPr="00B77BCD" w:rsidP="00B77BCD">
      <w:pPr>
        <w:pStyle w:val="NoPaddingFontSize1"/>
      </w:pPr>
    </w:p>
    <w:p w:rsidR="00000000" w:rsidRPr="00B77BCD" w:rsidP="00B77BCD">
      <w:pPr>
        <w:pStyle w:val="AllowPageBreak"/>
      </w:pPr>
    </w:p>
    <w:p w:rsidR="00000000" w:rsidRPr="00B77BCD" w:rsidP="00B77BCD">
      <w:pPr>
        <w:pStyle w:val="Heading1"/>
      </w:pPr>
      <w:bookmarkStart w:id="6" w:name="O_984450"/>
      <w:bookmarkEnd w:id="6"/>
      <w:r w:rsidRPr="00B77BC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rPr>
                <w:rStyle w:val="SpecialBold"/>
              </w:rPr>
              <w:t>PERFORMANCE CRITERIA</w:t>
            </w:r>
          </w:p>
        </w:tc>
      </w:tr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t>Performance criteria describe the performance needed to demonstrate achievement of the element.</w:t>
            </w:r>
          </w:p>
        </w:tc>
      </w:tr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rPr>
                <w:rStyle w:val="SpecialBold"/>
              </w:rPr>
              <w:t>Identify potential risks</w:t>
            </w:r>
            <w:r w:rsidRPr="00B77BCD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t xml:space="preserve">Potential contingencies are identified, in accordance with workplace procedures, legislative requirements and industry standards, from a risk analysis of functions which are critical to the performance of the power generation </w:t>
            </w:r>
            <w:r w:rsidRPr="00B77BCD">
              <w:t xml:space="preserve">facility </w:t>
            </w:r>
          </w:p>
        </w:tc>
      </w:tr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t xml:space="preserve">Likelihood and impact of risks are assessed and evaluated for impact, in accordance with workplace procedures and the risk management system </w:t>
            </w:r>
          </w:p>
        </w:tc>
      </w:tr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t xml:space="preserve">Risks are arranged using a risk management matrix in order of priority and/or impact </w:t>
            </w:r>
          </w:p>
        </w:tc>
      </w:tr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rPr>
                <w:rStyle w:val="SpecialBold"/>
              </w:rPr>
              <w:t>Coordinate preferred contingency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t xml:space="preserve">Processes for each identified risk are developed and coordinated, in accordance with the contingency plan </w:t>
            </w:r>
          </w:p>
        </w:tc>
      </w:tr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t xml:space="preserve">Workplace procedures and risk management strategies are mapped to contingency plan processes </w:t>
            </w:r>
          </w:p>
        </w:tc>
      </w:tr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t xml:space="preserve">Analysis of human, fiscal and resourcing requirements that may impact use of the contingency plan is undertaken </w:t>
            </w:r>
          </w:p>
        </w:tc>
      </w:tr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t>Contingency plan problems and status are reported, in accordance with workplace procedures</w:t>
            </w:r>
          </w:p>
        </w:tc>
      </w:tr>
      <w:tr w:rsidTr="00B77B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BCD">
            <w:pPr>
              <w:pStyle w:val="BodyText"/>
              <w:rPr>
                <w:lang w:val="en-NZ"/>
              </w:rPr>
            </w:pPr>
            <w:r w:rsidRPr="00B77BC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t>Contingency plan documentation is updated, in accordance with workplace procedures</w:t>
            </w:r>
          </w:p>
        </w:tc>
      </w:tr>
    </w:tbl>
    <w:p w:rsidR="00000000" w:rsidRPr="00B77BCD" w:rsidP="00B77BCD">
      <w:pPr>
        <w:pStyle w:val="NoPaddingFontSize1"/>
      </w:pPr>
    </w:p>
    <w:p w:rsidR="00000000" w:rsidRPr="00B77BCD" w:rsidP="00B77BCD">
      <w:pPr>
        <w:pStyle w:val="AllowPageBreak"/>
      </w:pPr>
    </w:p>
    <w:p w:rsidR="00000000" w:rsidRPr="00B77BCD" w:rsidP="00B77BCD">
      <w:pPr>
        <w:pStyle w:val="Heading1"/>
      </w:pPr>
      <w:bookmarkStart w:id="7" w:name="O_984451"/>
      <w:bookmarkEnd w:id="7"/>
      <w:r w:rsidRPr="00B77B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7B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t>Foundation skills essential to performance are explicit in the performance criteria of this unit of competency.</w:t>
            </w:r>
          </w:p>
        </w:tc>
      </w:tr>
    </w:tbl>
    <w:p w:rsidR="00000000" w:rsidRPr="00B77BCD" w:rsidP="00B77BCD">
      <w:pPr>
        <w:pStyle w:val="NoPaddingFontSize1"/>
      </w:pPr>
    </w:p>
    <w:p w:rsidR="00000000" w:rsidRPr="00B77BCD" w:rsidP="00B77BCD">
      <w:pPr>
        <w:pStyle w:val="AllowPageBreak"/>
      </w:pPr>
    </w:p>
    <w:p w:rsidR="00000000" w:rsidRPr="00B77BCD" w:rsidP="00B77BCD">
      <w:pPr>
        <w:pStyle w:val="Heading1"/>
      </w:pPr>
      <w:bookmarkStart w:id="8" w:name="O_984452"/>
      <w:bookmarkEnd w:id="8"/>
      <w:r w:rsidRPr="00B77BCD">
        <w:t>Range</w:t>
      </w:r>
      <w:r w:rsidRPr="00B77BCD">
        <w:t xml:space="preserve">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7B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t>Range is restricted to essential operating conditions and any other variables essential to the work environment.</w:t>
            </w:r>
          </w:p>
          <w:p w:rsidR="00000000" w:rsidRPr="00B77BCD" w:rsidP="00B77BCD">
            <w:pPr>
              <w:pStyle w:val="BodyText"/>
            </w:pPr>
            <w:r w:rsidRPr="00B77BCD">
              <w:t>Non-essential conditions may be found in the Companion Volume Implementation Guide.</w:t>
            </w:r>
          </w:p>
        </w:tc>
      </w:tr>
    </w:tbl>
    <w:p w:rsidR="00000000" w:rsidRPr="00B77BCD" w:rsidP="00B77BCD">
      <w:pPr>
        <w:pStyle w:val="NoPaddingFontSize1"/>
      </w:pPr>
    </w:p>
    <w:p w:rsidR="00000000" w:rsidRPr="00B77BCD" w:rsidP="00B77BCD">
      <w:pPr>
        <w:pStyle w:val="AllowPageBreak"/>
      </w:pPr>
    </w:p>
    <w:p w:rsidR="00000000" w:rsidRPr="00B77BCD" w:rsidP="00B77BCD">
      <w:pPr>
        <w:pStyle w:val="Heading1"/>
      </w:pPr>
      <w:bookmarkStart w:id="9" w:name="O_984453"/>
      <w:bookmarkEnd w:id="9"/>
      <w:r w:rsidRPr="00B77B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7B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BCD" w:rsidP="00B77BCD">
            <w:pPr>
              <w:pStyle w:val="BodyText"/>
            </w:pPr>
            <w:r w:rsidRPr="00B77BCD">
              <w:t>This unit replaces and is equivalent to UEPOPS451A Coordinate the use of contingency plans.</w:t>
            </w:r>
          </w:p>
        </w:tc>
      </w:tr>
    </w:tbl>
    <w:p w:rsidR="00000000" w:rsidRPr="00B77BCD" w:rsidP="00B77BCD">
      <w:pPr>
        <w:pStyle w:val="NoPaddingFontSize1"/>
      </w:pPr>
    </w:p>
    <w:p w:rsidR="00000000" w:rsidRPr="00B77BCD" w:rsidP="00B77BCD">
      <w:pPr>
        <w:pStyle w:val="AllowPageBreak"/>
      </w:pPr>
    </w:p>
    <w:p w:rsidR="00000000" w:rsidRPr="00B77BCD" w:rsidP="00B77BCD">
      <w:pPr>
        <w:pStyle w:val="Heading1"/>
      </w:pPr>
      <w:bookmarkStart w:id="10" w:name="O_984460"/>
      <w:bookmarkEnd w:id="10"/>
      <w:r w:rsidRPr="00B77BCD">
        <w:t>Links</w:t>
      </w:r>
    </w:p>
    <w:p w:rsidR="00000000" w:rsidRPr="00B77BCD" w:rsidP="00A322F7">
      <w:pPr>
        <w:pStyle w:val="BodyText"/>
      </w:pPr>
      <w:r w:rsidRPr="00B77B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A208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77BCD" w:rsidP="00B77BCD"/>
    <w:sectPr w:rsidSect="00B77B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CD" w:rsidRPr="00A322F7" w:rsidP="00A32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F7" w:rsidP="00B77B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2F7" w:rsidP="00B77B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22F7" w:rsidP="00B77B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BCD" w:rsidRPr="00A322F7" w:rsidP="00A32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F7" w:rsidRPr="002D2AF8" w:rsidP="00B77B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UEPOPS451 Coordinate the use of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A322F7" w:rsidP="00B77B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B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B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B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B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B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B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B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B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B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B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B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BCD"/>
  </w:style>
  <w:style w:type="character" w:customStyle="1" w:styleId="Heading1Char">
    <w:name w:val="Heading 1 Char"/>
    <w:basedOn w:val="DefaultParagraphFont"/>
    <w:link w:val="Heading1"/>
    <w:rsid w:val="00B77B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B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B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7BCD"/>
    <w:rPr>
      <w:b/>
      <w:spacing w:val="0"/>
    </w:rPr>
  </w:style>
  <w:style w:type="paragraph" w:customStyle="1" w:styleId="SuperHeading">
    <w:name w:val="SuperHeading"/>
    <w:basedOn w:val="Normal"/>
    <w:rsid w:val="00B77B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B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7B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B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B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B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B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B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B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B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B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B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B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B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B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B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B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7B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7B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B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B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B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B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B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B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B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B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B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B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B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B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B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BCD"/>
    <w:rPr>
      <w:i/>
    </w:rPr>
  </w:style>
  <w:style w:type="paragraph" w:styleId="Caption">
    <w:name w:val="caption"/>
    <w:basedOn w:val="BodyText"/>
    <w:next w:val="Normal"/>
    <w:qFormat/>
    <w:rsid w:val="00B77B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B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B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BCD"/>
  </w:style>
  <w:style w:type="paragraph" w:styleId="TableofFigures">
    <w:name w:val="table of figures"/>
    <w:basedOn w:val="Normal"/>
    <w:next w:val="Normal"/>
    <w:semiHidden/>
    <w:rsid w:val="00B77B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B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7BCD"/>
    <w:rPr>
      <w:rFonts w:ascii="Wingdings" w:hAnsi="Wingdings"/>
    </w:rPr>
  </w:style>
  <w:style w:type="paragraph" w:customStyle="1" w:styleId="TableHeading">
    <w:name w:val="Table Heading"/>
    <w:basedOn w:val="HeadingBase"/>
    <w:rsid w:val="00B77B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BCD"/>
    <w:rPr>
      <w:color w:val="0033CC"/>
      <w:u w:val="none"/>
    </w:rPr>
  </w:style>
  <w:style w:type="paragraph" w:customStyle="1" w:styleId="BodyTextRight">
    <w:name w:val="Body Text Right"/>
    <w:basedOn w:val="BodyText"/>
    <w:rsid w:val="00B77B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B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B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B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B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B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BCD"/>
    <w:rPr>
      <w:sz w:val="32"/>
    </w:rPr>
  </w:style>
  <w:style w:type="paragraph" w:customStyle="1" w:styleId="HeadingProcedure">
    <w:name w:val="Heading Procedure"/>
    <w:basedOn w:val="HeadingBase"/>
    <w:next w:val="Normal"/>
    <w:rsid w:val="00B77B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BCD"/>
    <w:pPr>
      <w:spacing w:before="60" w:after="60"/>
    </w:pPr>
  </w:style>
  <w:style w:type="paragraph" w:styleId="ListContinue">
    <w:name w:val="List Continue"/>
    <w:basedOn w:val="List"/>
    <w:rsid w:val="00B77BCD"/>
    <w:pPr>
      <w:ind w:firstLine="0"/>
    </w:pPr>
  </w:style>
  <w:style w:type="paragraph" w:customStyle="1" w:styleId="ListNote">
    <w:name w:val="List Note"/>
    <w:basedOn w:val="List"/>
    <w:rsid w:val="00B77B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B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B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BCD"/>
    <w:rPr>
      <w:rFonts w:ascii="Courier New" w:hAnsi="Courier New"/>
    </w:rPr>
  </w:style>
  <w:style w:type="paragraph" w:customStyle="1" w:styleId="NoteBullet">
    <w:name w:val="Note Bullet"/>
    <w:basedOn w:val="Note"/>
    <w:rsid w:val="00B77B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B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B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B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B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7B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B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BCD"/>
    <w:rPr>
      <w:b/>
      <w:smallCaps/>
    </w:rPr>
  </w:style>
  <w:style w:type="paragraph" w:customStyle="1" w:styleId="TableListNumber">
    <w:name w:val="Table List Number"/>
    <w:basedOn w:val="ListNumber"/>
    <w:rsid w:val="00B77B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B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BCD"/>
    <w:pPr>
      <w:numPr>
        <w:numId w:val="7"/>
      </w:numPr>
    </w:pPr>
  </w:style>
  <w:style w:type="paragraph" w:customStyle="1" w:styleId="ListAlpha2">
    <w:name w:val="List Alpha 2"/>
    <w:basedOn w:val="List2"/>
    <w:rsid w:val="00B77BCD"/>
    <w:pPr>
      <w:numPr>
        <w:numId w:val="6"/>
      </w:numPr>
    </w:pPr>
  </w:style>
  <w:style w:type="paragraph" w:styleId="List2">
    <w:name w:val="List 2"/>
    <w:basedOn w:val="BodyText"/>
    <w:rsid w:val="00B77B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B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B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B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B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B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7BCD"/>
    <w:pPr>
      <w:numPr>
        <w:numId w:val="2"/>
      </w:numPr>
    </w:pPr>
  </w:style>
  <w:style w:type="paragraph" w:styleId="ListContinue2">
    <w:name w:val="List Continue 2"/>
    <w:basedOn w:val="List2"/>
    <w:rsid w:val="00B77BCD"/>
    <w:pPr>
      <w:ind w:firstLine="0"/>
    </w:pPr>
  </w:style>
  <w:style w:type="paragraph" w:styleId="ListContinue3">
    <w:name w:val="List Continue 3"/>
    <w:basedOn w:val="List3"/>
    <w:rsid w:val="00B77BCD"/>
    <w:pPr>
      <w:ind w:left="1021" w:firstLine="0"/>
    </w:pPr>
  </w:style>
  <w:style w:type="paragraph" w:styleId="ListContinue4">
    <w:name w:val="List Continue 4"/>
    <w:basedOn w:val="List4"/>
    <w:rsid w:val="00B77BCD"/>
    <w:pPr>
      <w:ind w:firstLine="0"/>
    </w:pPr>
  </w:style>
  <w:style w:type="paragraph" w:styleId="ListContinue5">
    <w:name w:val="List Continue 5"/>
    <w:basedOn w:val="List5"/>
    <w:rsid w:val="00B77BCD"/>
    <w:pPr>
      <w:ind w:firstLine="0"/>
    </w:pPr>
  </w:style>
  <w:style w:type="paragraph" w:styleId="ListNumber3">
    <w:name w:val="List Number 3"/>
    <w:basedOn w:val="List3"/>
    <w:rsid w:val="00B77BCD"/>
    <w:pPr>
      <w:numPr>
        <w:numId w:val="3"/>
      </w:numPr>
    </w:pPr>
  </w:style>
  <w:style w:type="paragraph" w:styleId="ListNumber4">
    <w:name w:val="List Number 4"/>
    <w:basedOn w:val="List4"/>
    <w:rsid w:val="00B77BCD"/>
    <w:pPr>
      <w:numPr>
        <w:numId w:val="4"/>
      </w:numPr>
    </w:pPr>
  </w:style>
  <w:style w:type="paragraph" w:styleId="ListNumber5">
    <w:name w:val="List Number 5"/>
    <w:basedOn w:val="List5"/>
    <w:rsid w:val="00B77BCD"/>
    <w:pPr>
      <w:numPr>
        <w:numId w:val="5"/>
      </w:numPr>
    </w:pPr>
  </w:style>
  <w:style w:type="paragraph" w:styleId="BlockText">
    <w:name w:val="Block Text"/>
    <w:basedOn w:val="Normal"/>
    <w:rsid w:val="00B77B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B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BCD"/>
    <w:rPr>
      <w:sz w:val="16"/>
      <w:vertAlign w:val="superscript"/>
    </w:rPr>
  </w:style>
  <w:style w:type="character" w:customStyle="1" w:styleId="Symbols">
    <w:name w:val="Symbols"/>
    <w:basedOn w:val="DefaultParagraphFont"/>
    <w:rsid w:val="00B77BCD"/>
    <w:rPr>
      <w:rFonts w:ascii="Symbol" w:hAnsi="Symbol"/>
    </w:rPr>
  </w:style>
  <w:style w:type="character" w:customStyle="1" w:styleId="MenuOptions">
    <w:name w:val="Menu Options"/>
    <w:basedOn w:val="DefaultParagraphFont"/>
    <w:rsid w:val="00B77B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BCD"/>
    <w:rPr>
      <w:b/>
    </w:rPr>
  </w:style>
  <w:style w:type="character" w:customStyle="1" w:styleId="Underlined">
    <w:name w:val="Underlined"/>
    <w:basedOn w:val="DefaultParagraphFont"/>
    <w:rsid w:val="00B77BCD"/>
    <w:rPr>
      <w:u w:val="single"/>
    </w:rPr>
  </w:style>
  <w:style w:type="paragraph" w:customStyle="1" w:styleId="TableBodyTextRight">
    <w:name w:val="Table Body Text Right"/>
    <w:basedOn w:val="TableBodyText"/>
    <w:rsid w:val="00B77B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BCD"/>
    <w:rPr>
      <w:sz w:val="18"/>
    </w:rPr>
  </w:style>
  <w:style w:type="paragraph" w:customStyle="1" w:styleId="BodySmallRight">
    <w:name w:val="Body Small Right"/>
    <w:basedOn w:val="BodyTextRight"/>
    <w:rsid w:val="00B77BCD"/>
    <w:rPr>
      <w:sz w:val="18"/>
      <w:szCs w:val="18"/>
    </w:rPr>
  </w:style>
  <w:style w:type="paragraph" w:customStyle="1" w:styleId="MarginEdition">
    <w:name w:val="Margin Edition"/>
    <w:basedOn w:val="MarginNote"/>
    <w:rsid w:val="00B77B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BCD"/>
    <w:rPr>
      <w:sz w:val="2"/>
      <w:szCs w:val="2"/>
    </w:rPr>
  </w:style>
  <w:style w:type="character" w:customStyle="1" w:styleId="Small">
    <w:name w:val="Small"/>
    <w:basedOn w:val="DefaultParagraphFont"/>
    <w:rsid w:val="00B77BCD"/>
    <w:rPr>
      <w:sz w:val="16"/>
    </w:rPr>
  </w:style>
  <w:style w:type="paragraph" w:customStyle="1" w:styleId="WideTable">
    <w:name w:val="Wide Table"/>
    <w:basedOn w:val="Normal"/>
    <w:rsid w:val="00B77B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BCD"/>
  </w:style>
  <w:style w:type="paragraph" w:styleId="Quote">
    <w:name w:val="Quote"/>
    <w:basedOn w:val="Heading1"/>
    <w:link w:val="QuoteChar"/>
    <w:qFormat/>
    <w:rsid w:val="00B77B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B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BCD"/>
    <w:pPr>
      <w:pageBreakBefore/>
    </w:pPr>
  </w:style>
  <w:style w:type="paragraph" w:customStyle="1" w:styleId="Border">
    <w:name w:val="Border"/>
    <w:basedOn w:val="Normal"/>
    <w:qFormat/>
    <w:rsid w:val="00B77B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B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B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B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B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B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B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B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B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BCD"/>
    <w:rPr>
      <w:u w:val="single"/>
    </w:rPr>
  </w:style>
  <w:style w:type="character" w:customStyle="1" w:styleId="BoldandItalics">
    <w:name w:val="Bold and Italics"/>
    <w:qFormat/>
    <w:rsid w:val="00B77BCD"/>
    <w:rPr>
      <w:b/>
      <w:i/>
      <w:u w:val="none"/>
    </w:rPr>
  </w:style>
  <w:style w:type="paragraph" w:styleId="BalloonText">
    <w:name w:val="Balloon Text"/>
    <w:basedOn w:val="Normal"/>
    <w:link w:val="BalloonTextChar"/>
    <w:rsid w:val="00B77B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B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B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B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B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B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BCD"/>
    <w:pPr>
      <w:spacing w:before="0" w:after="0"/>
    </w:pPr>
  </w:style>
  <w:style w:type="paragraph" w:customStyle="1" w:styleId="BodyTextBold">
    <w:name w:val="Body Text Bold"/>
    <w:basedOn w:val="BodyText"/>
    <w:qFormat/>
    <w:rsid w:val="00B77BCD"/>
    <w:rPr>
      <w:b/>
    </w:rPr>
  </w:style>
  <w:style w:type="character" w:styleId="Hyperlink">
    <w:name w:val="Hyperlink"/>
    <w:basedOn w:val="DefaultParagraphFont"/>
    <w:uiPriority w:val="99"/>
    <w:unhideWhenUsed/>
    <w:rsid w:val="00A32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3177</Characters>
  <Application>Microsoft Office Word</Application>
  <DocSecurity>0</DocSecurity>
  <Lines>122</Lines>
  <Paragraphs>67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UEPOPS451 Coordinate the use of contingency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2021-04-21T07:47:00Z</dcterms:created>
  <dcterms:modified xsi:type="dcterms:W3CDTF">2021-04-21T07:47:00Z</dcterms:modified>
</cp:coreProperties>
</file>