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2193" w:rsidP="00B92193">
      <w:pPr>
        <w:pStyle w:val="Title"/>
      </w:pPr>
      <w:r>
        <w:fldChar w:fldCharType="begin"/>
      </w:r>
      <w:r>
        <w:instrText xml:space="preserve"> TITLE   \* MERGEFORMAT </w:instrText>
      </w:r>
      <w:r>
        <w:fldChar w:fldCharType="separate"/>
      </w:r>
      <w:r>
        <w:t>UEPOPS435 Operate and monitor flue gas (NOx) mitigation systems</w:t>
      </w:r>
      <w:r>
        <w:fldChar w:fldCharType="end"/>
      </w:r>
    </w:p>
    <w:p w:rsidR="00B92193" w:rsidP="00B92193">
      <w:pPr>
        <w:pStyle w:val="Version"/>
        <w:sectPr w:rsidSect="00015B0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5B08" w:rsidP="00015B08">
      <w:pPr>
        <w:pStyle w:val="SuperHeading"/>
      </w:pPr>
      <w:r w:rsidRPr="00015B08">
        <w:t>UEPOPS435 Operate and monitor flue gas (NOx) mitigation systems</w:t>
      </w:r>
    </w:p>
    <w:p w:rsidR="00000000" w:rsidRPr="00015B08" w:rsidP="00015B08">
      <w:pPr>
        <w:pStyle w:val="Heading1"/>
      </w:pPr>
      <w:bookmarkStart w:id="1" w:name="O_984236"/>
      <w:bookmarkEnd w:id="1"/>
      <w:r w:rsidRPr="00015B08">
        <w:t>Modification History</w:t>
      </w:r>
    </w:p>
    <w:tbl>
      <w:tblPr>
        <w:tblW w:w="9497" w:type="dxa"/>
        <w:tblLayout w:type="fixed"/>
        <w:tblCellMar>
          <w:left w:w="62" w:type="dxa"/>
          <w:right w:w="62" w:type="dxa"/>
        </w:tblCellMar>
        <w:tblLook w:val="0000"/>
      </w:tblPr>
      <w:tblGrid>
        <w:gridCol w:w="9497"/>
      </w:tblGrid>
      <w:tr w:rsidTr="00015B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5B08" w:rsidP="00015B08">
            <w:pPr>
              <w:pStyle w:val="BodyText"/>
            </w:pPr>
            <w:r w:rsidRPr="00015B08">
              <w:rPr>
                <w:rStyle w:val="SpecialBold"/>
              </w:rPr>
              <w:t>Release 1.</w:t>
            </w:r>
            <w:r w:rsidRPr="00015B08">
              <w:t xml:space="preserve"> This is the first release of this unit of competency in the UEP Generation Training Package.</w:t>
            </w:r>
          </w:p>
        </w:tc>
      </w:tr>
    </w:tbl>
    <w:p w:rsidR="00000000" w:rsidRPr="00015B08" w:rsidP="00015B08">
      <w:pPr>
        <w:pStyle w:val="NoPaddingFontSize1"/>
      </w:pPr>
    </w:p>
    <w:p w:rsidR="00000000" w:rsidRPr="00015B08" w:rsidP="00015B08">
      <w:pPr>
        <w:pStyle w:val="AllowPageBreak"/>
      </w:pPr>
    </w:p>
    <w:p w:rsidR="00000000" w:rsidRPr="00015B08" w:rsidP="00015B08">
      <w:pPr>
        <w:pStyle w:val="Heading1"/>
      </w:pPr>
      <w:bookmarkStart w:id="2" w:name="O_984237"/>
      <w:bookmarkEnd w:id="2"/>
      <w:r w:rsidRPr="00015B08">
        <w:t>Application</w:t>
      </w:r>
    </w:p>
    <w:tbl>
      <w:tblPr>
        <w:tblW w:w="9497" w:type="dxa"/>
        <w:tblLayout w:type="fixed"/>
        <w:tblCellMar>
          <w:left w:w="62" w:type="dxa"/>
          <w:right w:w="62" w:type="dxa"/>
        </w:tblCellMar>
        <w:tblLook w:val="0000"/>
      </w:tblPr>
      <w:tblGrid>
        <w:gridCol w:w="9497"/>
      </w:tblGrid>
      <w:tr w:rsidTr="00015B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5B08" w:rsidP="00015B08">
            <w:pPr>
              <w:pStyle w:val="BodyText"/>
            </w:pPr>
            <w:r w:rsidRPr="00015B08">
              <w:t xml:space="preserve">This unit involves the skills and knowledge required for the operation, inspection and monitoring of flue gas (NOx) mitigation systems. Flue gas (NOx) mitigation systems are typically used by coal, gas, oil and biomass fired oil and gas fired gas turbines </w:t>
            </w:r>
            <w:r w:rsidRPr="00015B08">
              <w:t xml:space="preserve">and combined cycle power generation facilities. </w:t>
            </w:r>
          </w:p>
          <w:p w:rsidR="00000000" w:rsidRPr="00015B08" w:rsidP="00015B08">
            <w:pPr>
              <w:pStyle w:val="BodyText"/>
            </w:pPr>
            <w:r w:rsidRPr="00015B08">
              <w:t>Nitrogen Oxides (NOx) are poisonous gases derived from nitrogen and oxygen combustion under high pressure and temperatures. NOx is composed of nitric oxide (NO), and a smaller percentage of more poisonous ni</w:t>
            </w:r>
            <w:r w:rsidRPr="00015B08">
              <w:t>trogen dioxide (NO2).</w:t>
            </w:r>
          </w:p>
          <w:p w:rsidR="00000000" w:rsidRPr="00015B08" w:rsidP="00015B08">
            <w:pPr>
              <w:pStyle w:val="BodyText"/>
            </w:pPr>
            <w:r w:rsidRPr="00015B08">
              <w:t>Competency in this unit requires the ability to plan work, carry out operation of flue gas (NOx) mitigation system, test flue gas (NOx) mitigation operation, analyse flue gas (NOx) mitigation system faults, inspect and monitor flue ga</w:t>
            </w:r>
            <w:r w:rsidRPr="00015B08">
              <w:t xml:space="preserve">s (NOx) mitigation system and complete all documentation. Individuals will, in general, work under supervision, in a power generation facility as an operator.  </w:t>
            </w:r>
          </w:p>
          <w:p w:rsidR="00000000" w:rsidRPr="00015B08" w:rsidP="00015B08">
            <w:pPr>
              <w:pStyle w:val="BodyText"/>
            </w:pPr>
            <w:r w:rsidRPr="00015B08">
              <w:t>Power generation plant operators are typically trained and authorised to isolate, prepare plant</w:t>
            </w:r>
            <w:r w:rsidRPr="00015B08">
              <w:t xml:space="preserve"> and issue permits to work.</w:t>
            </w:r>
          </w:p>
          <w:p w:rsidR="00000000" w:rsidRPr="00015B08" w:rsidP="00015B08">
            <w:pPr>
              <w:pStyle w:val="BodyText"/>
            </w:pPr>
            <w:r w:rsidRPr="00015B08">
              <w:t>No licensing, legislative or certification requirements apply to this unit at the time of publication.</w:t>
            </w:r>
          </w:p>
          <w:p w:rsidR="00000000" w:rsidRPr="00015B08" w:rsidP="00015B08">
            <w:pPr>
              <w:pStyle w:val="BodyText"/>
            </w:pPr>
            <w:r w:rsidRPr="00015B08">
              <w:rPr>
                <w:rStyle w:val="SpecialBold"/>
              </w:rPr>
              <w:t>Note: Workplace practice</w:t>
            </w:r>
          </w:p>
          <w:p w:rsidR="00000000" w:rsidRPr="00015B08" w:rsidP="00015B08">
            <w:pPr>
              <w:pStyle w:val="BodyText"/>
            </w:pPr>
            <w:r w:rsidRPr="00015B08">
              <w:t>The application of the skills and knowledge described in this unit may require a licence or training</w:t>
            </w:r>
            <w:r w:rsidRPr="00015B08">
              <w:t xml:space="preserve"> permit to practice in the workplace where work is carried out on gas and electrical installations. Additional conditions may apply under state and territory legislative and regulatory licensing requirements.   </w:t>
            </w:r>
          </w:p>
        </w:tc>
      </w:tr>
    </w:tbl>
    <w:p w:rsidR="00000000" w:rsidRPr="00015B08" w:rsidP="00015B08">
      <w:pPr>
        <w:pStyle w:val="NoPaddingFontSize1"/>
      </w:pPr>
    </w:p>
    <w:p w:rsidR="00000000" w:rsidRPr="00015B08" w:rsidP="00015B08">
      <w:pPr>
        <w:pStyle w:val="AllowPageBreak"/>
      </w:pPr>
    </w:p>
    <w:p w:rsidR="00000000" w:rsidRPr="00015B08" w:rsidP="00015B08">
      <w:pPr>
        <w:pStyle w:val="Heading1"/>
      </w:pPr>
      <w:bookmarkStart w:id="3" w:name="O_984238"/>
      <w:bookmarkEnd w:id="3"/>
      <w:r w:rsidRPr="00015B08">
        <w:t>Pre-requisite Unit</w:t>
      </w:r>
    </w:p>
    <w:tbl>
      <w:tblPr>
        <w:tblW w:w="9497" w:type="dxa"/>
        <w:tblLayout w:type="fixed"/>
        <w:tblCellMar>
          <w:left w:w="62" w:type="dxa"/>
          <w:right w:w="62" w:type="dxa"/>
        </w:tblCellMar>
        <w:tblLook w:val="0000"/>
      </w:tblPr>
      <w:tblGrid>
        <w:gridCol w:w="9497"/>
      </w:tblGrid>
      <w:tr w:rsidTr="00015B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5B08" w:rsidP="00015B08">
            <w:pPr>
              <w:pStyle w:val="BodyText"/>
            </w:pPr>
            <w:r w:rsidRPr="00015B08">
              <w:t xml:space="preserve">There </w:t>
            </w:r>
            <w:r w:rsidRPr="00015B08">
              <w:t>are no prerequisite units.</w:t>
            </w:r>
          </w:p>
        </w:tc>
      </w:tr>
    </w:tbl>
    <w:p w:rsidR="00000000" w:rsidRPr="00015B08" w:rsidP="00015B08">
      <w:pPr>
        <w:pStyle w:val="NoPaddingFontSize1"/>
      </w:pPr>
    </w:p>
    <w:p w:rsidR="00000000" w:rsidRPr="00015B08" w:rsidP="00015B08">
      <w:pPr>
        <w:pStyle w:val="AllowPageBreak"/>
      </w:pPr>
    </w:p>
    <w:p w:rsidR="00000000" w:rsidRPr="00015B08" w:rsidP="00015B08">
      <w:pPr>
        <w:pStyle w:val="Heading1"/>
      </w:pPr>
      <w:bookmarkStart w:id="4" w:name="O_984239"/>
      <w:bookmarkEnd w:id="4"/>
      <w:r w:rsidRPr="00015B08">
        <w:t>Competency Field</w:t>
      </w:r>
    </w:p>
    <w:tbl>
      <w:tblPr>
        <w:tblW w:w="9497" w:type="dxa"/>
        <w:tblLayout w:type="fixed"/>
        <w:tblCellMar>
          <w:left w:w="62" w:type="dxa"/>
          <w:right w:w="62" w:type="dxa"/>
        </w:tblCellMar>
        <w:tblLook w:val="0000"/>
      </w:tblPr>
      <w:tblGrid>
        <w:gridCol w:w="9497"/>
      </w:tblGrid>
      <w:tr w:rsidTr="00015B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5B08" w:rsidP="00015B08">
            <w:pPr>
              <w:pStyle w:val="BodyText"/>
            </w:pPr>
            <w:r w:rsidRPr="00015B08">
              <w:t>Operations</w:t>
            </w:r>
          </w:p>
        </w:tc>
      </w:tr>
    </w:tbl>
    <w:p w:rsidR="00000000" w:rsidRPr="00015B08" w:rsidP="00015B08">
      <w:pPr>
        <w:pStyle w:val="NoPaddingFontSize1"/>
      </w:pPr>
    </w:p>
    <w:p w:rsidR="00000000" w:rsidRPr="00015B08" w:rsidP="00015B08">
      <w:pPr>
        <w:pStyle w:val="AllowPageBreak"/>
      </w:pPr>
    </w:p>
    <w:p w:rsidR="00000000" w:rsidRPr="00015B08" w:rsidP="00015B08">
      <w:pPr>
        <w:pStyle w:val="Heading1"/>
      </w:pPr>
      <w:bookmarkStart w:id="5" w:name="O_984240"/>
      <w:bookmarkEnd w:id="5"/>
      <w:r w:rsidRPr="00015B08">
        <w:t>Unit Sector</w:t>
      </w:r>
    </w:p>
    <w:tbl>
      <w:tblPr>
        <w:tblW w:w="9497" w:type="dxa"/>
        <w:tblLayout w:type="fixed"/>
        <w:tblCellMar>
          <w:left w:w="62" w:type="dxa"/>
          <w:right w:w="62" w:type="dxa"/>
        </w:tblCellMar>
        <w:tblLook w:val="0000"/>
      </w:tblPr>
      <w:tblGrid>
        <w:gridCol w:w="9497"/>
      </w:tblGrid>
      <w:tr w:rsidTr="00015B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5B08" w:rsidP="00015B08">
            <w:pPr>
              <w:pStyle w:val="BodyText"/>
            </w:pPr>
            <w:r w:rsidRPr="00015B08">
              <w:t>Electricity generation</w:t>
            </w:r>
          </w:p>
        </w:tc>
      </w:tr>
    </w:tbl>
    <w:p w:rsidR="00000000" w:rsidRPr="00015B08" w:rsidP="00015B08">
      <w:pPr>
        <w:pStyle w:val="NoPaddingFontSize1"/>
      </w:pPr>
    </w:p>
    <w:p w:rsidR="00000000" w:rsidRPr="00015B08" w:rsidP="00015B08">
      <w:pPr>
        <w:pStyle w:val="AllowPageBreak"/>
      </w:pPr>
    </w:p>
    <w:p w:rsidR="00000000" w:rsidRPr="00015B08" w:rsidP="00015B08">
      <w:pPr>
        <w:pStyle w:val="Heading1"/>
      </w:pPr>
      <w:bookmarkStart w:id="6" w:name="O_984241"/>
      <w:bookmarkEnd w:id="6"/>
      <w:r w:rsidRPr="00015B08">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015B0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015B08" w:rsidP="00015B08">
            <w:pPr>
              <w:pStyle w:val="BodyText"/>
            </w:pPr>
            <w:r w:rsidRPr="00015B0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15B08">
            <w:pPr>
              <w:pStyle w:val="BodyText"/>
              <w:rPr>
                <w:lang w:val="en-NZ"/>
              </w:rPr>
            </w:pPr>
            <w:r w:rsidRPr="00015B08">
              <w:rPr>
                <w:rStyle w:val="SpecialBold"/>
              </w:rPr>
              <w:t>PERFORMANCE CRITERIA</w:t>
            </w:r>
          </w:p>
        </w:tc>
      </w:tr>
      <w:tr w:rsidTr="00015B0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015B08">
            <w:pPr>
              <w:pStyle w:val="BodyText"/>
              <w:rPr>
                <w:lang w:val="en-NZ"/>
              </w:rPr>
            </w:pPr>
            <w:r w:rsidRPr="00015B0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15B08">
            <w:pPr>
              <w:pStyle w:val="BodyText"/>
              <w:rPr>
                <w:lang w:val="en-NZ"/>
              </w:rPr>
            </w:pPr>
            <w:r w:rsidRPr="00015B08">
              <w:t>Performance criteria describe the performance needed to demonstrate achievement of the element.</w:t>
            </w:r>
          </w:p>
        </w:tc>
      </w:tr>
      <w:tr w:rsidTr="00015B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15B08" w:rsidP="00015B08">
            <w:pPr>
              <w:pStyle w:val="BodyText"/>
            </w:pPr>
            <w:r w:rsidRPr="00015B08">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015B08" w:rsidP="00015B08">
            <w:pPr>
              <w:pStyle w:val="BodyText"/>
            </w:pPr>
            <w:r w:rsidRPr="00015B08">
              <w:rPr>
                <w:rStyle w:val="SpecialBold"/>
              </w:rPr>
              <w:t>Plan and prepare work</w:t>
            </w:r>
          </w:p>
        </w:tc>
        <w:tc>
          <w:tcPr>
            <w:tcW w:w="697" w:type="dxa"/>
            <w:tcBorders>
              <w:top w:val="nil"/>
              <w:left w:val="nil"/>
              <w:bottom w:val="nil"/>
              <w:right w:val="nil"/>
            </w:tcBorders>
            <w:tcMar>
              <w:top w:w="0" w:type="dxa"/>
              <w:left w:w="62" w:type="dxa"/>
              <w:bottom w:w="0" w:type="dxa"/>
              <w:right w:w="62" w:type="dxa"/>
            </w:tcMar>
          </w:tcPr>
          <w:p w:rsidR="00000000" w:rsidP="00015B08">
            <w:pPr>
              <w:pStyle w:val="BodyText"/>
              <w:rPr>
                <w:lang w:val="en-NZ"/>
              </w:rPr>
            </w:pPr>
            <w:r w:rsidRPr="00015B0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15B08">
            <w:pPr>
              <w:pStyle w:val="BodyText"/>
              <w:rPr>
                <w:lang w:val="en-NZ"/>
              </w:rPr>
            </w:pPr>
            <w:r w:rsidRPr="00015B08">
              <w:t xml:space="preserve">Safety issues for flue gas (NOx) mitigation are identified, in accordance with workplace procedures and Work, Health and Safety </w:t>
            </w:r>
            <w:r w:rsidRPr="00015B08">
              <w:t>(WHS)/Occupational Health and Safety (OHS) regulations and legislative requirements</w:t>
            </w:r>
          </w:p>
        </w:tc>
      </w:tr>
      <w:tr w:rsidTr="00015B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15B0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15B08">
            <w:pPr>
              <w:pStyle w:val="BodyText"/>
              <w:rPr>
                <w:lang w:val="en-NZ"/>
              </w:rPr>
            </w:pPr>
            <w:r w:rsidRPr="00015B0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15B08">
            <w:pPr>
              <w:pStyle w:val="BodyText"/>
              <w:rPr>
                <w:lang w:val="en-NZ"/>
              </w:rPr>
            </w:pPr>
            <w:r w:rsidRPr="00015B08">
              <w:t>Work requirements including the use of Personal Protective Equipment (PPE), permits and risk control measures are identified, in accordance with workplace procedures</w:t>
            </w:r>
            <w:r w:rsidRPr="00015B08">
              <w:t>, from relevant personnel and documentation</w:t>
            </w:r>
          </w:p>
        </w:tc>
      </w:tr>
      <w:tr w:rsidTr="00015B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15B0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15B08">
            <w:pPr>
              <w:pStyle w:val="BodyText"/>
              <w:rPr>
                <w:lang w:val="en-NZ"/>
              </w:rPr>
            </w:pPr>
            <w:r w:rsidRPr="00015B0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15B08">
            <w:pPr>
              <w:pStyle w:val="BodyText"/>
              <w:rPr>
                <w:lang w:val="en-NZ"/>
              </w:rPr>
            </w:pPr>
            <w:r w:rsidRPr="00015B08">
              <w:t>Inspection, preoperational checks and preparations for flue gas (NOx) mitigation service are carried out, in accordance with workplace procedures and manufacturers</w:t>
            </w:r>
            <w:r>
              <w:t>’</w:t>
            </w:r>
            <w:r w:rsidRPr="00015B08">
              <w:t xml:space="preserve"> recommendations procedures</w:t>
            </w:r>
          </w:p>
        </w:tc>
      </w:tr>
      <w:tr w:rsidTr="00015B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15B0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15B08">
            <w:pPr>
              <w:pStyle w:val="BodyText"/>
              <w:rPr>
                <w:lang w:val="en-NZ"/>
              </w:rPr>
            </w:pPr>
            <w:r w:rsidRPr="00015B08">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15B08">
            <w:pPr>
              <w:pStyle w:val="BodyText"/>
              <w:rPr>
                <w:lang w:val="en-NZ"/>
              </w:rPr>
            </w:pPr>
            <w:r w:rsidRPr="00015B08">
              <w:t>Flue gas (NOx) mitigation plant operational prerequisites are established, in accordance with    workplace procedures and manufacturers</w:t>
            </w:r>
            <w:r>
              <w:t>’</w:t>
            </w:r>
            <w:r w:rsidRPr="00015B08">
              <w:t xml:space="preserve"> recommendations </w:t>
            </w:r>
          </w:p>
        </w:tc>
      </w:tr>
      <w:tr w:rsidTr="00015B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15B0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15B08">
            <w:pPr>
              <w:pStyle w:val="BodyText"/>
              <w:rPr>
                <w:lang w:val="en-NZ"/>
              </w:rPr>
            </w:pPr>
            <w:r w:rsidRPr="00015B08">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015B08">
            <w:pPr>
              <w:pStyle w:val="BodyText"/>
              <w:rPr>
                <w:lang w:val="en-NZ"/>
              </w:rPr>
            </w:pPr>
            <w:r w:rsidRPr="00015B08">
              <w:t xml:space="preserve">Sequence for recommissioning of flue gas (NOx) mitigation plant is determined to suit existing </w:t>
            </w:r>
            <w:r w:rsidRPr="00015B08">
              <w:t>circumstances, in accordance with workplace procedures and site requirements</w:t>
            </w:r>
          </w:p>
        </w:tc>
      </w:tr>
      <w:tr w:rsidTr="00015B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15B08" w:rsidP="00015B08">
            <w:pPr>
              <w:pStyle w:val="BodyText"/>
            </w:pPr>
            <w:r w:rsidRPr="00015B08">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015B08" w:rsidP="00015B08">
            <w:pPr>
              <w:pStyle w:val="BodyText"/>
            </w:pPr>
            <w:r w:rsidRPr="00015B08">
              <w:rPr>
                <w:rStyle w:val="SpecialBold"/>
              </w:rPr>
              <w:t>Operate flue gas (NOx) mitigation</w:t>
            </w:r>
            <w:r w:rsidRPr="00015B08">
              <w:t xml:space="preserve"> </w:t>
            </w:r>
            <w:r w:rsidRPr="00015B08">
              <w:rPr>
                <w:rStyle w:val="SpecialBold"/>
              </w:rPr>
              <w:t>plant</w:t>
            </w:r>
          </w:p>
        </w:tc>
        <w:tc>
          <w:tcPr>
            <w:tcW w:w="697" w:type="dxa"/>
            <w:tcBorders>
              <w:top w:val="nil"/>
              <w:left w:val="nil"/>
              <w:bottom w:val="nil"/>
              <w:right w:val="nil"/>
            </w:tcBorders>
            <w:tcMar>
              <w:top w:w="0" w:type="dxa"/>
              <w:left w:w="62" w:type="dxa"/>
              <w:bottom w:w="0" w:type="dxa"/>
              <w:right w:w="62" w:type="dxa"/>
            </w:tcMar>
          </w:tcPr>
          <w:p w:rsidR="00000000" w:rsidP="00015B08">
            <w:pPr>
              <w:pStyle w:val="BodyText"/>
              <w:rPr>
                <w:lang w:val="en-NZ"/>
              </w:rPr>
            </w:pPr>
            <w:r w:rsidRPr="00015B0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15B08">
            <w:pPr>
              <w:pStyle w:val="BodyText"/>
              <w:rPr>
                <w:lang w:val="en-NZ"/>
              </w:rPr>
            </w:pPr>
            <w:r w:rsidRPr="00015B08">
              <w:t>Flue gas (NOx) mitigation plant is operated, in accordance with workplace procedures and manufacturers</w:t>
            </w:r>
            <w:r>
              <w:t>’</w:t>
            </w:r>
            <w:r w:rsidRPr="00015B08">
              <w:t xml:space="preserve"> operating recommendations </w:t>
            </w:r>
          </w:p>
        </w:tc>
      </w:tr>
      <w:tr w:rsidTr="00015B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15B0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15B08">
            <w:pPr>
              <w:pStyle w:val="BodyText"/>
              <w:rPr>
                <w:lang w:val="en-NZ"/>
              </w:rPr>
            </w:pPr>
            <w:r w:rsidRPr="00015B0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15B08">
            <w:pPr>
              <w:pStyle w:val="BodyText"/>
              <w:rPr>
                <w:lang w:val="en-NZ"/>
              </w:rPr>
            </w:pPr>
            <w:r w:rsidRPr="00015B08">
              <w:t xml:space="preserve">Flue gas (NOx) mitigation plant is monitored and observed, in accordance with workplace procedures, to detect deviations from normal operating conditions </w:t>
            </w:r>
          </w:p>
        </w:tc>
      </w:tr>
      <w:tr w:rsidTr="00015B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15B0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15B08">
            <w:pPr>
              <w:pStyle w:val="BodyText"/>
              <w:rPr>
                <w:lang w:val="en-NZ"/>
              </w:rPr>
            </w:pPr>
            <w:r w:rsidRPr="00015B0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15B08">
            <w:pPr>
              <w:pStyle w:val="BodyText"/>
              <w:rPr>
                <w:lang w:val="en-NZ"/>
              </w:rPr>
            </w:pPr>
            <w:r w:rsidRPr="00015B08">
              <w:t>Corrective actions are taken to rectify flue gas (NOx) mitigation abnormalities, in accordance with workplace procedures, industry standards and site requirements</w:t>
            </w:r>
          </w:p>
        </w:tc>
      </w:tr>
      <w:tr w:rsidTr="00015B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15B08" w:rsidP="00015B08">
            <w:pPr>
              <w:pStyle w:val="BodyText"/>
            </w:pPr>
            <w:r w:rsidRPr="00015B08">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015B08" w:rsidP="00015B08">
            <w:pPr>
              <w:pStyle w:val="BodyText"/>
            </w:pPr>
            <w:r w:rsidRPr="00015B08">
              <w:rPr>
                <w:rStyle w:val="SpecialBold"/>
              </w:rPr>
              <w:t>Test flue gas (NOx) mitigation</w:t>
            </w:r>
            <w:r w:rsidRPr="00015B08">
              <w:t xml:space="preserve"> </w:t>
            </w:r>
            <w:r w:rsidRPr="00015B08">
              <w:rPr>
                <w:rStyle w:val="SpecialBold"/>
              </w:rPr>
              <w:t>plant operation</w:t>
            </w:r>
          </w:p>
        </w:tc>
        <w:tc>
          <w:tcPr>
            <w:tcW w:w="697" w:type="dxa"/>
            <w:tcBorders>
              <w:top w:val="nil"/>
              <w:left w:val="nil"/>
              <w:bottom w:val="nil"/>
              <w:right w:val="nil"/>
            </w:tcBorders>
            <w:tcMar>
              <w:top w:w="0" w:type="dxa"/>
              <w:left w:w="62" w:type="dxa"/>
              <w:bottom w:w="0" w:type="dxa"/>
              <w:right w:w="62" w:type="dxa"/>
            </w:tcMar>
          </w:tcPr>
          <w:p w:rsidR="00000000" w:rsidP="00015B08">
            <w:pPr>
              <w:pStyle w:val="BodyText"/>
              <w:rPr>
                <w:lang w:val="en-NZ"/>
              </w:rPr>
            </w:pPr>
            <w:r w:rsidRPr="00015B0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15B08">
            <w:pPr>
              <w:pStyle w:val="BodyText"/>
              <w:rPr>
                <w:lang w:val="en-NZ"/>
              </w:rPr>
            </w:pPr>
            <w:r w:rsidRPr="00015B08">
              <w:t>Oper</w:t>
            </w:r>
            <w:r w:rsidRPr="00015B08">
              <w:t xml:space="preserve">ational tests are performed, in accordance with workplace procedures </w:t>
            </w:r>
          </w:p>
        </w:tc>
      </w:tr>
      <w:tr w:rsidTr="00015B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15B0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15B08">
            <w:pPr>
              <w:pStyle w:val="BodyText"/>
              <w:rPr>
                <w:lang w:val="en-NZ"/>
              </w:rPr>
            </w:pPr>
            <w:r w:rsidRPr="00015B0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15B08">
            <w:pPr>
              <w:pStyle w:val="BodyText"/>
              <w:rPr>
                <w:lang w:val="en-NZ"/>
              </w:rPr>
            </w:pPr>
            <w:r w:rsidRPr="00015B08">
              <w:t>Flue gas (NOx) mitigation plant is observed for correct operational response, in accordance with workplace procedures</w:t>
            </w:r>
          </w:p>
        </w:tc>
      </w:tr>
      <w:tr w:rsidTr="00015B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15B0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15B08">
            <w:pPr>
              <w:pStyle w:val="BodyText"/>
              <w:rPr>
                <w:lang w:val="en-NZ"/>
              </w:rPr>
            </w:pPr>
            <w:r w:rsidRPr="00015B08">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015B08">
            <w:pPr>
              <w:pStyle w:val="BodyText"/>
              <w:rPr>
                <w:lang w:val="en-NZ"/>
              </w:rPr>
            </w:pPr>
            <w:r w:rsidRPr="00015B08">
              <w:t>Corrective action is taken, in accordance with workpla</w:t>
            </w:r>
            <w:r w:rsidRPr="00015B08">
              <w:t>ce procedures, when response does not meet with documentation, flue gas (NOx) mitigation plant integrity or personnel safety requirements</w:t>
            </w:r>
          </w:p>
        </w:tc>
      </w:tr>
      <w:tr w:rsidTr="00015B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15B0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15B08">
            <w:pPr>
              <w:pStyle w:val="BodyText"/>
              <w:rPr>
                <w:lang w:val="en-NZ"/>
              </w:rPr>
            </w:pPr>
            <w:r w:rsidRPr="00015B08">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015B08">
            <w:pPr>
              <w:pStyle w:val="BodyText"/>
              <w:rPr>
                <w:lang w:val="en-NZ"/>
              </w:rPr>
            </w:pPr>
            <w:r w:rsidRPr="00015B08">
              <w:t>Flue gas (NOx) mitigation plant is returned to required operational status upon completion of test, in accordance with workplace procedures</w:t>
            </w:r>
          </w:p>
        </w:tc>
      </w:tr>
      <w:tr w:rsidTr="00015B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15B08" w:rsidP="00015B08">
            <w:pPr>
              <w:pStyle w:val="BodyText"/>
            </w:pPr>
            <w:r w:rsidRPr="00015B08">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015B08" w:rsidP="00015B08">
            <w:pPr>
              <w:pStyle w:val="BodyText"/>
            </w:pPr>
            <w:r w:rsidRPr="00015B08">
              <w:rPr>
                <w:rStyle w:val="SpecialBold"/>
              </w:rPr>
              <w:t>Analyse flue gas (NOx) mitigation</w:t>
            </w:r>
            <w:r w:rsidRPr="00015B08">
              <w:t xml:space="preserve"> </w:t>
            </w:r>
            <w:r w:rsidRPr="00015B08">
              <w:rPr>
                <w:rStyle w:val="SpecialBold"/>
              </w:rPr>
              <w:t>plant faults</w:t>
            </w:r>
          </w:p>
        </w:tc>
        <w:tc>
          <w:tcPr>
            <w:tcW w:w="697" w:type="dxa"/>
            <w:tcBorders>
              <w:top w:val="nil"/>
              <w:left w:val="nil"/>
              <w:bottom w:val="nil"/>
              <w:right w:val="nil"/>
            </w:tcBorders>
            <w:tcMar>
              <w:top w:w="0" w:type="dxa"/>
              <w:left w:w="62" w:type="dxa"/>
              <w:bottom w:w="0" w:type="dxa"/>
              <w:right w:w="62" w:type="dxa"/>
            </w:tcMar>
          </w:tcPr>
          <w:p w:rsidR="00000000" w:rsidP="00015B08">
            <w:pPr>
              <w:pStyle w:val="BodyText"/>
              <w:rPr>
                <w:lang w:val="en-NZ"/>
              </w:rPr>
            </w:pPr>
            <w:r w:rsidRPr="00015B08">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015B08">
            <w:pPr>
              <w:pStyle w:val="BodyText"/>
              <w:rPr>
                <w:lang w:val="en-NZ"/>
              </w:rPr>
            </w:pPr>
            <w:r w:rsidRPr="00015B08">
              <w:t>Causes of abnormal flue gas (NOx) mitigation plant operating c</w:t>
            </w:r>
            <w:r w:rsidRPr="00015B08">
              <w:t xml:space="preserve">onditions are identified, in accordance with workplace procedures, and by analysing technical and operational information </w:t>
            </w:r>
          </w:p>
        </w:tc>
      </w:tr>
      <w:tr w:rsidTr="00015B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15B0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15B08">
            <w:pPr>
              <w:pStyle w:val="BodyText"/>
              <w:rPr>
                <w:lang w:val="en-NZ"/>
              </w:rPr>
            </w:pPr>
            <w:r w:rsidRPr="00015B08">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015B08">
            <w:pPr>
              <w:pStyle w:val="BodyText"/>
              <w:rPr>
                <w:lang w:val="en-NZ"/>
              </w:rPr>
            </w:pPr>
            <w:r w:rsidRPr="00015B08">
              <w:t>Corrective action is taken, in accordance with workplace procedures</w:t>
            </w:r>
          </w:p>
        </w:tc>
      </w:tr>
      <w:tr w:rsidTr="00015B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15B0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15B08">
            <w:pPr>
              <w:pStyle w:val="BodyText"/>
              <w:rPr>
                <w:lang w:val="en-NZ"/>
              </w:rPr>
            </w:pPr>
            <w:r w:rsidRPr="00015B08">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015B08">
            <w:pPr>
              <w:pStyle w:val="BodyText"/>
              <w:rPr>
                <w:lang w:val="en-NZ"/>
              </w:rPr>
            </w:pPr>
            <w:r w:rsidRPr="00015B08">
              <w:t>Flue gas (NOx) mitigation plant integrity and perso</w:t>
            </w:r>
            <w:r w:rsidRPr="00015B08">
              <w:t>nnel safety is maintained, in accordance with workplace procedures, and in consultation with appropriate personnel and technical and operational documentation</w:t>
            </w:r>
          </w:p>
        </w:tc>
      </w:tr>
      <w:tr w:rsidTr="00015B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15B08" w:rsidP="00015B08">
            <w:pPr>
              <w:pStyle w:val="BodyText"/>
            </w:pPr>
            <w:r w:rsidRPr="00015B08">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015B08" w:rsidP="00015B08">
            <w:pPr>
              <w:pStyle w:val="BodyText"/>
            </w:pPr>
            <w:r w:rsidRPr="00015B08">
              <w:rPr>
                <w:rStyle w:val="SpecialBold"/>
              </w:rPr>
              <w:t>Monitor and inspect flue gas (NOx) mitigation</w:t>
            </w:r>
            <w:r w:rsidRPr="00015B08">
              <w:t xml:space="preserve"> </w:t>
            </w:r>
            <w:r w:rsidRPr="00015B08">
              <w:rPr>
                <w:rStyle w:val="SpecialBold"/>
              </w:rPr>
              <w:t>plant</w:t>
            </w:r>
          </w:p>
        </w:tc>
        <w:tc>
          <w:tcPr>
            <w:tcW w:w="697" w:type="dxa"/>
            <w:tcBorders>
              <w:top w:val="nil"/>
              <w:left w:val="nil"/>
              <w:bottom w:val="nil"/>
              <w:right w:val="nil"/>
            </w:tcBorders>
            <w:tcMar>
              <w:top w:w="0" w:type="dxa"/>
              <w:left w:w="62" w:type="dxa"/>
              <w:bottom w:w="0" w:type="dxa"/>
              <w:right w:w="62" w:type="dxa"/>
            </w:tcMar>
          </w:tcPr>
          <w:p w:rsidR="00000000" w:rsidP="00015B08">
            <w:pPr>
              <w:pStyle w:val="BodyText"/>
              <w:rPr>
                <w:lang w:val="en-NZ"/>
              </w:rPr>
            </w:pPr>
            <w:r w:rsidRPr="00015B08">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015B08">
            <w:pPr>
              <w:pStyle w:val="BodyText"/>
              <w:rPr>
                <w:lang w:val="en-NZ"/>
              </w:rPr>
            </w:pPr>
            <w:r w:rsidRPr="00015B08">
              <w:t>Flue gas (NOx) mitigation plant to be monitored and inspected is physically identified, in accordance with workplace procedures</w:t>
            </w:r>
          </w:p>
        </w:tc>
      </w:tr>
      <w:tr w:rsidTr="00015B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15B0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15B08">
            <w:pPr>
              <w:pStyle w:val="BodyText"/>
              <w:rPr>
                <w:lang w:val="en-NZ"/>
              </w:rPr>
            </w:pPr>
            <w:r w:rsidRPr="00015B08">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015B08">
            <w:pPr>
              <w:pStyle w:val="BodyText"/>
              <w:rPr>
                <w:lang w:val="en-NZ"/>
              </w:rPr>
            </w:pPr>
            <w:r w:rsidRPr="00015B08">
              <w:t>Flue gas (NOx) mitigation plant is monitored and inspected, in accordance with workplace procedures, for normal operation</w:t>
            </w:r>
            <w:r w:rsidRPr="00015B08">
              <w:t xml:space="preserve"> or to detect deviations </w:t>
            </w:r>
          </w:p>
        </w:tc>
      </w:tr>
      <w:tr w:rsidTr="00015B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15B0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15B08">
            <w:pPr>
              <w:pStyle w:val="BodyText"/>
              <w:rPr>
                <w:lang w:val="en-NZ"/>
              </w:rPr>
            </w:pPr>
            <w:r w:rsidRPr="00015B08">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015B08">
            <w:pPr>
              <w:pStyle w:val="BodyText"/>
              <w:rPr>
                <w:lang w:val="en-NZ"/>
              </w:rPr>
            </w:pPr>
            <w:r w:rsidRPr="00015B08">
              <w:t>Corrective action is taken, in accordance with workplace procedures</w:t>
            </w:r>
          </w:p>
        </w:tc>
      </w:tr>
      <w:tr w:rsidTr="00015B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15B0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15B08">
            <w:pPr>
              <w:pStyle w:val="BodyText"/>
              <w:rPr>
                <w:lang w:val="en-NZ"/>
              </w:rPr>
            </w:pPr>
            <w:r w:rsidRPr="00015B08">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015B08">
            <w:pPr>
              <w:pStyle w:val="BodyText"/>
              <w:rPr>
                <w:lang w:val="en-NZ"/>
              </w:rPr>
            </w:pPr>
            <w:r w:rsidRPr="00015B08">
              <w:t>Appropriate personnel are notified, in accordance with workplace procedures, when defects are detected</w:t>
            </w:r>
          </w:p>
        </w:tc>
      </w:tr>
      <w:tr w:rsidTr="00015B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15B08" w:rsidP="00015B08">
            <w:pPr>
              <w:pStyle w:val="BodyText"/>
            </w:pPr>
            <w:r w:rsidRPr="00015B08">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015B08" w:rsidP="00015B08">
            <w:pPr>
              <w:pStyle w:val="BodyText"/>
            </w:pPr>
            <w:r w:rsidRPr="00015B08">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015B08">
            <w:pPr>
              <w:pStyle w:val="BodyText"/>
              <w:rPr>
                <w:lang w:val="en-NZ"/>
              </w:rPr>
            </w:pPr>
            <w:r w:rsidRPr="00015B08">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015B08">
            <w:pPr>
              <w:pStyle w:val="BodyText"/>
              <w:rPr>
                <w:lang w:val="en-NZ"/>
              </w:rPr>
            </w:pPr>
            <w:r w:rsidRPr="00015B08">
              <w:t>Flue gas (NOx) mitigation plant problems, movements   and status are reported, in accordance with workplace procedures</w:t>
            </w:r>
          </w:p>
        </w:tc>
      </w:tr>
      <w:tr w:rsidTr="00015B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15B0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15B08">
            <w:pPr>
              <w:pStyle w:val="BodyText"/>
              <w:rPr>
                <w:lang w:val="en-NZ"/>
              </w:rPr>
            </w:pPr>
            <w:r w:rsidRPr="00015B08">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RPr="00015B08" w:rsidP="00015B08">
            <w:pPr>
              <w:pStyle w:val="BodyText"/>
            </w:pPr>
            <w:r w:rsidRPr="00015B08">
              <w:t>Documentation is updated, in accordance with workplace procedures</w:t>
            </w:r>
          </w:p>
        </w:tc>
      </w:tr>
    </w:tbl>
    <w:p w:rsidR="00000000" w:rsidRPr="00015B08" w:rsidP="00015B08">
      <w:pPr>
        <w:pStyle w:val="NoPaddingFontSize1"/>
      </w:pPr>
    </w:p>
    <w:p w:rsidR="00000000" w:rsidRPr="00015B08" w:rsidP="00015B08">
      <w:pPr>
        <w:pStyle w:val="AllowPageBreak"/>
      </w:pPr>
    </w:p>
    <w:p w:rsidR="00000000" w:rsidRPr="00015B08" w:rsidP="00015B08">
      <w:pPr>
        <w:pStyle w:val="Heading1"/>
      </w:pPr>
      <w:bookmarkStart w:id="7" w:name="O_984242"/>
      <w:bookmarkEnd w:id="7"/>
      <w:r w:rsidRPr="00015B08">
        <w:t>Foundation Skills</w:t>
      </w:r>
    </w:p>
    <w:tbl>
      <w:tblPr>
        <w:tblW w:w="9497" w:type="dxa"/>
        <w:tblLayout w:type="fixed"/>
        <w:tblCellMar>
          <w:left w:w="62" w:type="dxa"/>
          <w:right w:w="62" w:type="dxa"/>
        </w:tblCellMar>
        <w:tblLook w:val="0000"/>
      </w:tblPr>
      <w:tblGrid>
        <w:gridCol w:w="9497"/>
      </w:tblGrid>
      <w:tr w:rsidTr="00015B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5B08" w:rsidP="00015B08">
            <w:pPr>
              <w:pStyle w:val="BodyText"/>
            </w:pPr>
            <w:r w:rsidRPr="00015B08">
              <w:t>Foundation skills essential</w:t>
            </w:r>
            <w:r w:rsidRPr="00015B08">
              <w:t xml:space="preserve"> to performance are explicit in the performance criteria of this unit of competency.</w:t>
            </w:r>
          </w:p>
        </w:tc>
      </w:tr>
    </w:tbl>
    <w:p w:rsidR="00000000" w:rsidRPr="00015B08" w:rsidP="00015B08">
      <w:pPr>
        <w:pStyle w:val="NoPaddingFontSize1"/>
      </w:pPr>
    </w:p>
    <w:p w:rsidR="00000000" w:rsidRPr="00015B08" w:rsidP="00015B08">
      <w:pPr>
        <w:pStyle w:val="AllowPageBreak"/>
      </w:pPr>
    </w:p>
    <w:p w:rsidR="00000000" w:rsidRPr="00015B08" w:rsidP="00015B08">
      <w:pPr>
        <w:pStyle w:val="Heading1"/>
      </w:pPr>
      <w:bookmarkStart w:id="8" w:name="O_984243"/>
      <w:bookmarkEnd w:id="8"/>
      <w:r w:rsidRPr="00015B08">
        <w:t>Range of Conditions</w:t>
      </w:r>
    </w:p>
    <w:tbl>
      <w:tblPr>
        <w:tblW w:w="9497" w:type="dxa"/>
        <w:tblLayout w:type="fixed"/>
        <w:tblCellMar>
          <w:left w:w="62" w:type="dxa"/>
          <w:right w:w="62" w:type="dxa"/>
        </w:tblCellMar>
        <w:tblLook w:val="0000"/>
      </w:tblPr>
      <w:tblGrid>
        <w:gridCol w:w="9497"/>
      </w:tblGrid>
      <w:tr w:rsidTr="00015B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5B08" w:rsidP="00015B08">
            <w:pPr>
              <w:pStyle w:val="BodyText"/>
            </w:pPr>
            <w:r w:rsidRPr="00015B08">
              <w:t>Range is restricted to essential operating conditions and any other variables essential to the work environment.</w:t>
            </w:r>
          </w:p>
          <w:p w:rsidR="00000000" w:rsidRPr="00015B08" w:rsidP="00015B08">
            <w:pPr>
              <w:pStyle w:val="BodyText"/>
            </w:pPr>
            <w:r w:rsidRPr="00015B08">
              <w:t>Non-essential condi</w:t>
            </w:r>
            <w:r w:rsidRPr="00015B08">
              <w:t>tions may be found in the Companion Volume Implementation Guide.</w:t>
            </w:r>
          </w:p>
        </w:tc>
      </w:tr>
    </w:tbl>
    <w:p w:rsidR="00000000" w:rsidRPr="00015B08" w:rsidP="00015B08">
      <w:pPr>
        <w:pStyle w:val="NoPaddingFontSize1"/>
      </w:pPr>
    </w:p>
    <w:p w:rsidR="00000000" w:rsidRPr="00015B08" w:rsidP="00015B08">
      <w:pPr>
        <w:pStyle w:val="AllowPageBreak"/>
      </w:pPr>
    </w:p>
    <w:p w:rsidR="00000000" w:rsidRPr="00015B08" w:rsidP="00015B08">
      <w:pPr>
        <w:pStyle w:val="Heading1"/>
      </w:pPr>
      <w:bookmarkStart w:id="9" w:name="O_984244"/>
      <w:bookmarkEnd w:id="9"/>
      <w:r w:rsidRPr="00015B08">
        <w:t>Unit Mapping Information</w:t>
      </w:r>
    </w:p>
    <w:tbl>
      <w:tblPr>
        <w:tblW w:w="9497" w:type="dxa"/>
        <w:tblLayout w:type="fixed"/>
        <w:tblCellMar>
          <w:left w:w="62" w:type="dxa"/>
          <w:right w:w="62" w:type="dxa"/>
        </w:tblCellMar>
        <w:tblLook w:val="0000"/>
      </w:tblPr>
      <w:tblGrid>
        <w:gridCol w:w="9497"/>
      </w:tblGrid>
      <w:tr w:rsidTr="00015B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5B08" w:rsidP="00015B08">
            <w:pPr>
              <w:pStyle w:val="BodyText"/>
            </w:pPr>
            <w:r w:rsidRPr="00015B08">
              <w:t>This unit replaces and is equivalent to UEPOPS435B Operate and monitor flue gas (NOx) mitigation systems.</w:t>
            </w:r>
          </w:p>
        </w:tc>
      </w:tr>
    </w:tbl>
    <w:p w:rsidR="00000000" w:rsidRPr="00015B08" w:rsidP="00015B08">
      <w:pPr>
        <w:pStyle w:val="NoPaddingFontSize1"/>
      </w:pPr>
    </w:p>
    <w:p w:rsidR="00000000" w:rsidRPr="00015B08" w:rsidP="00015B08">
      <w:pPr>
        <w:pStyle w:val="AllowPageBreak"/>
      </w:pPr>
    </w:p>
    <w:p w:rsidR="00000000" w:rsidRPr="00015B08" w:rsidP="00015B08">
      <w:pPr>
        <w:pStyle w:val="Heading1"/>
      </w:pPr>
      <w:bookmarkStart w:id="10" w:name="O_984251"/>
      <w:bookmarkEnd w:id="10"/>
      <w:r w:rsidRPr="00015B08">
        <w:t>Links</w:t>
      </w:r>
    </w:p>
    <w:p w:rsidR="00000000" w:rsidRPr="00015B08" w:rsidP="00B92193">
      <w:pPr>
        <w:pStyle w:val="BodyText"/>
      </w:pPr>
      <w:r w:rsidRPr="00015B08">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5A2187">
        <w:rPr>
          <w:rStyle w:val="Hyperlink"/>
        </w:rPr>
        <w:t>https://vetnet.gov.au/Pages/TrainingDocs.aspx?q=1715b9fa-e7bd-441c-bb8d-cf22c9c825a8</w:t>
      </w:r>
      <w:r>
        <w:fldChar w:fldCharType="end"/>
      </w:r>
    </w:p>
    <w:p w:rsidR="00000000" w:rsidRPr="00015B08" w:rsidP="00015B08"/>
    <w:sectPr w:rsidSect="00015B0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B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B08" w:rsidRPr="00B92193" w:rsidP="00B921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B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193" w:rsidP="00015B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92193" w:rsidP="00015B08">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92193" w:rsidP="00015B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B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19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5B08" w:rsidRPr="00B92193" w:rsidP="00B9219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B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193" w:rsidRPr="002D2AF8" w:rsidP="00015B08">
    <w:pPr>
      <w:pStyle w:val="Header"/>
      <w:framePr w:wrap="around"/>
    </w:pPr>
    <w:r>
      <w:fldChar w:fldCharType="begin"/>
    </w:r>
    <w:r>
      <w:instrText xml:space="preserve"> TITLE   \* MERGEFORMAT </w:instrText>
    </w:r>
    <w:r>
      <w:fldChar w:fldCharType="separate"/>
    </w:r>
    <w:r>
      <w:t>UEPOPS435 Operate and monitor flue gas (NOx) mitigation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B92193" w:rsidP="00015B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5B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5B08"/>
    <w:pPr>
      <w:spacing w:before="360" w:after="60"/>
      <w:outlineLvl w:val="0"/>
    </w:pPr>
    <w:rPr>
      <w:sz w:val="32"/>
    </w:rPr>
  </w:style>
  <w:style w:type="paragraph" w:styleId="Heading2">
    <w:name w:val="heading 2"/>
    <w:basedOn w:val="HeadingBase"/>
    <w:next w:val="BodyText"/>
    <w:link w:val="Heading2Char"/>
    <w:qFormat/>
    <w:rsid w:val="00015B08"/>
    <w:pPr>
      <w:keepLines/>
      <w:spacing w:before="240" w:after="120"/>
      <w:outlineLvl w:val="1"/>
    </w:pPr>
    <w:rPr>
      <w:sz w:val="28"/>
      <w:szCs w:val="40"/>
    </w:rPr>
  </w:style>
  <w:style w:type="paragraph" w:styleId="Heading3">
    <w:name w:val="heading 3"/>
    <w:basedOn w:val="HeadingBase"/>
    <w:next w:val="BodyText"/>
    <w:link w:val="Heading3Char"/>
    <w:qFormat/>
    <w:rsid w:val="00015B08"/>
    <w:pPr>
      <w:spacing w:before="180" w:after="120"/>
      <w:outlineLvl w:val="2"/>
    </w:pPr>
    <w:rPr>
      <w:spacing w:val="-10"/>
      <w:kern w:val="32"/>
    </w:rPr>
  </w:style>
  <w:style w:type="paragraph" w:styleId="Heading4">
    <w:name w:val="heading 4"/>
    <w:basedOn w:val="HeadingBase"/>
    <w:next w:val="BodyText"/>
    <w:link w:val="Heading4Char"/>
    <w:qFormat/>
    <w:rsid w:val="00015B08"/>
    <w:pPr>
      <w:spacing w:before="160" w:after="120"/>
      <w:outlineLvl w:val="3"/>
    </w:pPr>
    <w:rPr>
      <w:sz w:val="22"/>
    </w:rPr>
  </w:style>
  <w:style w:type="paragraph" w:styleId="Heading5">
    <w:name w:val="heading 5"/>
    <w:basedOn w:val="HeadingBase"/>
    <w:next w:val="Normal"/>
    <w:link w:val="Heading5Char"/>
    <w:qFormat/>
    <w:rsid w:val="00015B08"/>
    <w:pPr>
      <w:spacing w:before="80"/>
      <w:outlineLvl w:val="4"/>
    </w:pPr>
    <w:rPr>
      <w:color w:val="918585"/>
      <w:sz w:val="20"/>
    </w:rPr>
  </w:style>
  <w:style w:type="paragraph" w:styleId="Heading6">
    <w:name w:val="heading 6"/>
    <w:basedOn w:val="HeadingBase"/>
    <w:next w:val="Normal"/>
    <w:link w:val="Heading6Char"/>
    <w:qFormat/>
    <w:rsid w:val="00015B08"/>
    <w:pPr>
      <w:spacing w:before="60"/>
      <w:outlineLvl w:val="5"/>
    </w:pPr>
    <w:rPr>
      <w:color w:val="918585"/>
      <w:sz w:val="20"/>
    </w:rPr>
  </w:style>
  <w:style w:type="paragraph" w:styleId="Heading7">
    <w:name w:val="heading 7"/>
    <w:basedOn w:val="Normal"/>
    <w:next w:val="Normal"/>
    <w:link w:val="Heading7Char"/>
    <w:qFormat/>
    <w:rsid w:val="00015B08"/>
    <w:pPr>
      <w:ind w:left="720"/>
      <w:outlineLvl w:val="6"/>
    </w:pPr>
    <w:rPr>
      <w:i/>
    </w:rPr>
  </w:style>
  <w:style w:type="paragraph" w:styleId="Heading8">
    <w:name w:val="heading 8"/>
    <w:basedOn w:val="Normal"/>
    <w:next w:val="Normal"/>
    <w:link w:val="Heading8Char"/>
    <w:qFormat/>
    <w:rsid w:val="00015B08"/>
    <w:pPr>
      <w:ind w:left="720"/>
      <w:outlineLvl w:val="7"/>
    </w:pPr>
    <w:rPr>
      <w:i/>
    </w:rPr>
  </w:style>
  <w:style w:type="paragraph" w:styleId="Heading9">
    <w:name w:val="heading 9"/>
    <w:basedOn w:val="Normal"/>
    <w:next w:val="Normal"/>
    <w:link w:val="Heading9Char"/>
    <w:qFormat/>
    <w:rsid w:val="00015B08"/>
    <w:pPr>
      <w:ind w:left="720"/>
      <w:outlineLvl w:val="8"/>
    </w:pPr>
    <w:rPr>
      <w:i/>
    </w:rPr>
  </w:style>
  <w:style w:type="character" w:default="1" w:styleId="DefaultParagraphFont">
    <w:name w:val="Default Paragraph Font"/>
    <w:uiPriority w:val="1"/>
    <w:unhideWhenUsed/>
    <w:rsid w:val="00015B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5B08"/>
  </w:style>
  <w:style w:type="character" w:customStyle="1" w:styleId="Heading1Char">
    <w:name w:val="Heading 1 Char"/>
    <w:basedOn w:val="DefaultParagraphFont"/>
    <w:link w:val="Heading1"/>
    <w:rsid w:val="00015B08"/>
    <w:rPr>
      <w:rFonts w:ascii="Times New Roman" w:eastAsia="Times New Roman" w:hAnsi="Times New Roman" w:cs="Times New Roman"/>
      <w:b/>
      <w:sz w:val="32"/>
      <w:szCs w:val="20"/>
      <w:lang w:eastAsia="en-US"/>
    </w:rPr>
  </w:style>
  <w:style w:type="paragraph" w:styleId="BodyText">
    <w:name w:val="Body Text"/>
    <w:basedOn w:val="Normal"/>
    <w:link w:val="BodyTextChar"/>
    <w:rsid w:val="00015B0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5B08"/>
    <w:rPr>
      <w:rFonts w:ascii="Times New Roman" w:eastAsia="Times New Roman" w:hAnsi="Times New Roman" w:cs="Times New Roman"/>
      <w:sz w:val="24"/>
      <w:lang w:eastAsia="en-US"/>
    </w:rPr>
  </w:style>
  <w:style w:type="character" w:customStyle="1" w:styleId="SpecialBold">
    <w:name w:val="Special Bold"/>
    <w:basedOn w:val="DefaultParagraphFont"/>
    <w:rsid w:val="00015B08"/>
    <w:rPr>
      <w:b/>
      <w:spacing w:val="0"/>
    </w:rPr>
  </w:style>
  <w:style w:type="paragraph" w:customStyle="1" w:styleId="SuperHeading">
    <w:name w:val="SuperHeading"/>
    <w:basedOn w:val="Normal"/>
    <w:rsid w:val="00015B08"/>
    <w:pPr>
      <w:spacing w:before="240" w:after="120"/>
      <w:outlineLvl w:val="0"/>
    </w:pPr>
    <w:rPr>
      <w:rFonts w:ascii="Times New Roman" w:hAnsi="Times New Roman"/>
      <w:b/>
      <w:sz w:val="32"/>
    </w:rPr>
  </w:style>
  <w:style w:type="paragraph" w:customStyle="1" w:styleId="AllowPageBreak">
    <w:name w:val="AllowPageBreak"/>
    <w:rsid w:val="00015B0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15B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5B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5B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5B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5B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5B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5B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5B08"/>
    <w:rPr>
      <w:rFonts w:ascii="Courier New" w:eastAsia="Times New Roman" w:hAnsi="Courier New" w:cs="Times New Roman"/>
      <w:i/>
      <w:szCs w:val="20"/>
      <w:lang w:eastAsia="en-US"/>
    </w:rPr>
  </w:style>
  <w:style w:type="paragraph" w:customStyle="1" w:styleId="HeadingBase">
    <w:name w:val="Heading Base"/>
    <w:rsid w:val="00015B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5B08"/>
    <w:pPr>
      <w:tabs>
        <w:tab w:val="right" w:leader="dot" w:pos="9072"/>
      </w:tabs>
      <w:ind w:left="567"/>
    </w:pPr>
    <w:rPr>
      <w:szCs w:val="22"/>
    </w:rPr>
  </w:style>
  <w:style w:type="paragraph" w:customStyle="1" w:styleId="TOCBase">
    <w:name w:val="TOC Base"/>
    <w:rsid w:val="00015B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5B08"/>
    <w:pPr>
      <w:tabs>
        <w:tab w:val="right" w:leader="dot" w:pos="9072"/>
      </w:tabs>
      <w:spacing w:before="40" w:after="40"/>
      <w:ind w:left="284"/>
    </w:pPr>
    <w:rPr>
      <w:rFonts w:ascii="Times New Roman" w:hAnsi="Times New Roman"/>
    </w:rPr>
  </w:style>
  <w:style w:type="paragraph" w:styleId="TOC1">
    <w:name w:val="toc 1"/>
    <w:basedOn w:val="TOCBase"/>
    <w:next w:val="Normal"/>
    <w:rsid w:val="00015B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5B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5B08"/>
    <w:rPr>
      <w:rFonts w:ascii="Times New Roman" w:eastAsia="Times New Roman" w:hAnsi="Times New Roman" w:cs="Times New Roman"/>
      <w:sz w:val="16"/>
      <w:lang w:eastAsia="en-US"/>
    </w:rPr>
  </w:style>
  <w:style w:type="paragraph" w:styleId="Title">
    <w:name w:val="Title"/>
    <w:basedOn w:val="HeadingBase"/>
    <w:link w:val="TitleChar"/>
    <w:qFormat/>
    <w:rsid w:val="00015B08"/>
    <w:pPr>
      <w:spacing w:before="5040"/>
      <w:jc w:val="center"/>
    </w:pPr>
    <w:rPr>
      <w:sz w:val="48"/>
      <w:szCs w:val="72"/>
      <w:lang w:val="en-US"/>
    </w:rPr>
  </w:style>
  <w:style w:type="character" w:customStyle="1" w:styleId="TitleChar">
    <w:name w:val="Title Char"/>
    <w:basedOn w:val="DefaultParagraphFont"/>
    <w:link w:val="Title"/>
    <w:rsid w:val="00015B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5B08"/>
    <w:pPr>
      <w:tabs>
        <w:tab w:val="left" w:pos="3600"/>
        <w:tab w:val="left" w:pos="3958"/>
      </w:tabs>
    </w:pPr>
  </w:style>
  <w:style w:type="paragraph" w:styleId="List">
    <w:name w:val="List"/>
    <w:basedOn w:val="BodyText"/>
    <w:next w:val="BodyText"/>
    <w:rsid w:val="00015B08"/>
    <w:pPr>
      <w:tabs>
        <w:tab w:val="left" w:pos="340"/>
      </w:tabs>
      <w:spacing w:before="60" w:after="60"/>
      <w:ind w:left="340" w:hanging="340"/>
    </w:pPr>
  </w:style>
  <w:style w:type="paragraph" w:styleId="ListBullet">
    <w:name w:val="List Bullet"/>
    <w:basedOn w:val="List"/>
    <w:rsid w:val="00015B08"/>
    <w:pPr>
      <w:numPr>
        <w:numId w:val="10"/>
      </w:numPr>
      <w:tabs>
        <w:tab w:val="clear" w:pos="340"/>
      </w:tabs>
      <w:spacing w:before="40" w:after="40"/>
    </w:pPr>
  </w:style>
  <w:style w:type="paragraph" w:customStyle="1" w:styleId="Note">
    <w:name w:val="Note"/>
    <w:basedOn w:val="BodyText"/>
    <w:rsid w:val="00015B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5B08"/>
    <w:pPr>
      <w:framePr w:wrap="auto" w:hAnchor="text" w:y="6049"/>
    </w:pPr>
    <w:rPr>
      <w:color w:val="000000"/>
      <w:sz w:val="40"/>
    </w:rPr>
  </w:style>
  <w:style w:type="paragraph" w:customStyle="1" w:styleId="TOCTitle">
    <w:name w:val="TOCTitle"/>
    <w:basedOn w:val="Heading1"/>
    <w:rsid w:val="00015B08"/>
    <w:pPr>
      <w:spacing w:after="240"/>
      <w:jc w:val="center"/>
      <w:outlineLvl w:val="9"/>
    </w:pPr>
    <w:rPr>
      <w:caps/>
    </w:rPr>
  </w:style>
  <w:style w:type="paragraph" w:customStyle="1" w:styleId="Version">
    <w:name w:val="Version"/>
    <w:rsid w:val="00015B0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15B08"/>
    <w:pPr>
      <w:numPr>
        <w:numId w:val="11"/>
      </w:numPr>
      <w:tabs>
        <w:tab w:val="clear" w:pos="680"/>
      </w:tabs>
    </w:pPr>
  </w:style>
  <w:style w:type="paragraph" w:styleId="Index1">
    <w:name w:val="index 1"/>
    <w:basedOn w:val="Normal"/>
    <w:next w:val="Normal"/>
    <w:semiHidden/>
    <w:rsid w:val="00015B08"/>
    <w:pPr>
      <w:keepNext w:val="0"/>
      <w:tabs>
        <w:tab w:val="right" w:pos="4176"/>
      </w:tabs>
      <w:ind w:left="198" w:hanging="198"/>
    </w:pPr>
    <w:rPr>
      <w:rFonts w:ascii="Garamond" w:hAnsi="Garamond"/>
    </w:rPr>
  </w:style>
  <w:style w:type="paragraph" w:styleId="IndexHeading">
    <w:name w:val="index heading"/>
    <w:basedOn w:val="Normal"/>
    <w:next w:val="Index1"/>
    <w:semiHidden/>
    <w:rsid w:val="00015B08"/>
    <w:pPr>
      <w:spacing w:before="120" w:after="120"/>
    </w:pPr>
    <w:rPr>
      <w:rFonts w:ascii="Arial" w:hAnsi="Arial"/>
      <w:b/>
      <w:color w:val="918585"/>
      <w:sz w:val="24"/>
    </w:rPr>
  </w:style>
  <w:style w:type="paragraph" w:styleId="Header">
    <w:name w:val="header"/>
    <w:basedOn w:val="Normal"/>
    <w:link w:val="HeaderChar"/>
    <w:rsid w:val="00015B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5B08"/>
    <w:rPr>
      <w:rFonts w:ascii="Times New Roman" w:eastAsia="Times New Roman" w:hAnsi="Times New Roman" w:cs="Times New Roman"/>
      <w:sz w:val="16"/>
      <w:szCs w:val="20"/>
      <w:lang w:val="en-GB" w:eastAsia="en-US"/>
    </w:rPr>
  </w:style>
  <w:style w:type="paragraph" w:customStyle="1" w:styleId="Chapter">
    <w:name w:val="Chapter"/>
    <w:basedOn w:val="Normal"/>
    <w:rsid w:val="00015B08"/>
    <w:pPr>
      <w:spacing w:before="240"/>
    </w:pPr>
    <w:rPr>
      <w:rFonts w:ascii="Times New Roman" w:hAnsi="Times New Roman"/>
      <w:smallCaps/>
      <w:spacing w:val="80"/>
      <w:sz w:val="28"/>
    </w:rPr>
  </w:style>
  <w:style w:type="paragraph" w:customStyle="1" w:styleId="InChapter">
    <w:name w:val="InChapter"/>
    <w:basedOn w:val="Heading3"/>
    <w:rsid w:val="00015B08"/>
    <w:pPr>
      <w:spacing w:after="240"/>
      <w:outlineLvl w:val="9"/>
    </w:pPr>
    <w:rPr>
      <w:noProof/>
    </w:rPr>
  </w:style>
  <w:style w:type="paragraph" w:styleId="Index2">
    <w:name w:val="index 2"/>
    <w:basedOn w:val="Normal"/>
    <w:next w:val="Normal"/>
    <w:semiHidden/>
    <w:rsid w:val="00015B08"/>
    <w:pPr>
      <w:tabs>
        <w:tab w:val="right" w:pos="4176"/>
      </w:tabs>
      <w:ind w:left="568" w:hanging="284"/>
    </w:pPr>
    <w:rPr>
      <w:rFonts w:ascii="Garamond" w:hAnsi="Garamond"/>
    </w:rPr>
  </w:style>
  <w:style w:type="paragraph" w:customStyle="1" w:styleId="Byline">
    <w:name w:val="Byline"/>
    <w:rsid w:val="00015B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5B08"/>
    <w:pPr>
      <w:tabs>
        <w:tab w:val="clear" w:pos="3600"/>
        <w:tab w:val="clear" w:pos="3958"/>
      </w:tabs>
      <w:jc w:val="right"/>
    </w:pPr>
  </w:style>
  <w:style w:type="character" w:styleId="Emphasis">
    <w:name w:val="Emphasis"/>
    <w:basedOn w:val="DefaultParagraphFont"/>
    <w:qFormat/>
    <w:rsid w:val="00015B08"/>
    <w:rPr>
      <w:i/>
    </w:rPr>
  </w:style>
  <w:style w:type="paragraph" w:styleId="Caption">
    <w:name w:val="caption"/>
    <w:basedOn w:val="BodyText"/>
    <w:next w:val="Normal"/>
    <w:qFormat/>
    <w:rsid w:val="00015B08"/>
    <w:pPr>
      <w:framePr w:w="2268" w:hSpace="181" w:vSpace="181" w:wrap="around" w:vAnchor="text" w:hAnchor="page" w:x="1135" w:y="285" w:anchorLock="1"/>
    </w:pPr>
    <w:rPr>
      <w:i/>
    </w:rPr>
  </w:style>
  <w:style w:type="paragraph" w:customStyle="1" w:styleId="MiniTOCTitle">
    <w:name w:val="MiniTOCTitle"/>
    <w:basedOn w:val="Heading4"/>
    <w:rsid w:val="00015B08"/>
    <w:pPr>
      <w:spacing w:before="240"/>
      <w:outlineLvl w:val="9"/>
    </w:pPr>
    <w:rPr>
      <w:noProof/>
      <w:sz w:val="24"/>
    </w:rPr>
  </w:style>
  <w:style w:type="paragraph" w:customStyle="1" w:styleId="MiniTOCItem">
    <w:name w:val="MiniTOCItem"/>
    <w:basedOn w:val="ListBullet"/>
    <w:rsid w:val="00015B08"/>
    <w:pPr>
      <w:numPr>
        <w:numId w:val="0"/>
      </w:numPr>
      <w:tabs>
        <w:tab w:val="right" w:leader="dot" w:pos="6521"/>
      </w:tabs>
      <w:spacing w:before="0" w:after="0"/>
    </w:pPr>
  </w:style>
  <w:style w:type="paragraph" w:customStyle="1" w:styleId="TOFTitle">
    <w:name w:val="TOFTitle"/>
    <w:basedOn w:val="TOCTitle"/>
    <w:rsid w:val="00015B08"/>
  </w:style>
  <w:style w:type="paragraph" w:styleId="TableofFigures">
    <w:name w:val="table of figures"/>
    <w:basedOn w:val="Normal"/>
    <w:next w:val="Normal"/>
    <w:semiHidden/>
    <w:rsid w:val="00015B08"/>
    <w:pPr>
      <w:tabs>
        <w:tab w:val="right" w:leader="dot" w:pos="9072"/>
      </w:tabs>
      <w:ind w:left="970" w:hanging="403"/>
    </w:pPr>
    <w:rPr>
      <w:rFonts w:ascii="Times New Roman" w:hAnsi="Times New Roman"/>
      <w:b/>
    </w:rPr>
  </w:style>
  <w:style w:type="paragraph" w:styleId="ListNumber">
    <w:name w:val="List Number"/>
    <w:basedOn w:val="List"/>
    <w:rsid w:val="00015B08"/>
    <w:pPr>
      <w:numPr>
        <w:numId w:val="13"/>
      </w:numPr>
      <w:tabs>
        <w:tab w:val="clear" w:pos="340"/>
      </w:tabs>
    </w:pPr>
  </w:style>
  <w:style w:type="character" w:customStyle="1" w:styleId="WingdingSymbols">
    <w:name w:val="Wingding Symbols"/>
    <w:rsid w:val="00015B08"/>
    <w:rPr>
      <w:rFonts w:ascii="Wingdings" w:hAnsi="Wingdings"/>
    </w:rPr>
  </w:style>
  <w:style w:type="paragraph" w:customStyle="1" w:styleId="TableHeading">
    <w:name w:val="Table Heading"/>
    <w:basedOn w:val="HeadingBase"/>
    <w:rsid w:val="00015B08"/>
    <w:pPr>
      <w:keepLines/>
      <w:pBdr>
        <w:bottom w:val="single" w:sz="6" w:space="1" w:color="918585"/>
      </w:pBdr>
      <w:spacing w:before="240"/>
    </w:pPr>
  </w:style>
  <w:style w:type="character" w:customStyle="1" w:styleId="HotSpot">
    <w:name w:val="HotSpot"/>
    <w:rsid w:val="00015B08"/>
    <w:rPr>
      <w:color w:val="0033CC"/>
      <w:u w:val="none"/>
    </w:rPr>
  </w:style>
  <w:style w:type="paragraph" w:customStyle="1" w:styleId="BodyTextRight">
    <w:name w:val="Body Text Right"/>
    <w:basedOn w:val="BodyText"/>
    <w:rsid w:val="00015B08"/>
    <w:pPr>
      <w:spacing w:before="0" w:after="0"/>
      <w:jc w:val="right"/>
    </w:pPr>
  </w:style>
  <w:style w:type="paragraph" w:styleId="Index3">
    <w:name w:val="index 3"/>
    <w:basedOn w:val="ListNumber2"/>
    <w:next w:val="Normal"/>
    <w:semiHidden/>
    <w:rsid w:val="00015B08"/>
    <w:pPr>
      <w:numPr>
        <w:numId w:val="0"/>
      </w:numPr>
      <w:tabs>
        <w:tab w:val="right" w:leader="dot" w:pos="4176"/>
      </w:tabs>
    </w:pPr>
  </w:style>
  <w:style w:type="paragraph" w:styleId="ListNumber2">
    <w:name w:val="List Number 2"/>
    <w:basedOn w:val="List2"/>
    <w:rsid w:val="00015B08"/>
    <w:pPr>
      <w:numPr>
        <w:numId w:val="8"/>
      </w:numPr>
      <w:tabs>
        <w:tab w:val="clear" w:pos="1060"/>
      </w:tabs>
    </w:pPr>
  </w:style>
  <w:style w:type="paragraph" w:customStyle="1" w:styleId="MarginNote">
    <w:name w:val="Margin Note"/>
    <w:basedOn w:val="BodyText"/>
    <w:rsid w:val="00015B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5B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5B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5B08"/>
    <w:rPr>
      <w:sz w:val="32"/>
    </w:rPr>
  </w:style>
  <w:style w:type="paragraph" w:customStyle="1" w:styleId="HeadingProcedure">
    <w:name w:val="Heading Procedure"/>
    <w:basedOn w:val="HeadingBase"/>
    <w:next w:val="Normal"/>
    <w:rsid w:val="00015B08"/>
    <w:pPr>
      <w:tabs>
        <w:tab w:val="left" w:pos="0"/>
      </w:tabs>
      <w:spacing w:before="120" w:after="60"/>
    </w:pPr>
    <w:rPr>
      <w:i/>
      <w:color w:val="918585"/>
      <w:sz w:val="22"/>
    </w:rPr>
  </w:style>
  <w:style w:type="paragraph" w:customStyle="1" w:styleId="TableBodyText">
    <w:name w:val="Table Body Text"/>
    <w:basedOn w:val="BodyText"/>
    <w:rsid w:val="00015B08"/>
    <w:pPr>
      <w:spacing w:before="60" w:after="60"/>
    </w:pPr>
  </w:style>
  <w:style w:type="paragraph" w:styleId="ListContinue">
    <w:name w:val="List Continue"/>
    <w:basedOn w:val="List"/>
    <w:rsid w:val="00015B08"/>
    <w:pPr>
      <w:ind w:firstLine="0"/>
    </w:pPr>
  </w:style>
  <w:style w:type="paragraph" w:customStyle="1" w:styleId="ListNote">
    <w:name w:val="List Note"/>
    <w:basedOn w:val="List"/>
    <w:rsid w:val="00015B08"/>
    <w:pPr>
      <w:pBdr>
        <w:top w:val="single" w:sz="6" w:space="2" w:color="918585"/>
        <w:bottom w:val="single" w:sz="6" w:space="2" w:color="918585"/>
      </w:pBdr>
      <w:tabs>
        <w:tab w:val="left" w:pos="1021"/>
      </w:tabs>
      <w:ind w:firstLine="0"/>
    </w:pPr>
  </w:style>
  <w:style w:type="paragraph" w:customStyle="1" w:styleId="Warning">
    <w:name w:val="Warning"/>
    <w:basedOn w:val="BodyText"/>
    <w:rsid w:val="00015B08"/>
    <w:pPr>
      <w:shd w:val="clear" w:color="auto" w:fill="D9D9D9"/>
      <w:tabs>
        <w:tab w:val="left" w:pos="992"/>
      </w:tabs>
      <w:ind w:left="119" w:right="119"/>
    </w:pPr>
    <w:rPr>
      <w:sz w:val="20"/>
    </w:rPr>
  </w:style>
  <w:style w:type="paragraph" w:customStyle="1" w:styleId="MarginIcons">
    <w:name w:val="Margin Icons"/>
    <w:basedOn w:val="BodyText"/>
    <w:rsid w:val="00015B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5B08"/>
    <w:rPr>
      <w:rFonts w:ascii="Courier New" w:hAnsi="Courier New"/>
    </w:rPr>
  </w:style>
  <w:style w:type="paragraph" w:customStyle="1" w:styleId="NoteBullet">
    <w:name w:val="Note Bullet"/>
    <w:basedOn w:val="Note"/>
    <w:rsid w:val="00015B08"/>
    <w:pPr>
      <w:tabs>
        <w:tab w:val="clear" w:pos="680"/>
      </w:tabs>
      <w:spacing w:before="60" w:after="60"/>
    </w:pPr>
  </w:style>
  <w:style w:type="paragraph" w:customStyle="1" w:styleId="SubHeading2">
    <w:name w:val="SubHeading2"/>
    <w:basedOn w:val="HeadingBase"/>
    <w:rsid w:val="00015B08"/>
    <w:pPr>
      <w:spacing w:before="240" w:after="60"/>
    </w:pPr>
    <w:rPr>
      <w:sz w:val="20"/>
    </w:rPr>
  </w:style>
  <w:style w:type="paragraph" w:customStyle="1" w:styleId="SubHeading1">
    <w:name w:val="SubHeading1"/>
    <w:basedOn w:val="HeadingBase"/>
    <w:rsid w:val="00015B08"/>
    <w:pPr>
      <w:spacing w:before="240" w:after="60"/>
    </w:pPr>
    <w:rPr>
      <w:color w:val="918585"/>
      <w:sz w:val="22"/>
    </w:rPr>
  </w:style>
  <w:style w:type="paragraph" w:customStyle="1" w:styleId="SideHeading">
    <w:name w:val="Side Heading"/>
    <w:basedOn w:val="HeadingBase"/>
    <w:rsid w:val="00015B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5B08"/>
    <w:pPr>
      <w:numPr>
        <w:numId w:val="9"/>
      </w:numPr>
    </w:pPr>
  </w:style>
  <w:style w:type="paragraph" w:styleId="PlainText">
    <w:name w:val="Plain Text"/>
    <w:basedOn w:val="Normal"/>
    <w:link w:val="PlainTextChar"/>
    <w:rsid w:val="00015B08"/>
    <w:rPr>
      <w:sz w:val="20"/>
    </w:rPr>
  </w:style>
  <w:style w:type="character" w:customStyle="1" w:styleId="PlainTextChar">
    <w:name w:val="Plain Text Char"/>
    <w:basedOn w:val="DefaultParagraphFont"/>
    <w:link w:val="PlainText"/>
    <w:rsid w:val="00015B08"/>
    <w:rPr>
      <w:rFonts w:ascii="Courier New" w:eastAsia="Times New Roman" w:hAnsi="Courier New" w:cs="Times New Roman"/>
      <w:sz w:val="20"/>
      <w:szCs w:val="20"/>
      <w:lang w:eastAsia="en-US"/>
    </w:rPr>
  </w:style>
  <w:style w:type="character" w:customStyle="1" w:styleId="MenuOption">
    <w:name w:val="Menu Option"/>
    <w:basedOn w:val="DefaultParagraphFont"/>
    <w:rsid w:val="00015B08"/>
    <w:rPr>
      <w:b/>
      <w:smallCaps/>
    </w:rPr>
  </w:style>
  <w:style w:type="paragraph" w:customStyle="1" w:styleId="TableListNumber">
    <w:name w:val="Table List Number"/>
    <w:basedOn w:val="ListNumber"/>
    <w:rsid w:val="00015B08"/>
    <w:pPr>
      <w:numPr>
        <w:numId w:val="0"/>
      </w:numPr>
    </w:pPr>
  </w:style>
  <w:style w:type="paragraph" w:styleId="TOC4">
    <w:name w:val="toc 4"/>
    <w:basedOn w:val="TOCBase"/>
    <w:next w:val="Normal"/>
    <w:semiHidden/>
    <w:rsid w:val="00015B08"/>
    <w:pPr>
      <w:tabs>
        <w:tab w:val="right" w:leader="dot" w:pos="9071"/>
      </w:tabs>
      <w:ind w:left="1701"/>
    </w:pPr>
  </w:style>
  <w:style w:type="paragraph" w:customStyle="1" w:styleId="ListAlpha">
    <w:name w:val="List Alpha"/>
    <w:basedOn w:val="List"/>
    <w:rsid w:val="00015B08"/>
    <w:pPr>
      <w:numPr>
        <w:numId w:val="7"/>
      </w:numPr>
    </w:pPr>
  </w:style>
  <w:style w:type="paragraph" w:customStyle="1" w:styleId="ListAlpha2">
    <w:name w:val="List Alpha 2"/>
    <w:basedOn w:val="List2"/>
    <w:rsid w:val="00015B08"/>
    <w:pPr>
      <w:numPr>
        <w:numId w:val="6"/>
      </w:numPr>
    </w:pPr>
  </w:style>
  <w:style w:type="paragraph" w:styleId="List2">
    <w:name w:val="List 2"/>
    <w:basedOn w:val="BodyText"/>
    <w:rsid w:val="00015B08"/>
    <w:pPr>
      <w:tabs>
        <w:tab w:val="left" w:pos="680"/>
      </w:tabs>
      <w:spacing w:before="60" w:after="60"/>
      <w:ind w:left="680" w:hanging="340"/>
    </w:pPr>
  </w:style>
  <w:style w:type="paragraph" w:styleId="List3">
    <w:name w:val="List 3"/>
    <w:basedOn w:val="BodyText"/>
    <w:rsid w:val="00015B08"/>
    <w:pPr>
      <w:tabs>
        <w:tab w:val="left" w:pos="1021"/>
      </w:tabs>
      <w:spacing w:before="60" w:after="60"/>
      <w:ind w:left="1020" w:hanging="340"/>
    </w:pPr>
  </w:style>
  <w:style w:type="paragraph" w:styleId="List4">
    <w:name w:val="List 4"/>
    <w:basedOn w:val="BodyText"/>
    <w:rsid w:val="00015B08"/>
    <w:pPr>
      <w:tabs>
        <w:tab w:val="left" w:pos="1361"/>
      </w:tabs>
      <w:spacing w:before="60" w:after="60"/>
      <w:ind w:left="1361" w:hanging="340"/>
    </w:pPr>
  </w:style>
  <w:style w:type="paragraph" w:styleId="List5">
    <w:name w:val="List 5"/>
    <w:basedOn w:val="BodyText"/>
    <w:rsid w:val="00015B08"/>
    <w:pPr>
      <w:tabs>
        <w:tab w:val="left" w:pos="1701"/>
      </w:tabs>
      <w:spacing w:before="60" w:after="60"/>
      <w:ind w:left="1701" w:hanging="340"/>
    </w:pPr>
  </w:style>
  <w:style w:type="paragraph" w:styleId="ListBullet3">
    <w:name w:val="List Bullet 3"/>
    <w:basedOn w:val="List3"/>
    <w:rsid w:val="00015B08"/>
    <w:pPr>
      <w:numPr>
        <w:numId w:val="12"/>
      </w:numPr>
      <w:tabs>
        <w:tab w:val="clear" w:pos="1021"/>
      </w:tabs>
      <w:ind w:left="1037" w:hanging="357"/>
    </w:pPr>
  </w:style>
  <w:style w:type="paragraph" w:styleId="ListBullet4">
    <w:name w:val="List Bullet 4"/>
    <w:basedOn w:val="List4"/>
    <w:rsid w:val="00015B08"/>
    <w:pPr>
      <w:numPr>
        <w:numId w:val="1"/>
      </w:numPr>
      <w:tabs>
        <w:tab w:val="clear" w:pos="1361"/>
      </w:tabs>
    </w:pPr>
  </w:style>
  <w:style w:type="paragraph" w:styleId="ListBullet5">
    <w:name w:val="List Bullet 5"/>
    <w:basedOn w:val="List5"/>
    <w:rsid w:val="00015B08"/>
    <w:pPr>
      <w:numPr>
        <w:numId w:val="2"/>
      </w:numPr>
    </w:pPr>
  </w:style>
  <w:style w:type="paragraph" w:styleId="ListContinue2">
    <w:name w:val="List Continue 2"/>
    <w:basedOn w:val="List2"/>
    <w:rsid w:val="00015B08"/>
    <w:pPr>
      <w:ind w:firstLine="0"/>
    </w:pPr>
  </w:style>
  <w:style w:type="paragraph" w:styleId="ListContinue3">
    <w:name w:val="List Continue 3"/>
    <w:basedOn w:val="List3"/>
    <w:rsid w:val="00015B08"/>
    <w:pPr>
      <w:ind w:left="1021" w:firstLine="0"/>
    </w:pPr>
  </w:style>
  <w:style w:type="paragraph" w:styleId="ListContinue4">
    <w:name w:val="List Continue 4"/>
    <w:basedOn w:val="List4"/>
    <w:rsid w:val="00015B08"/>
    <w:pPr>
      <w:ind w:firstLine="0"/>
    </w:pPr>
  </w:style>
  <w:style w:type="paragraph" w:styleId="ListContinue5">
    <w:name w:val="List Continue 5"/>
    <w:basedOn w:val="List5"/>
    <w:rsid w:val="00015B08"/>
    <w:pPr>
      <w:ind w:firstLine="0"/>
    </w:pPr>
  </w:style>
  <w:style w:type="paragraph" w:styleId="ListNumber3">
    <w:name w:val="List Number 3"/>
    <w:basedOn w:val="List3"/>
    <w:rsid w:val="00015B08"/>
    <w:pPr>
      <w:numPr>
        <w:numId w:val="3"/>
      </w:numPr>
    </w:pPr>
  </w:style>
  <w:style w:type="paragraph" w:styleId="ListNumber4">
    <w:name w:val="List Number 4"/>
    <w:basedOn w:val="List4"/>
    <w:rsid w:val="00015B08"/>
    <w:pPr>
      <w:numPr>
        <w:numId w:val="4"/>
      </w:numPr>
    </w:pPr>
  </w:style>
  <w:style w:type="paragraph" w:styleId="ListNumber5">
    <w:name w:val="List Number 5"/>
    <w:basedOn w:val="List5"/>
    <w:rsid w:val="00015B08"/>
    <w:pPr>
      <w:numPr>
        <w:numId w:val="5"/>
      </w:numPr>
    </w:pPr>
  </w:style>
  <w:style w:type="paragraph" w:styleId="BlockText">
    <w:name w:val="Block Text"/>
    <w:basedOn w:val="Normal"/>
    <w:rsid w:val="00015B08"/>
    <w:pPr>
      <w:spacing w:after="120"/>
      <w:ind w:left="1440" w:right="1440"/>
    </w:pPr>
  </w:style>
  <w:style w:type="character" w:customStyle="1" w:styleId="Subscript">
    <w:name w:val="Subscript"/>
    <w:basedOn w:val="DefaultParagraphFont"/>
    <w:rsid w:val="00015B08"/>
    <w:rPr>
      <w:sz w:val="16"/>
      <w:vertAlign w:val="subscript"/>
    </w:rPr>
  </w:style>
  <w:style w:type="character" w:customStyle="1" w:styleId="Superscript">
    <w:name w:val="Superscript"/>
    <w:basedOn w:val="DefaultParagraphFont"/>
    <w:rsid w:val="00015B08"/>
    <w:rPr>
      <w:sz w:val="16"/>
      <w:vertAlign w:val="superscript"/>
    </w:rPr>
  </w:style>
  <w:style w:type="character" w:customStyle="1" w:styleId="Symbols">
    <w:name w:val="Symbols"/>
    <w:basedOn w:val="DefaultParagraphFont"/>
    <w:rsid w:val="00015B08"/>
    <w:rPr>
      <w:rFonts w:ascii="Symbol" w:hAnsi="Symbol"/>
    </w:rPr>
  </w:style>
  <w:style w:type="character" w:customStyle="1" w:styleId="MenuOptions">
    <w:name w:val="Menu Options"/>
    <w:basedOn w:val="DefaultParagraphFont"/>
    <w:rsid w:val="00015B08"/>
    <w:rPr>
      <w:rFonts w:ascii="Arial Narrow" w:hAnsi="Arial Narrow"/>
      <w:smallCaps/>
    </w:rPr>
  </w:style>
  <w:style w:type="character" w:customStyle="1" w:styleId="Buttons">
    <w:name w:val="Buttons"/>
    <w:basedOn w:val="DefaultParagraphFont"/>
    <w:rsid w:val="00015B08"/>
    <w:rPr>
      <w:b/>
    </w:rPr>
  </w:style>
  <w:style w:type="character" w:customStyle="1" w:styleId="Underlined">
    <w:name w:val="Underlined"/>
    <w:basedOn w:val="DefaultParagraphFont"/>
    <w:rsid w:val="00015B08"/>
    <w:rPr>
      <w:u w:val="single"/>
    </w:rPr>
  </w:style>
  <w:style w:type="paragraph" w:customStyle="1" w:styleId="TableBodyTextRight">
    <w:name w:val="Table Body Text Right"/>
    <w:basedOn w:val="TableBodyText"/>
    <w:rsid w:val="00015B08"/>
    <w:pPr>
      <w:widowControl w:val="0"/>
      <w:autoSpaceDE w:val="0"/>
      <w:autoSpaceDN w:val="0"/>
      <w:adjustRightInd w:val="0"/>
      <w:jc w:val="right"/>
    </w:pPr>
    <w:rPr>
      <w:rFonts w:cs="Arial"/>
      <w:szCs w:val="18"/>
    </w:rPr>
  </w:style>
  <w:style w:type="paragraph" w:customStyle="1" w:styleId="CopyrightText">
    <w:name w:val="Copyright Text"/>
    <w:basedOn w:val="BodyText"/>
    <w:rsid w:val="00015B08"/>
    <w:rPr>
      <w:sz w:val="18"/>
    </w:rPr>
  </w:style>
  <w:style w:type="paragraph" w:customStyle="1" w:styleId="BodySmallRight">
    <w:name w:val="Body Small Right"/>
    <w:basedOn w:val="BodyTextRight"/>
    <w:rsid w:val="00015B08"/>
    <w:rPr>
      <w:sz w:val="18"/>
      <w:szCs w:val="18"/>
    </w:rPr>
  </w:style>
  <w:style w:type="paragraph" w:customStyle="1" w:styleId="MarginEdition">
    <w:name w:val="Margin Edition"/>
    <w:basedOn w:val="MarginNote"/>
    <w:rsid w:val="00015B08"/>
    <w:pPr>
      <w:spacing w:before="0" w:after="0"/>
    </w:pPr>
    <w:rPr>
      <w:rFonts w:ascii="Times New Roman" w:hAnsi="Times New Roman"/>
      <w:color w:val="999999"/>
    </w:rPr>
  </w:style>
  <w:style w:type="paragraph" w:customStyle="1" w:styleId="Spacer">
    <w:name w:val="Spacer"/>
    <w:basedOn w:val="Normal"/>
    <w:rsid w:val="00015B08"/>
    <w:rPr>
      <w:sz w:val="2"/>
      <w:szCs w:val="2"/>
    </w:rPr>
  </w:style>
  <w:style w:type="character" w:customStyle="1" w:styleId="Small">
    <w:name w:val="Small"/>
    <w:basedOn w:val="DefaultParagraphFont"/>
    <w:rsid w:val="00015B08"/>
    <w:rPr>
      <w:sz w:val="16"/>
    </w:rPr>
  </w:style>
  <w:style w:type="paragraph" w:customStyle="1" w:styleId="WideTable">
    <w:name w:val="Wide Table"/>
    <w:basedOn w:val="Normal"/>
    <w:rsid w:val="00015B08"/>
    <w:pPr>
      <w:ind w:left="-1418"/>
    </w:pPr>
    <w:rPr>
      <w:sz w:val="2"/>
      <w:szCs w:val="2"/>
    </w:rPr>
  </w:style>
  <w:style w:type="character" w:styleId="PageNumber">
    <w:name w:val="page number"/>
    <w:basedOn w:val="DefaultParagraphFont"/>
    <w:rsid w:val="00015B08"/>
  </w:style>
  <w:style w:type="paragraph" w:styleId="Quote">
    <w:name w:val="Quote"/>
    <w:basedOn w:val="Heading1"/>
    <w:link w:val="QuoteChar"/>
    <w:qFormat/>
    <w:rsid w:val="00015B08"/>
    <w:rPr>
      <w:b w:val="0"/>
      <w:sz w:val="72"/>
      <w:szCs w:val="72"/>
      <w:lang w:val="en-NZ"/>
    </w:rPr>
  </w:style>
  <w:style w:type="character" w:customStyle="1" w:styleId="QuoteChar">
    <w:name w:val="Quote Char"/>
    <w:basedOn w:val="DefaultParagraphFont"/>
    <w:link w:val="Quote"/>
    <w:rsid w:val="00015B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5B08"/>
    <w:pPr>
      <w:pageBreakBefore/>
    </w:pPr>
  </w:style>
  <w:style w:type="paragraph" w:customStyle="1" w:styleId="Border">
    <w:name w:val="Border"/>
    <w:basedOn w:val="Normal"/>
    <w:qFormat/>
    <w:rsid w:val="00015B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5B08"/>
    <w:rPr>
      <w:b/>
      <w:bCs/>
      <w:i/>
      <w:iCs/>
      <w:color w:val="auto"/>
    </w:rPr>
  </w:style>
  <w:style w:type="paragraph" w:styleId="IntenseQuote">
    <w:name w:val="Intense Quote"/>
    <w:basedOn w:val="Normal"/>
    <w:next w:val="Normal"/>
    <w:link w:val="IntenseQuoteChar"/>
    <w:uiPriority w:val="30"/>
    <w:qFormat/>
    <w:rsid w:val="00015B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5B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5B08"/>
    <w:rPr>
      <w:smallCaps/>
      <w:color w:val="auto"/>
      <w:u w:val="single"/>
    </w:rPr>
  </w:style>
  <w:style w:type="character" w:styleId="IntenseReference">
    <w:name w:val="Intense Reference"/>
    <w:basedOn w:val="DefaultParagraphFont"/>
    <w:uiPriority w:val="32"/>
    <w:qFormat/>
    <w:rsid w:val="00015B08"/>
    <w:rPr>
      <w:b/>
      <w:bCs/>
      <w:smallCaps/>
      <w:color w:val="auto"/>
      <w:spacing w:val="5"/>
      <w:u w:val="single"/>
    </w:rPr>
  </w:style>
  <w:style w:type="paragraph" w:customStyle="1" w:styleId="2ColumnHeading">
    <w:name w:val="2Column Heading"/>
    <w:basedOn w:val="BodyText"/>
    <w:qFormat/>
    <w:rsid w:val="00015B08"/>
    <w:pPr>
      <w:spacing w:after="60"/>
      <w:ind w:left="-2268"/>
    </w:pPr>
    <w:rPr>
      <w:b/>
    </w:rPr>
  </w:style>
  <w:style w:type="paragraph" w:customStyle="1" w:styleId="Heading1TOC">
    <w:name w:val="Heading1 TOC"/>
    <w:basedOn w:val="Normal"/>
    <w:qFormat/>
    <w:rsid w:val="00015B08"/>
    <w:pPr>
      <w:spacing w:before="240" w:after="120"/>
    </w:pPr>
    <w:rPr>
      <w:rFonts w:ascii="Times New Roman" w:hAnsi="Times New Roman"/>
      <w:b/>
      <w:sz w:val="32"/>
    </w:rPr>
  </w:style>
  <w:style w:type="paragraph" w:customStyle="1" w:styleId="Heading2TOC">
    <w:name w:val="Heading2 TOC"/>
    <w:basedOn w:val="Normal"/>
    <w:qFormat/>
    <w:rsid w:val="00015B08"/>
    <w:pPr>
      <w:spacing w:before="240" w:after="60"/>
    </w:pPr>
    <w:rPr>
      <w:rFonts w:ascii="Times New Roman" w:hAnsi="Times New Roman"/>
      <w:b/>
      <w:sz w:val="28"/>
    </w:rPr>
  </w:style>
  <w:style w:type="character" w:customStyle="1" w:styleId="Underline">
    <w:name w:val="Underline"/>
    <w:basedOn w:val="DefaultParagraphFont"/>
    <w:qFormat/>
    <w:rsid w:val="00015B08"/>
    <w:rPr>
      <w:u w:val="single"/>
    </w:rPr>
  </w:style>
  <w:style w:type="character" w:customStyle="1" w:styleId="BoldandItalics">
    <w:name w:val="Bold and Italics"/>
    <w:qFormat/>
    <w:rsid w:val="00015B08"/>
    <w:rPr>
      <w:b/>
      <w:i/>
      <w:u w:val="none"/>
    </w:rPr>
  </w:style>
  <w:style w:type="paragraph" w:styleId="BalloonText">
    <w:name w:val="Balloon Text"/>
    <w:basedOn w:val="Normal"/>
    <w:link w:val="BalloonTextChar"/>
    <w:rsid w:val="00015B08"/>
    <w:rPr>
      <w:rFonts w:ascii="Tahoma" w:hAnsi="Tahoma" w:cs="Tahoma"/>
      <w:sz w:val="16"/>
      <w:szCs w:val="16"/>
    </w:rPr>
  </w:style>
  <w:style w:type="character" w:customStyle="1" w:styleId="BalloonTextChar">
    <w:name w:val="Balloon Text Char"/>
    <w:basedOn w:val="DefaultParagraphFont"/>
    <w:link w:val="BalloonText"/>
    <w:rsid w:val="00015B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5B0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5B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5B08"/>
    <w:rPr>
      <w:b/>
      <w:color w:val="660033"/>
      <w:spacing w:val="0"/>
    </w:rPr>
  </w:style>
  <w:style w:type="paragraph" w:customStyle="1" w:styleId="Nameditemlist">
    <w:name w:val="Named item list"/>
    <w:basedOn w:val="BodyText"/>
    <w:qFormat/>
    <w:rsid w:val="00015B08"/>
    <w:pPr>
      <w:tabs>
        <w:tab w:val="left" w:pos="2835"/>
      </w:tabs>
      <w:ind w:left="2835" w:hanging="2835"/>
    </w:pPr>
  </w:style>
  <w:style w:type="paragraph" w:customStyle="1" w:styleId="BodyTextnopadding">
    <w:name w:val="Body Text no padding"/>
    <w:basedOn w:val="BodyText"/>
    <w:qFormat/>
    <w:rsid w:val="00015B08"/>
    <w:pPr>
      <w:spacing w:before="0" w:after="0"/>
    </w:pPr>
  </w:style>
  <w:style w:type="paragraph" w:customStyle="1" w:styleId="BodyTextBold">
    <w:name w:val="Body Text Bold"/>
    <w:basedOn w:val="BodyText"/>
    <w:qFormat/>
    <w:rsid w:val="00015B08"/>
    <w:rPr>
      <w:b/>
    </w:rPr>
  </w:style>
  <w:style w:type="character" w:styleId="Hyperlink">
    <w:name w:val="Hyperlink"/>
    <w:basedOn w:val="DefaultParagraphFont"/>
    <w:uiPriority w:val="99"/>
    <w:unhideWhenUsed/>
    <w:rsid w:val="00B9219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870</Words>
  <Characters>5429</Characters>
  <Application>Microsoft Office Word</Application>
  <DocSecurity>0</DocSecurity>
  <Lines>226</Lines>
  <Paragraphs>104</Paragraphs>
  <ScaleCrop>false</ScaleCrop>
  <Company>Author-it Software Corporation Ltd.</Company>
  <LinksUpToDate>false</LinksUpToDate>
  <CharactersWithSpaces>6195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UEPOPS435 Operate and monitor flue gas (NOx) mitigation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2021-04-21T07:45:00Z</dcterms:created>
  <dcterms:modified xsi:type="dcterms:W3CDTF">2021-04-21T07:45:00Z</dcterms:modified>
</cp:coreProperties>
</file>